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仿宋_GB2312" w:eastAsia="仿宋_GB2312" w:cs="仿宋_GB2312"/>
          <w:sz w:val="32"/>
          <w:szCs w:val="32"/>
        </w:rPr>
      </w:pPr>
      <w:bookmarkStart w:id="0" w:name="_GoBack"/>
      <w:bookmarkEnd w:id="0"/>
      <w:r>
        <w:rPr>
          <w:rFonts w:hint="eastAsia" w:ascii="方正小标宋简体" w:hAnsi="宋体" w:eastAsia="方正小标宋简体" w:cs="方正小标宋简体"/>
          <w:b/>
          <w:color w:val="FF0000"/>
          <w:spacing w:val="-20"/>
          <w:w w:val="66"/>
          <w:sz w:val="108"/>
          <w:szCs w:val="108"/>
          <w:lang w:bidi="ar"/>
        </w:rPr>
        <w:t>共青团吉首大学委员会文件</w:t>
      </w:r>
    </w:p>
    <w:p>
      <w:pPr>
        <w:tabs>
          <w:tab w:val="left" w:pos="2800"/>
          <w:tab w:val="center" w:pos="4213"/>
        </w:tabs>
        <w:jc w:val="left"/>
        <w:rPr>
          <w:rFonts w:ascii="仿宋_GB2312" w:eastAsia="仿宋_GB2312" w:cs="仿宋_GB2312"/>
          <w:b/>
          <w:sz w:val="32"/>
          <w:szCs w:val="32"/>
        </w:rPr>
      </w:pPr>
      <w:r>
        <w:rPr>
          <w:rFonts w:ascii="Times New Roman" w:hAnsi="Times New Roman"/>
          <w:lang w:bidi="ar"/>
        </w:rPr>
        <mc:AlternateContent>
          <mc:Choice Requires="wps">
            <w:drawing>
              <wp:anchor distT="0" distB="0" distL="114300" distR="114300" simplePos="0" relativeHeight="251661312" behindDoc="0" locked="0" layoutInCell="1" allowOverlap="1">
                <wp:simplePos x="0" y="0"/>
                <wp:positionH relativeFrom="column">
                  <wp:posOffset>2444750</wp:posOffset>
                </wp:positionH>
                <wp:positionV relativeFrom="paragraph">
                  <wp:posOffset>224155</wp:posOffset>
                </wp:positionV>
                <wp:extent cx="457200" cy="681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0" cy="681355"/>
                        </a:xfrm>
                        <a:prstGeom prst="rect">
                          <a:avLst/>
                        </a:prstGeom>
                        <a:noFill/>
                        <a:ln w="9525">
                          <a:noFill/>
                          <a:miter/>
                        </a:ln>
                        <a:effectLst/>
                      </wps:spPr>
                      <wps:txbx>
                        <w:txbxContent>
                          <w:p>
                            <w:pPr>
                              <w:jc w:val="center"/>
                              <w:rPr>
                                <w:rFonts w:ascii="仿宋_GB2312" w:eastAsia="仿宋_GB2312" w:cs="仿宋_GB2312"/>
                                <w:color w:val="FF0000"/>
                                <w:sz w:val="48"/>
                                <w:szCs w:val="48"/>
                              </w:rPr>
                            </w:pPr>
                            <w:r>
                              <w:rPr>
                                <w:rFonts w:hint="eastAsia" w:ascii="仿宋_GB2312" w:hAnsi="Times New Roman" w:eastAsia="仿宋_GB2312" w:cs="仿宋_GB2312"/>
                                <w:color w:val="FF0000"/>
                                <w:sz w:val="48"/>
                                <w:szCs w:val="48"/>
                                <w:lang w:bidi="ar"/>
                              </w:rPr>
                              <w:t>★</w:t>
                            </w:r>
                          </w:p>
                        </w:txbxContent>
                      </wps:txbx>
                      <wps:bodyPr wrap="square" upright="1"/>
                    </wps:wsp>
                  </a:graphicData>
                </a:graphic>
              </wp:anchor>
            </w:drawing>
          </mc:Choice>
          <mc:Fallback>
            <w:pict>
              <v:shape id="_x0000_s1026" o:spid="_x0000_s1026" o:spt="202" type="#_x0000_t202" style="position:absolute;left:0pt;margin-left:192.5pt;margin-top:17.65pt;height:53.65pt;width:36pt;z-index:251661312;mso-width-relative:page;mso-height-relative:page;" filled="f" stroked="f" coordsize="21600,21600" o:gfxdata="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flyv2AAAAAoBAAAPAAAAAAAAAAEAIAAAACIAAABkcnMvZG93&#10;bnJldi54bWxQSwECFAAUAAAACACHTuJAC4/ZaMcBAAB8AwAADgAAAAAAAAABACAAAAAnAQAAZHJz&#10;L2Uyb0RvYy54bWxQSwUGAAAAAAYABgBZAQAAYAUAAAAA&#10;">
                <v:fill on="f" focussize="0,0"/>
                <v:stroke on="f" joinstyle="miter"/>
                <v:imagedata o:title=""/>
                <o:lock v:ext="edit" aspectratio="f"/>
                <v:textbox>
                  <w:txbxContent>
                    <w:p>
                      <w:pPr>
                        <w:jc w:val="center"/>
                        <w:rPr>
                          <w:rFonts w:ascii="仿宋_GB2312" w:eastAsia="仿宋_GB2312" w:cs="仿宋_GB2312"/>
                          <w:color w:val="FF0000"/>
                          <w:sz w:val="48"/>
                          <w:szCs w:val="48"/>
                        </w:rPr>
                      </w:pPr>
                      <w:r>
                        <w:rPr>
                          <w:rFonts w:hint="eastAsia" w:ascii="仿宋_GB2312" w:hAnsi="Times New Roman" w:eastAsia="仿宋_GB2312" w:cs="仿宋_GB2312"/>
                          <w:color w:val="FF0000"/>
                          <w:sz w:val="48"/>
                          <w:szCs w:val="48"/>
                          <w:lang w:bidi="ar"/>
                        </w:rPr>
                        <w:t>★</w:t>
                      </w:r>
                    </w:p>
                  </w:txbxContent>
                </v:textbox>
              </v:shape>
            </w:pict>
          </mc:Fallback>
        </mc:AlternateContent>
      </w:r>
      <w:r>
        <w:rPr>
          <w:rFonts w:hint="eastAsia" w:ascii="仿宋_GB2312" w:eastAsia="仿宋_GB2312" w:cs="仿宋_GB2312"/>
          <w:sz w:val="32"/>
          <w:szCs w:val="32"/>
        </w:rPr>
        <w:tab/>
      </w:r>
      <w:r>
        <w:rPr>
          <w:rFonts w:hint="eastAsia" w:ascii="仿宋_GB2312" w:hAnsi="仿宋_GB2312" w:eastAsia="仿宋_GB2312" w:cs="仿宋_GB2312"/>
          <w:b/>
          <w:sz w:val="28"/>
          <w:szCs w:val="28"/>
        </w:rPr>
        <w:tab/>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校团</w:t>
      </w:r>
      <w:r>
        <w:rPr>
          <w:rFonts w:hint="eastAsia" w:ascii="仿宋_GB2312" w:hAnsi="仿宋_GB2312" w:eastAsia="仿宋_GB2312" w:cs="仿宋_GB2312"/>
          <w:b/>
          <w:bCs/>
          <w:sz w:val="32"/>
          <w:szCs w:val="32"/>
          <w:lang w:val="en-US" w:eastAsia="zh-CN"/>
        </w:rPr>
        <w:t>﹝2022﹞15</w:t>
      </w:r>
      <w:r>
        <w:rPr>
          <w:rFonts w:hint="eastAsia" w:ascii="仿宋_GB2312" w:hAnsi="仿宋_GB2312" w:eastAsia="仿宋_GB2312" w:cs="仿宋_GB2312"/>
          <w:b/>
          <w:bCs/>
          <w:sz w:val="32"/>
          <w:szCs w:val="32"/>
        </w:rPr>
        <w:t>号</w:t>
      </w:r>
    </w:p>
    <w:p>
      <w:pPr>
        <w:rPr>
          <w:rFonts w:ascii="Times New Roman" w:hAnsi="Times New Roman"/>
          <w:lang w:bidi="ar"/>
        </w:rPr>
      </w:pPr>
      <w:r>
        <w:rPr>
          <w:rFonts w:ascii="Times New Roman" w:hAnsi="Times New Roman"/>
          <w:lang w:bidi="ar"/>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55880</wp:posOffset>
                </wp:positionV>
                <wp:extent cx="2440940" cy="9525"/>
                <wp:effectExtent l="0" t="1270" r="10160" b="14605"/>
                <wp:wrapNone/>
                <wp:docPr id="1" name="直接连接符 1"/>
                <wp:cNvGraphicFramePr/>
                <a:graphic xmlns:a="http://schemas.openxmlformats.org/drawingml/2006/main">
                  <a:graphicData uri="http://schemas.microsoft.com/office/word/2010/wordprocessingShape">
                    <wps:wsp>
                      <wps:cNvCnPr/>
                      <wps:spPr>
                        <a:xfrm>
                          <a:off x="0" y="0"/>
                          <a:ext cx="2440940" cy="95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2pt;margin-top:4.4pt;height:0.75pt;width:192.2pt;z-index:251659264;mso-width-relative:page;mso-height-relative:page;" filled="f" stroked="t" coordsize="21600,21600" o:gfxdata="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VhX/WAAAABwEAAA8AAAAAAAAAAQAgAAAAIgAAAGRycy9kb3ducmV2LnhtbFBLAQIU&#10;ABQAAAAIAIdO4kCl0Od29QEAAOoDAAAOAAAAAAAAAAEAIAAAACUBAABkcnMvZTJvRG9jLnhtbFBL&#10;BQYAAAAABgAGAFkBAACMBQAAAAA=&#10;">
                <v:fill on="f" focussize="0,0"/>
                <v:stroke weight="2.25pt" color="#FF0000" joinstyle="round"/>
                <v:imagedata o:title=""/>
                <o:lock v:ext="edit" aspectratio="f"/>
              </v:line>
            </w:pict>
          </mc:Fallback>
        </mc:AlternateContent>
      </w:r>
      <w:r>
        <w:rPr>
          <w:rFonts w:ascii="Times New Roman" w:hAnsi="Times New Roman"/>
          <w:lang w:bidi="ar"/>
        </w:rPr>
        <mc:AlternateContent>
          <mc:Choice Requires="wps">
            <w:drawing>
              <wp:anchor distT="0" distB="0" distL="114300" distR="114300" simplePos="0" relativeHeight="251660288" behindDoc="0" locked="0" layoutInCell="1" allowOverlap="1">
                <wp:simplePos x="0" y="0"/>
                <wp:positionH relativeFrom="column">
                  <wp:posOffset>2911475</wp:posOffset>
                </wp:positionH>
                <wp:positionV relativeFrom="paragraph">
                  <wp:posOffset>52070</wp:posOffset>
                </wp:positionV>
                <wp:extent cx="23749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3749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29.25pt;margin-top:4.1pt;height:0pt;width:187pt;z-index:251660288;mso-width-relative:page;mso-height-relative:page;" filled="f" stroked="t" coordsize="21600,21600" o:gfxdata="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MchX9cAAAAHAQAADwAAAAAAAAABACAAAAAiAAAAZHJzL2Rvd25yZXYu&#10;eG1sUEsBAhQAFAAAAAgAh07iQHg6Z8L8AQAA8QMAAA4AAAAAAAAAAQAgAAAAJgEAAGRycy9lMm9E&#10;b2MueG1sUEsFBgAAAAAGAAYAWQEAAJQFAAAAAA==&#10;">
                <v:fill on="f" focussize="0,0"/>
                <v:stroke weight="2.25pt" color="#FF0000" joinstyle="round"/>
                <v:imagedata o:title=""/>
                <o:lock v:ext="edit" aspectratio="f"/>
              </v:line>
            </w:pict>
          </mc:Fallback>
        </mc:AlternateContent>
      </w:r>
    </w:p>
    <w:p>
      <w:pPr>
        <w:adjustRightInd w:val="0"/>
        <w:snapToGrid w:val="0"/>
        <w:spacing w:before="156" w:before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关于吉首大学202</w:t>
      </w:r>
      <w:r>
        <w:rPr>
          <w:rFonts w:hint="eastAsia" w:ascii="方正小标宋简体" w:hAnsi="方正小标宋简体" w:eastAsia="方正小标宋简体" w:cs="方正小标宋简体"/>
          <w:sz w:val="44"/>
          <w:szCs w:val="44"/>
          <w:lang w:eastAsia="zh-CN"/>
        </w:rPr>
        <w:t>2</w:t>
      </w:r>
      <w:r>
        <w:rPr>
          <w:rFonts w:hint="eastAsia" w:ascii="方正小标宋简体" w:hAnsi="方正小标宋简体" w:eastAsia="方正小标宋简体" w:cs="方正小标宋简体"/>
          <w:sz w:val="44"/>
          <w:szCs w:val="44"/>
        </w:rPr>
        <w:t>年大学生校园文化特色</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项目立项的通知</w:t>
      </w:r>
    </w:p>
    <w:p>
      <w:pPr>
        <w:adjustRightInd w:val="0"/>
        <w:snapToGrid w:val="0"/>
        <w:spacing w:before="312" w:beforeLines="100" w:line="360" w:lineRule="auto"/>
        <w:rPr>
          <w:rFonts w:ascii="仿宋" w:hAnsi="仿宋" w:eastAsia="仿宋" w:cs="仿宋"/>
          <w:kern w:val="0"/>
          <w:sz w:val="32"/>
          <w:szCs w:val="32"/>
        </w:rPr>
      </w:pP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学院团委</w:t>
      </w:r>
      <w:r>
        <w:rPr>
          <w:rFonts w:hint="eastAsia" w:ascii="仿宋" w:hAnsi="仿宋" w:eastAsia="仿宋" w:cs="仿宋"/>
          <w:kern w:val="0"/>
          <w:sz w:val="32"/>
          <w:szCs w:val="32"/>
        </w:rPr>
        <w:t>、学生分会：</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根据学校《关于申报吉首大学202</w:t>
      </w:r>
      <w:r>
        <w:rPr>
          <w:rFonts w:hint="eastAsia" w:ascii="仿宋" w:hAnsi="仿宋" w:eastAsia="仿宋" w:cs="仿宋"/>
          <w:kern w:val="0"/>
          <w:sz w:val="32"/>
          <w:szCs w:val="32"/>
          <w:lang w:eastAsia="zh-CN"/>
        </w:rPr>
        <w:t>2</w:t>
      </w:r>
      <w:r>
        <w:rPr>
          <w:rFonts w:hint="eastAsia" w:ascii="仿宋" w:hAnsi="仿宋" w:eastAsia="仿宋" w:cs="仿宋"/>
          <w:kern w:val="0"/>
          <w:sz w:val="32"/>
          <w:szCs w:val="32"/>
        </w:rPr>
        <w:t>年校园文化特色项目的通知》（校团﹝202</w:t>
      </w:r>
      <w:r>
        <w:rPr>
          <w:rFonts w:hint="eastAsia" w:ascii="仿宋" w:hAnsi="仿宋" w:eastAsia="仿宋" w:cs="仿宋"/>
          <w:kern w:val="0"/>
          <w:sz w:val="32"/>
          <w:szCs w:val="32"/>
          <w:lang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5</w:t>
      </w:r>
      <w:r>
        <w:rPr>
          <w:rFonts w:hint="eastAsia" w:ascii="仿宋" w:hAnsi="仿宋" w:eastAsia="仿宋" w:cs="仿宋"/>
          <w:kern w:val="0"/>
          <w:sz w:val="32"/>
          <w:szCs w:val="32"/>
        </w:rPr>
        <w:t>号）精神及要求，</w:t>
      </w:r>
      <w:r>
        <w:rPr>
          <w:rFonts w:hint="eastAsia" w:ascii="仿宋" w:hAnsi="仿宋" w:eastAsia="仿宋" w:cs="仿宋"/>
          <w:kern w:val="0"/>
          <w:sz w:val="32"/>
          <w:szCs w:val="32"/>
          <w:lang w:eastAsia="zh-CN"/>
        </w:rPr>
        <w:t>各</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积极申报，共收到</w:t>
      </w:r>
      <w:r>
        <w:rPr>
          <w:rFonts w:hint="eastAsia" w:ascii="仿宋" w:hAnsi="仿宋" w:eastAsia="仿宋" w:cs="仿宋"/>
          <w:kern w:val="0"/>
          <w:sz w:val="32"/>
          <w:szCs w:val="32"/>
          <w:lang w:eastAsia="zh-CN"/>
        </w:rPr>
        <w:t>49</w:t>
      </w:r>
      <w:r>
        <w:rPr>
          <w:rFonts w:hint="eastAsia" w:ascii="仿宋" w:hAnsi="仿宋" w:eastAsia="仿宋" w:cs="仿宋"/>
          <w:kern w:val="0"/>
          <w:sz w:val="32"/>
          <w:szCs w:val="32"/>
        </w:rPr>
        <w:t>份申报材料，经评议，决定对</w:t>
      </w:r>
      <w:r>
        <w:rPr>
          <w:rFonts w:hint="eastAsia" w:ascii="仿宋" w:hAnsi="仿宋" w:eastAsia="仿宋" w:cs="仿宋"/>
          <w:kern w:val="0"/>
          <w:sz w:val="32"/>
          <w:szCs w:val="32"/>
          <w:lang w:eastAsia="zh-CN"/>
        </w:rPr>
        <w:t>2</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个项目予以立项（具体</w:t>
      </w:r>
      <w:r>
        <w:rPr>
          <w:rFonts w:hint="eastAsia" w:ascii="仿宋" w:hAnsi="仿宋" w:eastAsia="仿宋" w:cs="仿宋"/>
          <w:kern w:val="0"/>
          <w:sz w:val="32"/>
          <w:szCs w:val="32"/>
          <w:lang w:val="en-US" w:eastAsia="zh-CN"/>
        </w:rPr>
        <w:t>名单</w:t>
      </w:r>
      <w:r>
        <w:rPr>
          <w:rFonts w:hint="eastAsia" w:ascii="仿宋" w:hAnsi="仿宋" w:eastAsia="仿宋" w:cs="仿宋"/>
          <w:kern w:val="0"/>
          <w:sz w:val="32"/>
          <w:szCs w:val="32"/>
        </w:rPr>
        <w:t>见附件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），并给予经费支持。具体工作要求如下：</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立项的项目均为全校性校园文化活动，活动对象为全体在校学生，主办单位为共青团吉首大学委员会。</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项目立项后，各申报单位应在本通知下发后一周内完善活动策划书并填写《吉首大学校园文化活动申报书》（可在吉首大学先锋网下载专区下载），并按照立项通知</w:t>
      </w:r>
      <w:r>
        <w:rPr>
          <w:rFonts w:hint="eastAsia" w:ascii="仿宋" w:hAnsi="仿宋" w:eastAsia="仿宋" w:cs="仿宋"/>
          <w:kern w:val="0"/>
          <w:sz w:val="32"/>
          <w:szCs w:val="32"/>
          <w:lang w:val="en-US" w:eastAsia="zh-CN"/>
        </w:rPr>
        <w:t>和</w:t>
      </w:r>
      <w:r>
        <w:rPr>
          <w:rFonts w:hint="eastAsia" w:ascii="仿宋" w:hAnsi="仿宋" w:eastAsia="仿宋" w:cs="仿宋"/>
          <w:kern w:val="0"/>
          <w:sz w:val="32"/>
          <w:szCs w:val="32"/>
        </w:rPr>
        <w:t>《吉首大学校园文化活动管理办法（202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年修订版）》</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见附件2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的时间要求完成项目的实施及总结报告。校团委负责项目实施的协调、指导、督促，对推进效果不佳的项目可进行调整。 </w:t>
      </w:r>
    </w:p>
    <w:p>
      <w:pPr>
        <w:numPr>
          <w:ilvl w:val="255"/>
          <w:numId w:val="0"/>
        </w:num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相关单位应在活动项目</w:t>
      </w:r>
      <w:r>
        <w:rPr>
          <w:rFonts w:hint="eastAsia" w:ascii="仿宋" w:hAnsi="仿宋" w:eastAsia="仿宋" w:cs="仿宋"/>
          <w:kern w:val="0"/>
          <w:sz w:val="32"/>
          <w:szCs w:val="32"/>
          <w:lang w:val="en-US" w:eastAsia="zh-CN"/>
        </w:rPr>
        <w:t>开展的前一个月2号上交校园文化活动立项书，活动</w:t>
      </w:r>
      <w:r>
        <w:rPr>
          <w:rFonts w:hint="eastAsia" w:ascii="仿宋" w:hAnsi="仿宋" w:eastAsia="仿宋" w:cs="仿宋"/>
          <w:kern w:val="0"/>
          <w:sz w:val="32"/>
          <w:szCs w:val="32"/>
        </w:rPr>
        <w:t>实施结束后15日内完成活动总结及相关资料汇总，填报并提交《吉首大学校园文化活动结项书》（可在吉首大学先锋网下载专区下载）申请结项，校团委将根据活动项目完成的质量审核评估并给予经费报账。</w:t>
      </w:r>
    </w:p>
    <w:p>
      <w:pPr>
        <w:adjustRightInd w:val="0"/>
        <w:snapToGrid w:val="0"/>
        <w:spacing w:line="360" w:lineRule="auto"/>
        <w:ind w:firstLine="640"/>
        <w:rPr>
          <w:rFonts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项目活动经费应做到科学预算、合理使用、杜绝浪费，并遵守学校财务管理有关制度和《吉首大学团委工作经费管理办法》</w:t>
      </w:r>
      <w:r>
        <w:rPr>
          <w:rFonts w:hint="eastAsia" w:ascii="仿宋" w:hAnsi="仿宋" w:eastAsia="仿宋" w:cs="宋体"/>
          <w:kern w:val="0"/>
          <w:sz w:val="32"/>
          <w:szCs w:val="32"/>
        </w:rPr>
        <w:t>（2019年修订版）</w:t>
      </w:r>
      <w:r>
        <w:rPr>
          <w:rFonts w:hint="eastAsia" w:ascii="仿宋" w:hAnsi="仿宋" w:eastAsia="仿宋" w:cs="仿宋"/>
          <w:kern w:val="0"/>
          <w:sz w:val="32"/>
          <w:szCs w:val="32"/>
        </w:rPr>
        <w:t>。</w:t>
      </w:r>
    </w:p>
    <w:p>
      <w:pPr>
        <w:spacing w:line="360" w:lineRule="auto"/>
        <w:ind w:firstLine="643" w:firstLineChars="200"/>
        <w:rPr>
          <w:rFonts w:ascii="仿宋" w:hAnsi="仿宋" w:eastAsia="仿宋" w:cs="宋体"/>
          <w:b/>
          <w:bCs/>
          <w:kern w:val="0"/>
          <w:sz w:val="32"/>
          <w:szCs w:val="32"/>
        </w:rPr>
      </w:pPr>
    </w:p>
    <w:p>
      <w:p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附件：</w:t>
      </w:r>
    </w:p>
    <w:p>
      <w:pPr>
        <w:numPr>
          <w:ilvl w:val="0"/>
          <w:numId w:val="0"/>
        </w:num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吉首大学202</w:t>
      </w:r>
      <w:r>
        <w:rPr>
          <w:rFonts w:hint="eastAsia" w:ascii="仿宋" w:hAnsi="仿宋" w:eastAsia="仿宋" w:cs="宋体"/>
          <w:kern w:val="0"/>
          <w:sz w:val="32"/>
          <w:szCs w:val="32"/>
          <w:lang w:eastAsia="zh-CN"/>
        </w:rPr>
        <w:t>2</w:t>
      </w:r>
      <w:r>
        <w:rPr>
          <w:rFonts w:hint="eastAsia" w:ascii="仿宋" w:hAnsi="仿宋" w:eastAsia="仿宋" w:cs="宋体"/>
          <w:kern w:val="0"/>
          <w:sz w:val="32"/>
          <w:szCs w:val="32"/>
        </w:rPr>
        <w:t>年共青团重点工作项目领办暨校园文化项目立项表</w:t>
      </w:r>
    </w:p>
    <w:p>
      <w:pPr>
        <w:numPr>
          <w:ilvl w:val="0"/>
          <w:numId w:val="0"/>
        </w:numPr>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2.吉首大学校园文化活动管理办法（2022年修订版）</w:t>
      </w:r>
    </w:p>
    <w:p>
      <w:pPr>
        <w:spacing w:line="520" w:lineRule="exact"/>
        <w:rPr>
          <w:rFonts w:ascii="仿宋" w:hAnsi="仿宋" w:eastAsia="仿宋" w:cs="宋体"/>
          <w:kern w:val="0"/>
          <w:sz w:val="32"/>
          <w:szCs w:val="32"/>
        </w:rPr>
      </w:pPr>
    </w:p>
    <w:p>
      <w:pPr>
        <w:spacing w:line="520" w:lineRule="exact"/>
        <w:rPr>
          <w:rFonts w:ascii="仿宋" w:hAnsi="仿宋" w:eastAsia="仿宋" w:cs="宋体"/>
          <w:kern w:val="0"/>
          <w:sz w:val="32"/>
          <w:szCs w:val="32"/>
        </w:rPr>
      </w:pPr>
    </w:p>
    <w:p>
      <w:pPr>
        <w:spacing w:line="360" w:lineRule="auto"/>
        <w:jc w:val="right"/>
        <w:rPr>
          <w:rFonts w:ascii="仿宋" w:hAnsi="仿宋" w:eastAsia="仿宋" w:cs="宋体"/>
          <w:kern w:val="0"/>
          <w:sz w:val="32"/>
          <w:szCs w:val="32"/>
        </w:rPr>
      </w:pPr>
      <w:r>
        <w:rPr>
          <w:rFonts w:hint="eastAsia" w:ascii="仿宋" w:hAnsi="仿宋" w:eastAsia="仿宋" w:cs="宋体"/>
          <w:kern w:val="0"/>
          <w:sz w:val="32"/>
          <w:szCs w:val="32"/>
        </w:rPr>
        <w:t>共青团吉首大学委员会</w:t>
      </w:r>
    </w:p>
    <w:p>
      <w:pPr>
        <w:wordWrap w:val="0"/>
        <w:spacing w:line="360" w:lineRule="auto"/>
        <w:jc w:val="right"/>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 xml:space="preserve">日  </w:t>
      </w:r>
    </w:p>
    <w:p>
      <w:pPr>
        <w:spacing w:line="360" w:lineRule="auto"/>
        <w:rPr>
          <w:rFonts w:ascii="仿宋" w:hAnsi="仿宋" w:eastAsia="仿宋" w:cs="宋体"/>
          <w:kern w:val="0"/>
          <w:sz w:val="32"/>
          <w:szCs w:val="32"/>
        </w:rPr>
      </w:pPr>
    </w:p>
    <w:p>
      <w:pPr>
        <w:spacing w:line="360" w:lineRule="auto"/>
        <w:rPr>
          <w:rFonts w:ascii="仿宋" w:hAnsi="仿宋" w:eastAsia="仿宋" w:cs="宋体"/>
          <w:kern w:val="0"/>
          <w:sz w:val="32"/>
          <w:szCs w:val="32"/>
        </w:rPr>
        <w:sectPr>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吉首大学202</w:t>
      </w:r>
      <w:r>
        <w:rPr>
          <w:rFonts w:hint="eastAsia" w:ascii="方正小标宋简体" w:hAnsi="方正小标宋简体" w:eastAsia="方正小标宋简体" w:cs="方正小标宋简体"/>
          <w:sz w:val="40"/>
          <w:szCs w:val="40"/>
          <w:lang w:eastAsia="zh-CN"/>
        </w:rPr>
        <w:t>2</w:t>
      </w:r>
      <w:r>
        <w:rPr>
          <w:rFonts w:hint="eastAsia" w:ascii="方正小标宋简体" w:hAnsi="方正小标宋简体" w:eastAsia="方正小标宋简体" w:cs="方正小标宋简体"/>
          <w:sz w:val="40"/>
          <w:szCs w:val="40"/>
        </w:rPr>
        <w:t>年共青团重点工作项目领办暨校园文化项目立项表</w:t>
      </w:r>
    </w:p>
    <w:p>
      <w:pPr>
        <w:jc w:val="center"/>
        <w:rPr>
          <w:rFonts w:hint="eastAsia" w:ascii="方正小标宋简体" w:hAnsi="方正小标宋简体" w:eastAsia="方正小标宋简体" w:cs="方正小标宋简体"/>
          <w:sz w:val="40"/>
          <w:szCs w:val="40"/>
        </w:rPr>
      </w:pPr>
    </w:p>
    <w:tbl>
      <w:tblPr>
        <w:tblStyle w:val="6"/>
        <w:tblW w:w="15796" w:type="dxa"/>
        <w:jc w:val="center"/>
        <w:tblLayout w:type="fixed"/>
        <w:tblCellMar>
          <w:top w:w="15" w:type="dxa"/>
          <w:left w:w="15" w:type="dxa"/>
          <w:bottom w:w="15" w:type="dxa"/>
          <w:right w:w="15" w:type="dxa"/>
        </w:tblCellMar>
      </w:tblPr>
      <w:tblGrid>
        <w:gridCol w:w="2867"/>
        <w:gridCol w:w="2937"/>
        <w:gridCol w:w="800"/>
        <w:gridCol w:w="6447"/>
        <w:gridCol w:w="1425"/>
        <w:gridCol w:w="1320"/>
      </w:tblGrid>
      <w:tr>
        <w:tblPrEx>
          <w:tblCellMar>
            <w:top w:w="15" w:type="dxa"/>
            <w:left w:w="15" w:type="dxa"/>
            <w:bottom w:w="15" w:type="dxa"/>
            <w:right w:w="15" w:type="dxa"/>
          </w:tblCellMar>
        </w:tblPrEx>
        <w:trPr>
          <w:trHeight w:val="712" w:hRule="atLeast"/>
          <w:jc w:val="center"/>
        </w:trPr>
        <w:tc>
          <w:tcPr>
            <w:tcW w:w="286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主题</w:t>
            </w:r>
          </w:p>
        </w:tc>
        <w:tc>
          <w:tcPr>
            <w:tcW w:w="293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单位</w:t>
            </w:r>
          </w:p>
        </w:tc>
        <w:tc>
          <w:tcPr>
            <w:tcW w:w="8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序号</w:t>
            </w:r>
          </w:p>
        </w:tc>
        <w:tc>
          <w:tcPr>
            <w:tcW w:w="644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活动名称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负责人</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时间</w:t>
            </w:r>
          </w:p>
        </w:tc>
      </w:tr>
      <w:tr>
        <w:tblPrEx>
          <w:tblCellMar>
            <w:top w:w="15" w:type="dxa"/>
            <w:left w:w="15" w:type="dxa"/>
            <w:bottom w:w="15" w:type="dxa"/>
            <w:right w:w="15" w:type="dxa"/>
          </w:tblCellMar>
        </w:tblPrEx>
        <w:trPr>
          <w:trHeight w:val="737" w:hRule="atLeast"/>
          <w:jc w:val="center"/>
        </w:trPr>
        <w:tc>
          <w:tcPr>
            <w:tcW w:w="2867"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“喜迎二十大、永远跟党走、奋进新征程”</w:t>
            </w:r>
            <w:r>
              <w:rPr>
                <w:rFonts w:hint="eastAsia" w:ascii="仿宋" w:hAnsi="仿宋" w:eastAsia="仿宋" w:cs="仿宋"/>
                <w:color w:val="000000"/>
                <w:kern w:val="0"/>
                <w:sz w:val="24"/>
                <w:szCs w:val="24"/>
                <w:lang w:eastAsia="zh-CN" w:bidi="ar"/>
              </w:rPr>
              <w:t>主题教育活动</w:t>
            </w: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信息科学与工程学院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微笑吉大之“青春与团行 喜迎二十大”主题创作大赛</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何  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11月</w:t>
            </w:r>
          </w:p>
        </w:tc>
      </w:tr>
      <w:tr>
        <w:tblPrEx>
          <w:tblCellMar>
            <w:top w:w="15" w:type="dxa"/>
            <w:left w:w="15" w:type="dxa"/>
            <w:bottom w:w="15" w:type="dxa"/>
            <w:right w:w="15" w:type="dxa"/>
          </w:tblCellMar>
        </w:tblPrEx>
        <w:trPr>
          <w:trHeight w:val="737" w:hRule="atLeast"/>
          <w:jc w:val="center"/>
        </w:trPr>
        <w:tc>
          <w:tcPr>
            <w:tcW w:w="286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p>
        </w:tc>
        <w:tc>
          <w:tcPr>
            <w:tcW w:w="2937"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0"/>
                <w:sz w:val="24"/>
                <w:szCs w:val="24"/>
                <w:lang w:val="en-US" w:eastAsia="zh-CN" w:bidi="ar"/>
              </w:rPr>
              <w:t>数学与统计学院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t>2</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r>
              <w:rPr>
                <w:rFonts w:hint="eastAsia" w:ascii="仿宋" w:hAnsi="仿宋" w:eastAsia="仿宋" w:cs="仿宋"/>
                <w:color w:val="000000"/>
                <w:kern w:val="0"/>
                <w:sz w:val="24"/>
                <w:szCs w:val="24"/>
                <w:lang w:val="en-US" w:eastAsia="zh-CN" w:bidi="ar"/>
              </w:rPr>
              <w:t>喜迎二十大、永远跟党走、奋进新征程</w:t>
            </w:r>
            <w:r>
              <w:rPr>
                <w:rFonts w:hint="eastAsia" w:ascii="仿宋" w:hAnsi="仿宋" w:eastAsia="仿宋" w:cs="仿宋"/>
                <w:i w:val="0"/>
                <w:iCs w:val="0"/>
                <w:color w:val="auto"/>
                <w:kern w:val="0"/>
                <w:sz w:val="24"/>
                <w:szCs w:val="24"/>
                <w:u w:val="none"/>
                <w:lang w:val="en-US" w:eastAsia="zh-CN" w:bidi="ar"/>
              </w:rPr>
              <w:t>”——两字一剪一画作品征集</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仿宋"/>
                <w:i w:val="0"/>
                <w:iCs w:val="0"/>
                <w:color w:val="000000"/>
                <w:kern w:val="2"/>
                <w:sz w:val="24"/>
                <w:szCs w:val="24"/>
                <w:u w:val="none"/>
                <w:lang w:eastAsia="zh-CN" w:bidi="ar-SA"/>
              </w:rPr>
            </w:pPr>
            <w:r>
              <w:rPr>
                <w:rFonts w:hint="default" w:ascii="仿宋" w:hAnsi="仿宋" w:eastAsia="仿宋" w:cs="仿宋"/>
                <w:color w:val="auto"/>
                <w:kern w:val="0"/>
                <w:sz w:val="24"/>
                <w:szCs w:val="24"/>
                <w:lang w:eastAsia="zh-CN"/>
              </w:rPr>
              <w:t>张毓芯</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t>7月-8月</w:t>
            </w:r>
          </w:p>
        </w:tc>
      </w:tr>
      <w:tr>
        <w:tblPrEx>
          <w:tblCellMar>
            <w:top w:w="15" w:type="dxa"/>
            <w:left w:w="15" w:type="dxa"/>
            <w:bottom w:w="15" w:type="dxa"/>
            <w:right w:w="15" w:type="dxa"/>
          </w:tblCellMar>
        </w:tblPrEx>
        <w:trPr>
          <w:trHeight w:val="737" w:hRule="atLeast"/>
          <w:jc w:val="center"/>
        </w:trPr>
        <w:tc>
          <w:tcPr>
            <w:tcW w:w="2867" w:type="dxa"/>
            <w:vMerge w:val="restart"/>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大学生文明素质养成</w:t>
            </w:r>
            <w:r>
              <w:rPr>
                <w:rFonts w:hint="eastAsia" w:ascii="仿宋" w:hAnsi="仿宋" w:eastAsia="仿宋" w:cs="仿宋"/>
                <w:color w:val="000000"/>
                <w:kern w:val="0"/>
                <w:sz w:val="24"/>
                <w:szCs w:val="24"/>
                <w:lang w:val="en-US" w:eastAsia="zh-CN" w:bidi="ar"/>
              </w:rPr>
              <w:t>系列活动</w:t>
            </w: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化学化工学院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吉首大学2022年“榜样在身边”分享会</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0"/>
                <w:sz w:val="24"/>
                <w:szCs w:val="24"/>
                <w:lang w:val="en-US" w:eastAsia="zh-CN" w:bidi="ar"/>
              </w:rPr>
            </w:pPr>
            <w:r>
              <w:rPr>
                <w:rFonts w:hint="default" w:ascii="仿宋" w:hAnsi="仿宋" w:eastAsia="仿宋" w:cs="仿宋"/>
                <w:kern w:val="0"/>
                <w:sz w:val="24"/>
                <w:szCs w:val="24"/>
                <w:lang w:eastAsia="zh-CN" w:bidi="ar"/>
              </w:rPr>
              <w:t>田  惠</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9月</w:t>
            </w:r>
          </w:p>
        </w:tc>
      </w:tr>
      <w:tr>
        <w:tblPrEx>
          <w:tblCellMar>
            <w:top w:w="15" w:type="dxa"/>
            <w:left w:w="15" w:type="dxa"/>
            <w:bottom w:w="15" w:type="dxa"/>
            <w:right w:w="15" w:type="dxa"/>
          </w:tblCellMar>
        </w:tblPrEx>
        <w:trPr>
          <w:trHeight w:val="737" w:hRule="atLeast"/>
          <w:jc w:val="center"/>
        </w:trPr>
        <w:tc>
          <w:tcPr>
            <w:tcW w:w="2867"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lang w:val="en-US" w:eastAsia="zh-CN" w:bidi="ar"/>
              </w:rPr>
              <w:t>体育科学学院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吉首大学校园迷你马拉松</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kern w:val="0"/>
                <w:sz w:val="24"/>
                <w:szCs w:val="24"/>
                <w:lang w:val="en-US" w:eastAsia="zh-CN" w:bidi="ar"/>
              </w:rPr>
            </w:pPr>
            <w:r>
              <w:rPr>
                <w:rFonts w:hint="default" w:ascii="仿宋" w:hAnsi="仿宋" w:eastAsia="仿宋" w:cs="仿宋"/>
                <w:i w:val="0"/>
                <w:iCs w:val="0"/>
                <w:color w:val="000000"/>
                <w:kern w:val="2"/>
                <w:sz w:val="24"/>
                <w:szCs w:val="24"/>
                <w:u w:val="none"/>
                <w:lang w:eastAsia="zh-CN" w:bidi="ar-SA"/>
              </w:rPr>
              <w:t>任志君</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11月</w:t>
            </w:r>
          </w:p>
        </w:tc>
      </w:tr>
      <w:tr>
        <w:tblPrEx>
          <w:tblCellMar>
            <w:top w:w="15" w:type="dxa"/>
            <w:left w:w="15" w:type="dxa"/>
            <w:bottom w:w="15" w:type="dxa"/>
            <w:right w:w="15" w:type="dxa"/>
          </w:tblCellMar>
        </w:tblPrEx>
        <w:trPr>
          <w:trHeight w:val="737" w:hRule="atLeast"/>
          <w:jc w:val="center"/>
        </w:trPr>
        <w:tc>
          <w:tcPr>
            <w:tcW w:w="2867"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生物资源与环境科学学院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“美丽中国·青春行动”主题系列活动暨“美丽中国·青春行动”第十二届全国青少年“绿植领养”活动</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eastAsia="zh-CN" w:bidi="ar"/>
              </w:rPr>
              <w:t>闫  亮</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5月</w:t>
            </w:r>
          </w:p>
        </w:tc>
      </w:tr>
      <w:tr>
        <w:tblPrEx>
          <w:tblCellMar>
            <w:top w:w="15" w:type="dxa"/>
            <w:left w:w="15" w:type="dxa"/>
            <w:bottom w:w="15" w:type="dxa"/>
            <w:right w:w="15" w:type="dxa"/>
          </w:tblCellMar>
        </w:tblPrEx>
        <w:trPr>
          <w:trHeight w:val="737" w:hRule="atLeast"/>
          <w:jc w:val="center"/>
        </w:trPr>
        <w:tc>
          <w:tcPr>
            <w:tcW w:w="2867"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土木工程与建筑学院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eastAsia="zh-CN" w:bidi="ar"/>
              </w:rPr>
              <w:t>悦动青春，奔向未来”红色趣味校园跑</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eastAsia="zh-CN" w:bidi="ar-SA"/>
              </w:rPr>
              <w:t>张晓阳</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eastAsia="zh-CN" w:bidi="ar"/>
              </w:rPr>
              <w:t>9月—11月</w:t>
            </w:r>
          </w:p>
        </w:tc>
      </w:tr>
      <w:tr>
        <w:tblPrEx>
          <w:tblCellMar>
            <w:top w:w="15" w:type="dxa"/>
            <w:left w:w="15" w:type="dxa"/>
            <w:bottom w:w="15" w:type="dxa"/>
            <w:right w:w="15" w:type="dxa"/>
          </w:tblCellMar>
        </w:tblPrEx>
        <w:trPr>
          <w:trHeight w:val="737" w:hRule="atLeast"/>
          <w:jc w:val="center"/>
        </w:trPr>
        <w:tc>
          <w:tcPr>
            <w:tcW w:w="286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药学院</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“青年之声”主题文化沙龙活动</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石静咏诗</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10月</w:t>
            </w:r>
          </w:p>
        </w:tc>
      </w:tr>
      <w:tr>
        <w:tblPrEx>
          <w:tblCellMar>
            <w:top w:w="15" w:type="dxa"/>
            <w:left w:w="15" w:type="dxa"/>
            <w:bottom w:w="15" w:type="dxa"/>
            <w:right w:w="15" w:type="dxa"/>
          </w:tblCellMar>
        </w:tblPrEx>
        <w:trPr>
          <w:trHeight w:val="737" w:hRule="atLeast"/>
          <w:jc w:val="center"/>
        </w:trPr>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sz w:val="24"/>
                <w:szCs w:val="24"/>
                <w:lang w:val="en-US" w:eastAsia="zh-CN"/>
              </w:rPr>
              <w:t>“庆祝建团百年”主题教育活动</w:t>
            </w: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法学与公共管理学院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“崇廉尚洁·风清吉大”党风廉政建设进校园系列活动</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eastAsia="zh-CN" w:bidi="ar-SA"/>
              </w:rPr>
            </w:pPr>
            <w:r>
              <w:rPr>
                <w:rFonts w:hint="default" w:ascii="仿宋" w:hAnsi="仿宋" w:eastAsia="仿宋" w:cs="仿宋"/>
                <w:i w:val="0"/>
                <w:iCs w:val="0"/>
                <w:color w:val="000000"/>
                <w:kern w:val="2"/>
                <w:sz w:val="24"/>
                <w:szCs w:val="24"/>
                <w:u w:val="none"/>
                <w:lang w:eastAsia="zh-CN" w:bidi="ar-SA"/>
              </w:rPr>
              <w:t>哈米拉提</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马克思主义学院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“青春逢盛世，奋斗正当时，喜迎二十大”主题征文比赛</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陈  凯</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bidi="ar"/>
              </w:rPr>
            </w:pPr>
          </w:p>
        </w:tc>
        <w:tc>
          <w:tcPr>
            <w:tcW w:w="2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软件学院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w:t>
            </w:r>
          </w:p>
        </w:tc>
        <w:tc>
          <w:tcPr>
            <w:tcW w:w="6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“聆听红色故事</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见证百年党史”第二阶段红色故事会</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邹  令</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kern w:val="0"/>
                <w:sz w:val="24"/>
                <w:szCs w:val="24"/>
                <w:lang w:eastAsia="zh-CN" w:bidi="ar"/>
              </w:rPr>
            </w:pPr>
            <w:r>
              <w:rPr>
                <w:rFonts w:hint="default" w:ascii="仿宋" w:hAnsi="仿宋" w:eastAsia="仿宋" w:cs="仿宋"/>
                <w:color w:val="auto"/>
                <w:kern w:val="0"/>
                <w:sz w:val="24"/>
                <w:szCs w:val="24"/>
                <w:lang w:eastAsia="zh-CN" w:bidi="ar"/>
              </w:rPr>
              <w:t>美术学院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w:t>
            </w:r>
          </w:p>
        </w:tc>
        <w:tc>
          <w:tcPr>
            <w:tcW w:w="6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rPr>
            </w:pPr>
            <w:r>
              <w:rPr>
                <w:rFonts w:hint="default" w:ascii="仿宋" w:hAnsi="仿宋" w:eastAsia="仿宋" w:cs="仿宋"/>
                <w:color w:val="auto"/>
                <w:sz w:val="24"/>
                <w:szCs w:val="24"/>
              </w:rPr>
              <w:t>“传五四薪火 书共青风华”庆建团100 周年书法</w:t>
            </w:r>
            <w:r>
              <w:rPr>
                <w:rFonts w:hint="eastAsia" w:ascii="仿宋" w:hAnsi="仿宋" w:eastAsia="仿宋" w:cs="仿宋"/>
                <w:color w:val="auto"/>
                <w:sz w:val="24"/>
                <w:szCs w:val="24"/>
                <w:lang w:val="en-US" w:eastAsia="zh-CN"/>
              </w:rPr>
              <w:t>展</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仿宋"/>
                <w:color w:val="auto"/>
                <w:kern w:val="0"/>
                <w:sz w:val="24"/>
                <w:szCs w:val="24"/>
                <w:lang w:eastAsia="zh-CN"/>
              </w:rPr>
            </w:pPr>
            <w:r>
              <w:rPr>
                <w:rFonts w:hint="default" w:ascii="仿宋" w:hAnsi="仿宋" w:eastAsia="仿宋" w:cs="仿宋"/>
                <w:color w:val="auto"/>
                <w:kern w:val="0"/>
                <w:sz w:val="24"/>
                <w:szCs w:val="24"/>
                <w:lang w:eastAsia="zh-CN"/>
              </w:rPr>
              <w:t>赵敬敬</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11</w:t>
            </w:r>
            <w:r>
              <w:rPr>
                <w:rFonts w:hint="default" w:ascii="仿宋" w:hAnsi="仿宋" w:eastAsia="仿宋" w:cs="仿宋"/>
                <w:color w:val="auto"/>
                <w:kern w:val="0"/>
                <w:sz w:val="24"/>
                <w:szCs w:val="24"/>
                <w:lang w:eastAsia="zh-CN" w:bidi="ar"/>
              </w:rPr>
              <w:t>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kern w:val="0"/>
                <w:sz w:val="24"/>
                <w:szCs w:val="24"/>
                <w:lang w:eastAsia="zh-CN" w:bidi="ar"/>
              </w:rPr>
            </w:pPr>
            <w:r>
              <w:rPr>
                <w:rFonts w:hint="eastAsia" w:ascii="仿宋" w:hAnsi="仿宋" w:eastAsia="仿宋" w:cs="仿宋"/>
                <w:i w:val="0"/>
                <w:iCs w:val="0"/>
                <w:color w:val="000000"/>
                <w:kern w:val="0"/>
                <w:sz w:val="24"/>
                <w:szCs w:val="24"/>
                <w:u w:val="none"/>
                <w:lang w:val="en-US" w:eastAsia="zh-CN" w:bidi="ar"/>
              </w:rPr>
              <w:t>音乐舞蹈学院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12</w:t>
            </w:r>
          </w:p>
        </w:tc>
        <w:tc>
          <w:tcPr>
            <w:tcW w:w="6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“我的青春我的团”庆祝建团100周年系列主题活动</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任  倩</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外国语学院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庆祝建团百年，百年团史青年说</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eastAsia="zh-CN" w:bidi="ar-SA"/>
              </w:rPr>
              <w:t>向  芳</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文学与新闻传播学院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“以青春之我·传五四薪火”主题系列活动暨第三届读红色经典·讲红色故事·守红色初心——学“习”评阅大赛</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eastAsia="zh-CN" w:bidi="ar-SA"/>
              </w:rPr>
              <w:t>刘建新</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物理与机电工程学院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“青春跟党走·百年团史青年学”知识竞答活动</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eastAsia="zh-CN" w:bidi="ar-SA"/>
              </w:rPr>
              <w:t>谭艳文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10—12月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旅游与管理工程学院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6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eastAsia="zh-CN"/>
              </w:rPr>
              <w:t>“</w:t>
            </w:r>
            <w:r>
              <w:rPr>
                <w:rFonts w:hint="eastAsia" w:ascii="仿宋" w:hAnsi="仿宋" w:eastAsia="仿宋" w:cs="仿宋"/>
                <w:sz w:val="24"/>
                <w:szCs w:val="24"/>
              </w:rPr>
              <w:t>致青春，跟党走”乡村旅游路线设计比赛</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0"/>
                <w:sz w:val="24"/>
                <w:szCs w:val="24"/>
                <w:lang w:val="en-US" w:eastAsia="zh-CN" w:bidi="ar"/>
              </w:rPr>
            </w:pPr>
            <w:r>
              <w:rPr>
                <w:rFonts w:hint="default" w:ascii="仿宋" w:hAnsi="仿宋" w:eastAsia="仿宋" w:cs="仿宋"/>
                <w:kern w:val="0"/>
                <w:sz w:val="24"/>
                <w:szCs w:val="24"/>
                <w:lang w:eastAsia="zh-CN" w:bidi="ar"/>
              </w:rPr>
              <w:t>赵  潞</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10月</w:t>
            </w:r>
          </w:p>
        </w:tc>
      </w:tr>
      <w:tr>
        <w:tblPrEx>
          <w:tblCellMar>
            <w:top w:w="15" w:type="dxa"/>
            <w:left w:w="15" w:type="dxa"/>
            <w:bottom w:w="15" w:type="dxa"/>
            <w:right w:w="15" w:type="dxa"/>
          </w:tblCellMar>
        </w:tblPrEx>
        <w:trPr>
          <w:trHeight w:val="737" w:hRule="atLeast"/>
          <w:jc w:val="center"/>
        </w:trPr>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国际教育学院</w:t>
            </w:r>
          </w:p>
          <w:p>
            <w:p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历史与文化学院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1</w:t>
            </w:r>
            <w:r>
              <w:rPr>
                <w:rFonts w:hint="default" w:ascii="仿宋" w:hAnsi="仿宋" w:eastAsia="仿宋" w:cs="仿宋"/>
                <w:color w:val="000000"/>
                <w:kern w:val="0"/>
                <w:sz w:val="24"/>
                <w:szCs w:val="24"/>
                <w:lang w:eastAsia="zh-CN" w:bidi="ar"/>
              </w:rPr>
              <w:t>7</w:t>
            </w:r>
          </w:p>
        </w:tc>
        <w:tc>
          <w:tcPr>
            <w:tcW w:w="6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奋斗百年路，“青”听微团课</w:t>
            </w:r>
            <w:r>
              <w:rPr>
                <w:rFonts w:hint="eastAsia" w:ascii="仿宋" w:hAnsi="仿宋" w:eastAsia="仿宋" w:cs="仿宋"/>
                <w:sz w:val="24"/>
                <w:szCs w:val="24"/>
                <w:lang w:val="en-US" w:eastAsia="zh-CN"/>
              </w:rPr>
              <w:t>比赛</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仿宋"/>
                <w:color w:val="000000"/>
                <w:kern w:val="0"/>
                <w:sz w:val="24"/>
                <w:szCs w:val="24"/>
                <w:lang w:eastAsia="zh-CN"/>
              </w:rPr>
            </w:pPr>
            <w:r>
              <w:rPr>
                <w:rFonts w:hint="default" w:ascii="仿宋" w:hAnsi="仿宋" w:eastAsia="仿宋" w:cs="仿宋"/>
                <w:color w:val="000000"/>
                <w:kern w:val="0"/>
                <w:sz w:val="24"/>
                <w:szCs w:val="24"/>
                <w:lang w:eastAsia="zh-CN"/>
              </w:rPr>
              <w:t>田  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10月</w:t>
            </w:r>
          </w:p>
        </w:tc>
      </w:tr>
      <w:tr>
        <w:tblPrEx>
          <w:tblCellMar>
            <w:top w:w="15" w:type="dxa"/>
            <w:left w:w="15" w:type="dxa"/>
            <w:bottom w:w="15" w:type="dxa"/>
            <w:right w:w="15" w:type="dxa"/>
          </w:tblCellMar>
        </w:tblPrEx>
        <w:trPr>
          <w:trHeight w:val="624" w:hRule="atLeast"/>
          <w:jc w:val="center"/>
        </w:trPr>
        <w:tc>
          <w:tcPr>
            <w:tcW w:w="2867" w:type="dxa"/>
            <w:vMerge w:val="restart"/>
            <w:tcBorders>
              <w:top w:val="single" w:color="auto" w:sz="4" w:space="0"/>
              <w:left w:val="single" w:color="auto" w:sz="4" w:space="0"/>
              <w:right w:val="single" w:color="auto" w:sz="4" w:space="0"/>
            </w:tcBorders>
            <w:vAlign w:val="center"/>
          </w:tcPr>
          <w:p>
            <w:pPr>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民族团结教育系列活动</w:t>
            </w: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医学院</w:t>
            </w:r>
          </w:p>
        </w:tc>
        <w:tc>
          <w:tcPr>
            <w:tcW w:w="80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w:t>
            </w:r>
          </w:p>
        </w:tc>
        <w:tc>
          <w:tcPr>
            <w:tcW w:w="6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铸牢中华民族共同体意识</w:t>
            </w:r>
            <w:r>
              <w:rPr>
                <w:rFonts w:hint="eastAsia" w:ascii="仿宋" w:hAnsi="仿宋" w:eastAsia="仿宋" w:cs="仿宋"/>
                <w:sz w:val="24"/>
                <w:szCs w:val="24"/>
                <w:lang w:eastAsia="zh-CN"/>
              </w:rPr>
              <w:t>”</w:t>
            </w:r>
            <w:r>
              <w:rPr>
                <w:rFonts w:hint="eastAsia" w:ascii="仿宋" w:hAnsi="仿宋" w:eastAsia="仿宋" w:cs="仿宋"/>
                <w:sz w:val="24"/>
                <w:szCs w:val="24"/>
              </w:rPr>
              <w:t>吉首大学第四届民族文化艺术节</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张  程</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10月</w:t>
            </w:r>
          </w:p>
        </w:tc>
      </w:tr>
      <w:tr>
        <w:tblPrEx>
          <w:tblCellMar>
            <w:top w:w="15" w:type="dxa"/>
            <w:left w:w="15" w:type="dxa"/>
            <w:bottom w:w="15" w:type="dxa"/>
            <w:right w:w="15" w:type="dxa"/>
          </w:tblCellMar>
        </w:tblPrEx>
        <w:trPr>
          <w:trHeight w:val="624" w:hRule="atLeast"/>
          <w:jc w:val="center"/>
        </w:trPr>
        <w:tc>
          <w:tcPr>
            <w:tcW w:w="2867" w:type="dxa"/>
            <w:vMerge w:val="continue"/>
            <w:tcBorders>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4"/>
                <w:szCs w:val="24"/>
                <w:lang w:val="en-US" w:eastAsia="zh-CN" w:bidi="ar"/>
              </w:rPr>
            </w:pPr>
          </w:p>
        </w:tc>
        <w:tc>
          <w:tcPr>
            <w:tcW w:w="2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民族预科教育学院</w:t>
            </w:r>
          </w:p>
        </w:tc>
        <w:tc>
          <w:tcPr>
            <w:tcW w:w="80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t>19</w:t>
            </w:r>
          </w:p>
        </w:tc>
        <w:tc>
          <w:tcPr>
            <w:tcW w:w="6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i w:val="0"/>
                <w:iCs w:val="0"/>
                <w:color w:val="auto"/>
                <w:kern w:val="0"/>
                <w:sz w:val="24"/>
                <w:szCs w:val="24"/>
                <w:u w:val="none"/>
                <w:lang w:val="en-US" w:eastAsia="zh-CN" w:bidi="ar"/>
              </w:rPr>
              <w:t>“加强民族团结·铸牢中华民族共同体意识”知识竞赛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i w:val="0"/>
                <w:iCs w:val="0"/>
                <w:color w:val="auto"/>
                <w:kern w:val="2"/>
                <w:sz w:val="24"/>
                <w:szCs w:val="24"/>
                <w:u w:val="none"/>
                <w:lang w:eastAsia="zh-CN" w:bidi="ar-SA"/>
              </w:rPr>
              <w:t>罗江华</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auto"/>
                <w:kern w:val="0"/>
                <w:sz w:val="24"/>
                <w:szCs w:val="24"/>
                <w:lang w:eastAsia="zh-CN" w:bidi="ar"/>
              </w:rPr>
              <w:t>10</w:t>
            </w:r>
            <w:r>
              <w:rPr>
                <w:rFonts w:hint="eastAsia" w:ascii="仿宋" w:hAnsi="仿宋" w:eastAsia="仿宋" w:cs="仿宋"/>
                <w:color w:val="auto"/>
                <w:kern w:val="0"/>
                <w:sz w:val="24"/>
                <w:szCs w:val="24"/>
                <w:lang w:val="en-US" w:eastAsia="zh-CN" w:bidi="ar"/>
              </w:rPr>
              <w:t>月</w:t>
            </w:r>
          </w:p>
        </w:tc>
      </w:tr>
      <w:tr>
        <w:tblPrEx>
          <w:tblCellMar>
            <w:top w:w="15" w:type="dxa"/>
            <w:left w:w="15" w:type="dxa"/>
            <w:bottom w:w="15" w:type="dxa"/>
            <w:right w:w="15" w:type="dxa"/>
          </w:tblCellMar>
        </w:tblPrEx>
        <w:trPr>
          <w:trHeight w:val="537"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创新创业系列活动</w:t>
            </w: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商学院</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w:t>
            </w:r>
          </w:p>
        </w:tc>
        <w:tc>
          <w:tcPr>
            <w:tcW w:w="64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吉首大学2022年营销——直播带货大赛</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  琪</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8月</w:t>
            </w:r>
          </w:p>
        </w:tc>
      </w:tr>
    </w:tbl>
    <w:p/>
    <w:p/>
    <w:p>
      <w:pPr>
        <w:sectPr>
          <w:pgSz w:w="16838" w:h="11906" w:orient="landscape"/>
          <w:pgMar w:top="1800" w:right="1440" w:bottom="1800" w:left="1440" w:header="851" w:footer="992" w:gutter="0"/>
          <w:cols w:space="720" w:num="1"/>
          <w:docGrid w:type="lines" w:linePitch="312" w:charSpace="0"/>
        </w:sectPr>
      </w:pP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adjustRightInd w:val="0"/>
        <w:snapToGrid w:val="0"/>
        <w:spacing w:line="360" w:lineRule="auto"/>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吉首大学校园文化活动管理办法</w:t>
      </w:r>
    </w:p>
    <w:p>
      <w:pPr>
        <w:adjustRightInd w:val="0"/>
        <w:snapToGrid w:val="0"/>
        <w:spacing w:line="360" w:lineRule="auto"/>
        <w:jc w:val="center"/>
        <w:rPr>
          <w:rFonts w:hint="eastAsia" w:ascii="仿宋" w:hAnsi="仿宋" w:eastAsia="仿宋" w:cs="仿宋"/>
          <w:kern w:val="0"/>
          <w:sz w:val="32"/>
          <w:szCs w:val="32"/>
        </w:rPr>
      </w:pPr>
      <w:r>
        <w:rPr>
          <w:rFonts w:hint="eastAsia" w:ascii="仿宋" w:hAnsi="仿宋" w:eastAsia="仿宋" w:cs="仿宋"/>
          <w:kern w:val="0"/>
          <w:sz w:val="32"/>
          <w:szCs w:val="32"/>
        </w:rPr>
        <w:t>（2022年修订）</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校园文化活动是培育和践行社会主义核心价值观、实现立德树人教育目标的重要载体，是丰富广大青年学生的第二课堂，促进青年大学生健康成长成才的重要的教育方式。为进一步加强校园文化建设，强化品牌意识，整合校内外资源，推进“一校一工程”“一院一品牌”“一社一特色”校园文化活动新常态，激发基层团组织活动力，规范校园文化活动的日常管理，提升活动的质量，优化经费使用效益，特制订本办法。</w:t>
      </w:r>
    </w:p>
    <w:p>
      <w:pPr>
        <w:adjustRightInd w:val="0"/>
        <w:snapToGrid w:val="0"/>
        <w:spacing w:line="360" w:lineRule="auto"/>
        <w:ind w:firstLine="640"/>
        <w:rPr>
          <w:rFonts w:hint="eastAsia" w:ascii="黑体" w:hAnsi="黑体" w:eastAsia="黑体" w:cs="黑体"/>
          <w:kern w:val="0"/>
          <w:sz w:val="32"/>
          <w:szCs w:val="32"/>
        </w:rPr>
      </w:pPr>
      <w:r>
        <w:rPr>
          <w:rFonts w:hint="eastAsia" w:ascii="黑体" w:hAnsi="黑体" w:eastAsia="黑体" w:cs="黑体"/>
          <w:kern w:val="0"/>
          <w:sz w:val="32"/>
          <w:szCs w:val="32"/>
        </w:rPr>
        <w:t>一、指导思想</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高举中国特色社会主义理论伟大旗帜，深入贯彻落实党的十九届四中、五中、六中全会精神，以及习近平总书记系列重要讲话精神，努力打造一批具有一定影响力的校园文化品牌活动，丰富大学生的第二课堂，提升校园文化活动的品位与品质，不断满足大学生的发展需求，用优秀的文化引领青年，用丰富的活动凝聚青年，为社会主义事业培养合格的建设者和接班人。</w:t>
      </w:r>
    </w:p>
    <w:p>
      <w:pPr>
        <w:adjustRightInd w:val="0"/>
        <w:snapToGrid w:val="0"/>
        <w:spacing w:line="360" w:lineRule="auto"/>
        <w:ind w:firstLine="640"/>
        <w:rPr>
          <w:rFonts w:hint="eastAsia" w:ascii="黑体" w:hAnsi="黑体" w:eastAsia="黑体" w:cs="黑体"/>
          <w:kern w:val="0"/>
          <w:sz w:val="32"/>
          <w:szCs w:val="32"/>
        </w:rPr>
      </w:pPr>
      <w:r>
        <w:rPr>
          <w:rFonts w:hint="eastAsia" w:ascii="黑体" w:hAnsi="黑体" w:eastAsia="黑体" w:cs="黑体"/>
          <w:kern w:val="0"/>
          <w:sz w:val="32"/>
          <w:szCs w:val="32"/>
        </w:rPr>
        <w:t>二、总体要求</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1、校园文化活动的组织开展须遵循国家的法律、法规，以及校内的有关管理制度。如有违反，一律按有关规定严肃的处理。</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2、校园文化活动的内容和形式，应紧紧围绕青年学生健康成长成才这一中心，要弘扬主旋律，打造积极向上的校园文化活动品牌。</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3、各基层团组织、学生组织、学生社团，应在上级团组织及指导老师的指导下，制定年度校园文化活动的开展计划，有步骤的安排和实施。</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4、各项活动的组织实施需做好安全预案，确保师生的安全，超过300人以上的大型活动需按有关程序向学校相关部门报备。</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5、校园文化活动的经费使用，应遵守学校财务管理的有关制度和团委工作经费的管理办法。</w:t>
      </w:r>
    </w:p>
    <w:p>
      <w:pPr>
        <w:adjustRightInd w:val="0"/>
        <w:snapToGrid w:val="0"/>
        <w:spacing w:line="360" w:lineRule="auto"/>
        <w:ind w:firstLine="640"/>
        <w:rPr>
          <w:rFonts w:hint="eastAsia" w:ascii="黑体" w:hAnsi="黑体" w:eastAsia="黑体" w:cs="黑体"/>
          <w:kern w:val="0"/>
          <w:sz w:val="32"/>
          <w:szCs w:val="32"/>
        </w:rPr>
      </w:pPr>
      <w:r>
        <w:rPr>
          <w:rFonts w:hint="eastAsia" w:ascii="黑体" w:hAnsi="黑体" w:eastAsia="黑体" w:cs="黑体"/>
          <w:kern w:val="0"/>
          <w:sz w:val="32"/>
          <w:szCs w:val="32"/>
        </w:rPr>
        <w:t>三、校园文化活动的分类</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1、按活动的覆盖面分类：面向全校学生的校级活动、面向本学院学生的院级活动及面向社团社员的社团活动。</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2、按活动的内容分类：思想引领、组织建设、学术科技、文艺体育、实践服务、创新创业、权益维护、其他。</w:t>
      </w:r>
    </w:p>
    <w:p>
      <w:pPr>
        <w:adjustRightInd w:val="0"/>
        <w:snapToGrid w:val="0"/>
        <w:spacing w:line="360" w:lineRule="auto"/>
        <w:ind w:firstLine="640"/>
        <w:rPr>
          <w:rFonts w:hint="eastAsia" w:ascii="黑体" w:hAnsi="黑体" w:eastAsia="黑体" w:cs="黑体"/>
          <w:kern w:val="0"/>
          <w:sz w:val="32"/>
          <w:szCs w:val="32"/>
        </w:rPr>
      </w:pPr>
      <w:r>
        <w:rPr>
          <w:rFonts w:hint="eastAsia" w:ascii="黑体" w:hAnsi="黑体" w:eastAsia="黑体" w:cs="黑体"/>
          <w:kern w:val="0"/>
          <w:sz w:val="32"/>
          <w:szCs w:val="32"/>
        </w:rPr>
        <w:t>四、校级校园文化活动的管理</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全校性的校园文化活动主要由校团委组织实施，学院及团委认可的学生群团组织可进行申报领办。校级校园文化活动实行项目化管理，具体内容如下:</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（一）组织机构及职责</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1、成立活动评审小组及活动监督小组。</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2、活动评审小组由从事团学工作和教育管理工作的领导、专家老师及学生代表组成，办公室设在团委，主要负责活动审批及评估验收工作。</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3、活动监督小组由团委学生委员和学生会学生干部组成，主要负责对审批通过的校园文化活动的实施过程进行监督。</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（二）活动的申报审批及要求</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1、撰写活动策划方案，提交指导老师指导。</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2、指导老师审核指导通过的活动填写《吉首大学校园文化活动申报书》。</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3、共青团重点工作项目领办的，请在活动开始前一周内将最终完善的《吉首大学校园文化活动项目申报书》纸质版上交；日常活动申报的，请在每周周三前将《吉首大学校园文化活动项目申报书》纸质版（见附件1、2）上交至团委60513办公室，由团委办公室汇总登记，提交活动评审小组，统一评审。</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4、经批准立项的校园文化活动项目，由文化活动部统一编号，下发立项通知单，并将意见反馈至申请单位，预支60%活动经费。</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5、活动项目实施结束后15日内须完成活动总结及相关资料汇总，填报《吉首大学校园文化活动结项书》纸质版（见附件3、4），并上交至团委60513办公室，电子结项材料按要求（见附件5）发送至邮箱xxshwhhdb@163.com。</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6、活动项目实施结束后7日内项目评审组对项目完成的质量、活动上交资料完成情况进行评估验收，验收合格的按照经费要求划拨剩余40%的活动经费。验收不合格的项目扣留活动经费，并取消下一年度申报活动资格。</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7、支持领办单位在开展项目的同时产出与项目相关的文化产品（视频、光碟、资料汇编册子等），文化活动部将根据各领办单位产出文化产品的数量及质量进行审核评估，并给予追加额外“文化产品”奖励经费。</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8、项目审批后，如遇不可抗力或其他原因，致使活动不能如期进行，申请人需及时报告并调整活动时间，撤销的活动需退还预支的活动经费。</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（三）活动优秀工作者申报与管理</w:t>
      </w:r>
    </w:p>
    <w:p>
      <w:pPr>
        <w:adjustRightInd w:val="0"/>
        <w:snapToGrid w:val="0"/>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rPr>
        <w:t>经批准立项的校园文化活动项目可根据活动实际需要和工作人员实际表现评选校园文化活动“优秀工作者”，在结项时按照工作人员总数的20%比例进行评选，并填写《吉首大学校团委荣誉证书申请发放汇总表》（见附件6）提交校园文化活动监督小组审核，荣誉证书在学期末统一发放。</w:t>
      </w:r>
    </w:p>
    <w:p>
      <w:pPr>
        <w:rPr>
          <w:rFonts w:hint="eastAsia"/>
        </w:rPr>
      </w:pPr>
      <w:r>
        <w:rPr>
          <w:rFonts w:hint="eastAsia"/>
        </w:rPr>
        <w:t> </w:t>
      </w:r>
    </w:p>
    <w:p>
      <w:pPr>
        <w:adjustRightInd w:val="0"/>
        <w:snapToGrid w:val="0"/>
        <w:spacing w:line="360" w:lineRule="auto"/>
        <w:ind w:left="0" w:leftChars="0" w:firstLine="4200" w:firstLineChars="0"/>
        <w:jc w:val="center"/>
        <w:rPr>
          <w:rFonts w:hint="eastAsia" w:ascii="仿宋" w:hAnsi="仿宋" w:eastAsia="仿宋" w:cs="仿宋"/>
          <w:kern w:val="0"/>
          <w:sz w:val="32"/>
          <w:szCs w:val="32"/>
        </w:rPr>
      </w:pPr>
      <w:r>
        <w:rPr>
          <w:rFonts w:hint="eastAsia" w:ascii="仿宋" w:hAnsi="仿宋" w:eastAsia="仿宋" w:cs="仿宋"/>
          <w:kern w:val="0"/>
          <w:sz w:val="32"/>
          <w:szCs w:val="32"/>
        </w:rPr>
        <w:t>共青团吉首大学委员会</w:t>
      </w:r>
    </w:p>
    <w:p>
      <w:pPr>
        <w:adjustRightInd w:val="0"/>
        <w:snapToGrid w:val="0"/>
        <w:spacing w:line="360" w:lineRule="auto"/>
        <w:ind w:left="0" w:leftChars="0" w:firstLine="4200" w:firstLineChars="0"/>
        <w:jc w:val="center"/>
        <w:rPr>
          <w:rFonts w:hint="eastAsia" w:ascii="仿宋" w:hAnsi="仿宋" w:eastAsia="仿宋" w:cs="仿宋"/>
          <w:kern w:val="0"/>
          <w:sz w:val="32"/>
          <w:szCs w:val="32"/>
        </w:rPr>
      </w:pPr>
      <w:r>
        <w:rPr>
          <w:rFonts w:hint="eastAsia" w:ascii="仿宋" w:hAnsi="仿宋" w:eastAsia="仿宋" w:cs="仿宋"/>
          <w:kern w:val="0"/>
          <w:sz w:val="32"/>
          <w:szCs w:val="32"/>
        </w:rPr>
        <w:t>2022年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jkzNmE1M2IyZDM5YTQwYzM0ZDRhYWVkODZjMTcifQ=="/>
  </w:docVars>
  <w:rsids>
    <w:rsidRoot w:val="00000000"/>
    <w:rsid w:val="03D500AA"/>
    <w:rsid w:val="09A2493D"/>
    <w:rsid w:val="20411682"/>
    <w:rsid w:val="356306C8"/>
    <w:rsid w:val="3DA317EB"/>
    <w:rsid w:val="3EB057F5"/>
    <w:rsid w:val="44996E12"/>
    <w:rsid w:val="461C2B90"/>
    <w:rsid w:val="4DBA0101"/>
    <w:rsid w:val="651707D8"/>
    <w:rsid w:val="66E83F41"/>
    <w:rsid w:val="6B226DE7"/>
    <w:rsid w:val="6F29748D"/>
    <w:rsid w:val="73193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Date"/>
    <w:basedOn w:val="1"/>
    <w:next w:val="1"/>
    <w:qFormat/>
    <w:uiPriority w:val="0"/>
    <w:rPr>
      <w:rFonts w:eastAsia="仿宋_GB2312"/>
      <w:b/>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character" w:customStyle="1" w:styleId="9">
    <w:name w:val="font21"/>
    <w:basedOn w:val="7"/>
    <w:qFormat/>
    <w:uiPriority w:val="0"/>
    <w:rPr>
      <w:rFonts w:hint="eastAsia" w:ascii="宋体" w:hAnsi="宋体" w:eastAsia="宋体" w:cs="宋体"/>
      <w:color w:val="000000"/>
      <w:sz w:val="28"/>
      <w:szCs w:val="28"/>
      <w:u w:val="none"/>
    </w:rPr>
  </w:style>
  <w:style w:type="character" w:customStyle="1" w:styleId="10">
    <w:name w:val="font11"/>
    <w:basedOn w:val="7"/>
    <w:qFormat/>
    <w:uiPriority w:val="0"/>
    <w:rPr>
      <w:rFonts w:hint="eastAsia" w:ascii="宋体" w:hAnsi="宋体" w:eastAsia="宋体" w:cs="宋体"/>
      <w:color w:val="000000"/>
      <w:sz w:val="24"/>
      <w:szCs w:val="24"/>
      <w:u w:val="none"/>
    </w:rPr>
  </w:style>
  <w:style w:type="paragraph" w:customStyle="1" w:styleId="11">
    <w:name w:val="_Style 1"/>
    <w:basedOn w:val="1"/>
    <w:qFormat/>
    <w:uiPriority w:val="34"/>
    <w:pPr>
      <w:ind w:firstLine="420" w:firstLineChars="200"/>
    </w:pPr>
  </w:style>
  <w:style w:type="character" w:customStyle="1" w:styleId="12">
    <w:name w:val="font0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3187</Words>
  <Characters>3305</Characters>
  <Lines>18</Lines>
  <Paragraphs>5</Paragraphs>
  <TotalTime>4</TotalTime>
  <ScaleCrop>false</ScaleCrop>
  <LinksUpToDate>false</LinksUpToDate>
  <CharactersWithSpaces>3338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2019-03-13T15:16:00Z</dcterms:created>
  <dc:creator>文钦</dc:creator>
  <cp:lastModifiedBy>老颜家的小闺女</cp:lastModifiedBy>
  <cp:lastPrinted>2019-03-20T16:17:00Z</cp:lastPrinted>
  <dcterms:modified xsi:type="dcterms:W3CDTF">2023-04-19T01:33:22Z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2417F8BC7C3D4FB597EC33DC5DEF7D8F_13</vt:lpwstr>
  </property>
</Properties>
</file>