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宋体"/>
          <w:color w:val="FF0000"/>
          <w:kern w:val="0"/>
          <w:sz w:val="120"/>
          <w:szCs w:val="12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1434465</wp:posOffset>
                </wp:positionV>
                <wp:extent cx="457200" cy="4108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4pt;margin-top:112.95pt;height:32.35pt;width:36pt;z-index:251661312;mso-width-relative:page;mso-height-relative:page;" filled="f" stroked="f" coordsize="21600,21600" o:gfxdata="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Kf7ZH&#10;1wAAAAsBAAAPAAAAAAAAAAEAIAAAACIAAABkcnMvZG93bnJldi54bWxQSwECFAAUAAAACACHTuJA&#10;+3ucp7ABAABb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1993933473"/>
          <w:lang w:val="en-US" w:eastAsia="zh-CN" w:bidi="ar-SA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1993933473"/>
          <w:lang w:val="en-US" w:eastAsia="zh-CN" w:bidi="ar-SA"/>
        </w:rPr>
        <w:t>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168275</wp:posOffset>
                </wp:positionV>
                <wp:extent cx="2440940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13.25pt;height:0.75pt;width:192.2pt;z-index:251659264;mso-width-relative:page;mso-height-relative:page;" filled="f" stroked="t" coordsize="21600,21600" o:gfxdata="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ecaAPWAAAABwEAAA8AAAAAAAAAAQAgAAAAIgAAAGRycy9kb3ducmV2&#10;LnhtbFBLAQIUABQAAAAIAIdO4kCalrST/gEAAPYDAAAOAAAAAAAAAAEAIAAAACU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164465</wp:posOffset>
                </wp:positionV>
                <wp:extent cx="2272030" cy="635"/>
                <wp:effectExtent l="0" t="13970" r="1397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03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3pt;margin-top:12.95pt;height:0.05pt;width:178.9pt;z-index:251660288;mso-width-relative:page;mso-height-relative:page;" filled="f" stroked="t" coordsize="21600,21600" o:gfxdata="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6C+YtkAAAAJAQAADwAAAAAAAAABACAAAAAiAAAAZHJzL2Rvd25y&#10;ZXYueG1sUEsBAhQAFAAAAAgAh07iQGfJfyD9AQAA9QMAAA4AAAAAAAAAAQAgAAAAKA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after="0" w:afterLines="50"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/>
        </w:rPr>
        <w:t>关于开展吉首大学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Hans"/>
        </w:rPr>
        <w:t>“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/>
        </w:rPr>
        <w:t>奋斗百年路</w:t>
      </w:r>
      <w:r>
        <w:rPr>
          <w:rFonts w:ascii="方正小标宋简体" w:hAnsi="方正小标宋简体" w:eastAsia="方正小标宋简体" w:cs="方正小标宋简体"/>
          <w:w w:val="95"/>
          <w:sz w:val="44"/>
          <w:szCs w:val="44"/>
        </w:rPr>
        <w:t>,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Hans"/>
        </w:rPr>
        <w:t>‘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/>
        </w:rPr>
        <w:t>青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Hans"/>
        </w:rPr>
        <w:t>’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/>
        </w:rPr>
        <w:t>听微团课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Hans"/>
        </w:rPr>
        <w:t>”活动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right="99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团委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right="99" w:firstLine="640" w:firstLineChars="200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为进一步树立和宣传当代青年先进典型，加深广大青年对中国共产主义青年团的理解与认识，激发广大青年的爱国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爱党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爱团之情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在建团百年之际，学校决定开展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奋斗百年路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‘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青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’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听微团课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”活动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现将有关安排通知如下。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主办单位：共青团吉首大学委员会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承办单位：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共青团吉首大学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外国语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委员会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共青团吉首大学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人文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全校在籍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团课内容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cs="宋体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课的主要内容为：学习马克思列宁主义、毛泽东思想、中国特色社会主义理论体系，学习习近平总书记系列重要讲话精神；开展中国特色社会主义共同理想和共产主义远大理想教育，加强社会主义核心价值观教育和“中国梦”教育；学习党的基础知识、党的光荣历史和传统，宣传党的路线、方针、政策，学习团的基本知识、重要会议精神和重点工作部署；学习中华优秀传统文化、革命文化和社会主义先进文化；广泛开展近代史、现代史教育和国情教育，开展好民主和法制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活动</w:t>
      </w:r>
      <w:r>
        <w:rPr>
          <w:rFonts w:hint="eastAsia" w:ascii="黑体" w:hAnsi="黑体" w:eastAsia="黑体" w:cs="黑体"/>
          <w:sz w:val="32"/>
          <w:szCs w:val="32"/>
        </w:rPr>
        <w:t>流程及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时间安排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426" w:firstLine="0" w:firstLineChars="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ascii="仿宋" w:hAnsi="仿宋" w:eastAsia="仿宋" w:cs="仿宋"/>
          <w:b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Hans"/>
        </w:rPr>
        <w:t>一</w:t>
      </w:r>
      <w:r>
        <w:rPr>
          <w:rFonts w:ascii="仿宋" w:hAnsi="仿宋" w:eastAsia="仿宋" w:cs="仿宋"/>
          <w:b/>
          <w:sz w:val="30"/>
          <w:szCs w:val="30"/>
        </w:rPr>
        <w:t>）</w:t>
      </w:r>
      <w:r>
        <w:rPr>
          <w:rFonts w:hint="eastAsia" w:ascii="仿宋" w:hAnsi="仿宋" w:eastAsia="仿宋" w:cs="仿宋"/>
          <w:b/>
          <w:sz w:val="30"/>
          <w:szCs w:val="30"/>
          <w:lang w:val="en-US"/>
        </w:rPr>
        <w:t>初赛（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Hans"/>
        </w:rPr>
        <w:t>发布通知日</w:t>
      </w:r>
      <w:r>
        <w:rPr>
          <w:rFonts w:hint="eastAsia" w:ascii="仿宋" w:hAnsi="仿宋" w:eastAsia="仿宋" w:cs="仿宋"/>
          <w:b/>
          <w:sz w:val="30"/>
          <w:szCs w:val="30"/>
          <w:lang w:val="en-US"/>
        </w:rPr>
        <w:t>—20</w:t>
      </w:r>
      <w:r>
        <w:rPr>
          <w:rFonts w:ascii="仿宋" w:hAnsi="仿宋" w:eastAsia="仿宋" w:cs="仿宋"/>
          <w:b/>
          <w:sz w:val="30"/>
          <w:szCs w:val="30"/>
          <w:lang w:val="en-US"/>
        </w:rPr>
        <w:t>2</w:t>
      </w:r>
      <w:r>
        <w:rPr>
          <w:rFonts w:hint="eastAsia" w:ascii="仿宋" w:hAnsi="仿宋" w:eastAsia="仿宋" w:cs="仿宋"/>
          <w:b/>
          <w:sz w:val="30"/>
          <w:szCs w:val="30"/>
          <w:lang w:val="en-US"/>
        </w:rPr>
        <w:t>2年1</w:t>
      </w:r>
      <w:r>
        <w:rPr>
          <w:rFonts w:ascii="仿宋" w:hAnsi="仿宋" w:eastAsia="仿宋" w:cs="仿宋"/>
          <w:b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sz w:val="30"/>
          <w:szCs w:val="30"/>
          <w:lang w:val="en-US"/>
        </w:rPr>
        <w:t>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0"/>
          <w:szCs w:val="30"/>
          <w:lang w:val="en-US"/>
        </w:rPr>
        <w:t>日）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 w:bidi="zh-CN"/>
        </w:rPr>
        <w:t>初赛采用视频录制的方式，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Hans" w:bidi="zh-CN"/>
        </w:rPr>
        <w:t>学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院自行</w:t>
      </w:r>
      <w:r>
        <w:rPr>
          <w:rFonts w:hint="eastAsia" w:ascii="仿宋" w:hAnsi="仿宋" w:eastAsia="仿宋" w:cs="仿宋"/>
          <w:sz w:val="32"/>
          <w:szCs w:val="32"/>
          <w:lang w:val="en-US" w:eastAsia="zh-Hans" w:bidi="zh-CN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初赛选拔，</w:t>
      </w:r>
      <w:r>
        <w:rPr>
          <w:rFonts w:hint="eastAsia" w:ascii="仿宋" w:hAnsi="仿宋" w:eastAsia="仿宋" w:cs="仿宋"/>
          <w:sz w:val="32"/>
          <w:szCs w:val="32"/>
          <w:lang w:val="en-US" w:eastAsia="zh-Hans" w:bidi="zh-CN"/>
        </w:rPr>
        <w:t>并推选出1～2个参赛作品（团课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视频）参加线下决赛。各学院负责人于12月5</w:t>
      </w:r>
      <w:r>
        <w:rPr>
          <w:rFonts w:hint="eastAsia" w:ascii="仿宋" w:hAnsi="仿宋" w:eastAsia="仿宋" w:cs="仿宋"/>
          <w:sz w:val="32"/>
          <w:szCs w:val="32"/>
          <w:lang w:val="en-US" w:eastAsia="zh-Hans" w:bidi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12:00前将</w:t>
      </w:r>
      <w:r>
        <w:rPr>
          <w:rFonts w:hint="eastAsia" w:ascii="仿宋" w:hAnsi="仿宋" w:eastAsia="仿宋" w:cs="仿宋"/>
          <w:sz w:val="32"/>
          <w:szCs w:val="32"/>
          <w:lang w:val="en-US" w:eastAsia="zh-Hans" w:bidi="zh-CN"/>
        </w:rPr>
        <w:t>最终参赛人员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报名表</w:t>
      </w:r>
      <w:r>
        <w:rPr>
          <w:rFonts w:hint="eastAsia" w:ascii="仿宋" w:hAnsi="仿宋" w:eastAsia="仿宋" w:cs="仿宋"/>
          <w:sz w:val="32"/>
          <w:szCs w:val="32"/>
          <w:lang w:val="en-US" w:eastAsia="zh-Hans" w:bidi="zh-CN"/>
        </w:rPr>
        <w:t>电子版、团课内容PPT、团课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视频</w:t>
      </w:r>
      <w:r>
        <w:rPr>
          <w:rFonts w:hint="eastAsia" w:ascii="仿宋" w:hAnsi="仿宋" w:eastAsia="仿宋" w:cs="仿宋"/>
          <w:sz w:val="32"/>
          <w:szCs w:val="32"/>
          <w:lang w:val="en-US" w:eastAsia="zh-Hans" w:bidi="zh-CN"/>
        </w:rPr>
        <w:t>打包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发送至人文学院团委组织部胡智文处（邮箱：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instrText xml:space="preserve"> HYPERLINK "mailto:1269373678@qq.com）。" </w:instrTex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1269373678@qq.com）。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/>
        <w:textAlignment w:val="auto"/>
        <w:rPr>
          <w:rFonts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视频要求MP4格式，大小不可超过800M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屏幕尺寸为1080×1920竖屏，时长：5-8分钟；压缩包以“学院+参赛者姓名+手机号”命名。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同时请各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院负责人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和团课讲课人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加入活动交流群</w:t>
      </w: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QQ群号：705915411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决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/>
        </w:rPr>
        <w:t>赛（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暂定</w:t>
      </w:r>
      <w:r>
        <w:rPr>
          <w:rFonts w:hint="eastAsia" w:ascii="仿宋" w:hAnsi="仿宋" w:eastAsia="仿宋" w:cs="仿宋"/>
          <w:b/>
          <w:sz w:val="30"/>
          <w:szCs w:val="30"/>
          <w:lang w:val="en-US"/>
        </w:rPr>
        <w:t>2</w:t>
      </w:r>
      <w:r>
        <w:rPr>
          <w:rFonts w:ascii="仿宋" w:hAnsi="仿宋" w:eastAsia="仿宋" w:cs="仿宋"/>
          <w:b/>
          <w:sz w:val="30"/>
          <w:szCs w:val="30"/>
          <w:lang w:val="en-US"/>
        </w:rPr>
        <w:t>02</w:t>
      </w:r>
      <w:r>
        <w:rPr>
          <w:rFonts w:hint="eastAsia" w:ascii="仿宋" w:hAnsi="仿宋" w:eastAsia="仿宋" w:cs="仿宋"/>
          <w:b/>
          <w:sz w:val="30"/>
          <w:szCs w:val="30"/>
          <w:lang w:val="en-US"/>
        </w:rPr>
        <w:t>2年1</w:t>
      </w:r>
      <w:r>
        <w:rPr>
          <w:rFonts w:ascii="仿宋" w:hAnsi="仿宋" w:eastAsia="仿宋" w:cs="仿宋"/>
          <w:b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sz w:val="30"/>
          <w:szCs w:val="30"/>
          <w:lang w:val="en-US"/>
        </w:rPr>
        <w:t>月</w:t>
      </w:r>
      <w:r>
        <w:rPr>
          <w:rFonts w:ascii="仿宋" w:hAnsi="仿宋" w:eastAsia="仿宋" w:cs="仿宋"/>
          <w:b/>
          <w:sz w:val="30"/>
          <w:szCs w:val="30"/>
        </w:rPr>
        <w:t>10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决赛采用现场比赛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形式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根据各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参赛者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的现场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讲团课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展示进行评分，综合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评选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出16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位参赛者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最终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获奖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人员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并予以表彰</w:t>
      </w:r>
      <w:r>
        <w:rPr>
          <w:rFonts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地点：老年干部活动中心309室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五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比赛设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一等奖</w:t>
      </w:r>
      <w:r>
        <w:rPr>
          <w:rFonts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（证书+</w:t>
      </w:r>
      <w:r>
        <w:rPr>
          <w:rFonts w:hint="default" w:ascii="仿宋" w:hAnsi="仿宋" w:eastAsia="仿宋" w:cs="仿宋"/>
          <w:sz w:val="32"/>
          <w:szCs w:val="32"/>
        </w:rPr>
        <w:t>800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元奖金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二等奖</w:t>
      </w:r>
      <w:r>
        <w:rPr>
          <w:rFonts w:hint="default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个（证书+</w:t>
      </w:r>
      <w:r>
        <w:rPr>
          <w:rFonts w:hint="default" w:ascii="仿宋" w:hAnsi="仿宋" w:eastAsia="仿宋" w:cs="仿宋"/>
          <w:sz w:val="32"/>
          <w:szCs w:val="32"/>
        </w:rPr>
        <w:t>400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元奖金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三等奖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个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（证书+</w:t>
      </w:r>
      <w:r>
        <w:rPr>
          <w:rFonts w:hint="default"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元奖金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从决赛中按照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参赛者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总分从高到低排名产生。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六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各学院要严格按照疫情防控要求，高度重视并认真做好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此次活动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的初赛组织工作，动员和组织广大青年学生积极参赛。各学院要把组织好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讲团课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活动作为各团支部深入学习宣传党的二十大精神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深入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推进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党史和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团史学习教育的重要组成部分，通过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讲团课的形式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激发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青年学生的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学习主动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性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强化广大青年学生的爱国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爱党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爱团之情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吉首大学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奋斗百年路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‘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青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’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听微团课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”活动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4160" w:firstLineChars="1300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 共青团吉首大学委员会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5120" w:firstLineChars="1600"/>
        <w:textAlignment w:val="auto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2022年11月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日</w:t>
      </w:r>
    </w:p>
    <w:p>
      <w:pPr>
        <w:adjustRightInd w:val="0"/>
        <w:snapToGrid w:val="0"/>
        <w:spacing w:line="600" w:lineRule="exact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 w:cs="仿宋"/>
          <w:sz w:val="32"/>
          <w:szCs w:val="32"/>
          <w:lang w:val="en-US"/>
        </w:rPr>
        <w:sectPr>
          <w:footerReference r:id="rId3" w:type="default"/>
          <w:pgSz w:w="11900" w:h="16840"/>
          <w:pgMar w:top="1540" w:right="1560" w:bottom="280" w:left="1580" w:header="720" w:footer="720" w:gutter="0"/>
          <w:cols w:space="720" w:num="1"/>
        </w:sectPr>
      </w:pPr>
    </w:p>
    <w:p>
      <w:pPr>
        <w:spacing w:line="640" w:lineRule="exact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pStyle w:val="8"/>
        <w:spacing w:line="640" w:lineRule="exact"/>
        <w:ind w:left="0"/>
        <w:jc w:val="center"/>
        <w:textAlignment w:val="baseline"/>
        <w:rPr>
          <w:rFonts w:ascii="方正小标宋简体" w:hAnsi="宋体" w:eastAsia="方正小标宋简体"/>
          <w:b/>
          <w:bCs/>
          <w:sz w:val="40"/>
          <w:szCs w:val="40"/>
          <w:lang w:val="en-US" w:eastAsia="zh-Hans"/>
        </w:rPr>
      </w:pPr>
      <w:r>
        <w:rPr>
          <w:rFonts w:hint="eastAsia" w:ascii="方正小标宋简体" w:hAnsi="宋体" w:eastAsia="方正小标宋简体"/>
          <w:b/>
          <w:bCs/>
          <w:sz w:val="40"/>
          <w:szCs w:val="40"/>
        </w:rPr>
        <w:t>吉首大学</w:t>
      </w:r>
      <w:r>
        <w:rPr>
          <w:rFonts w:hint="eastAsia" w:ascii="方正小标宋简体" w:hAnsi="宋体" w:eastAsia="方正小标宋简体"/>
          <w:b/>
          <w:bCs/>
          <w:sz w:val="40"/>
          <w:szCs w:val="40"/>
          <w:lang w:val="en-US" w:eastAsia="zh-Hans"/>
        </w:rPr>
        <w:t>“</w:t>
      </w:r>
      <w:r>
        <w:rPr>
          <w:rFonts w:hint="eastAsia" w:ascii="方正小标宋简体" w:hAnsi="宋体" w:eastAsia="方正小标宋简体"/>
          <w:b/>
          <w:bCs/>
          <w:sz w:val="40"/>
          <w:szCs w:val="40"/>
          <w:lang w:val="en-US"/>
        </w:rPr>
        <w:t>奋斗百年路</w:t>
      </w:r>
      <w:r>
        <w:rPr>
          <w:rFonts w:ascii="方正小标宋简体" w:hAnsi="宋体" w:eastAsia="方正小标宋简体"/>
          <w:b/>
          <w:bCs/>
          <w:sz w:val="40"/>
          <w:szCs w:val="40"/>
        </w:rPr>
        <w:t>,</w:t>
      </w:r>
      <w:r>
        <w:rPr>
          <w:rFonts w:hint="eastAsia" w:ascii="方正小标宋简体" w:hAnsi="宋体" w:eastAsia="方正小标宋简体"/>
          <w:b/>
          <w:bCs/>
          <w:sz w:val="40"/>
          <w:szCs w:val="40"/>
          <w:lang w:val="en-US" w:eastAsia="zh-Hans"/>
        </w:rPr>
        <w:t>‘</w:t>
      </w:r>
      <w:r>
        <w:rPr>
          <w:rFonts w:hint="eastAsia" w:ascii="方正小标宋简体" w:hAnsi="宋体" w:eastAsia="方正小标宋简体"/>
          <w:b/>
          <w:bCs/>
          <w:sz w:val="40"/>
          <w:szCs w:val="40"/>
          <w:lang w:val="en-US"/>
        </w:rPr>
        <w:t>青</w:t>
      </w:r>
      <w:r>
        <w:rPr>
          <w:rFonts w:hint="eastAsia" w:ascii="方正小标宋简体" w:hAnsi="宋体" w:eastAsia="方正小标宋简体"/>
          <w:b/>
          <w:bCs/>
          <w:sz w:val="40"/>
          <w:szCs w:val="40"/>
          <w:lang w:val="en-US" w:eastAsia="zh-Hans"/>
        </w:rPr>
        <w:t>’</w:t>
      </w:r>
      <w:r>
        <w:rPr>
          <w:rFonts w:hint="eastAsia" w:ascii="方正小标宋简体" w:hAnsi="宋体" w:eastAsia="方正小标宋简体"/>
          <w:b/>
          <w:bCs/>
          <w:sz w:val="40"/>
          <w:szCs w:val="40"/>
          <w:lang w:val="en-US"/>
        </w:rPr>
        <w:t>听微团课</w:t>
      </w:r>
      <w:r>
        <w:rPr>
          <w:rFonts w:hint="eastAsia" w:ascii="方正小标宋简体" w:hAnsi="宋体" w:eastAsia="方正小标宋简体"/>
          <w:b/>
          <w:bCs/>
          <w:sz w:val="40"/>
          <w:szCs w:val="40"/>
          <w:lang w:val="en-US" w:eastAsia="zh-Hans"/>
        </w:rPr>
        <w:t>”</w:t>
      </w:r>
    </w:p>
    <w:p>
      <w:pPr>
        <w:pStyle w:val="8"/>
        <w:spacing w:line="640" w:lineRule="exact"/>
        <w:ind w:left="0"/>
        <w:jc w:val="center"/>
        <w:textAlignment w:val="baseline"/>
        <w:rPr>
          <w:rFonts w:ascii="宋体" w:hAnsi="宋体"/>
          <w:b/>
          <w:bCs/>
          <w:sz w:val="32"/>
          <w:lang w:val="en-US"/>
        </w:rPr>
      </w:pPr>
      <w:r>
        <w:rPr>
          <w:rFonts w:hint="eastAsia" w:ascii="方正小标宋简体" w:hAnsi="宋体" w:eastAsia="方正小标宋简体"/>
          <w:b/>
          <w:bCs/>
          <w:sz w:val="40"/>
          <w:szCs w:val="40"/>
          <w:lang w:val="en-US" w:eastAsia="zh-Hans"/>
        </w:rPr>
        <w:t>参赛</w:t>
      </w:r>
      <w:r>
        <w:rPr>
          <w:rFonts w:hint="eastAsia" w:ascii="方正小标宋简体" w:hAnsi="宋体" w:eastAsia="方正小标宋简体"/>
          <w:b/>
          <w:bCs/>
          <w:sz w:val="40"/>
          <w:szCs w:val="40"/>
        </w:rPr>
        <w:t>报名表</w:t>
      </w:r>
    </w:p>
    <w:p>
      <w:pPr>
        <w:spacing w:line="640" w:lineRule="exact"/>
        <w:ind w:firstLine="320" w:firstLineChars="100"/>
        <w:textAlignment w:val="baseline"/>
        <w:rPr>
          <w:sz w:val="32"/>
          <w:szCs w:val="28"/>
          <w:lang w:eastAsia="zh-Hans"/>
        </w:rPr>
      </w:pPr>
      <w:r>
        <w:rPr>
          <w:rFonts w:hint="eastAsia"/>
          <w:sz w:val="32"/>
          <w:szCs w:val="28"/>
          <w:lang w:val="en-US"/>
        </w:rPr>
        <w:t>学院名称（盖章）：</w:t>
      </w:r>
      <w:r>
        <w:rPr>
          <w:sz w:val="32"/>
          <w:szCs w:val="28"/>
        </w:rPr>
        <w:t xml:space="preserve">                </w:t>
      </w:r>
      <w:r>
        <w:rPr>
          <w:rFonts w:hint="eastAsia"/>
          <w:sz w:val="32"/>
          <w:szCs w:val="28"/>
          <w:lang w:val="en-US" w:eastAsia="zh-Hans"/>
        </w:rPr>
        <w:t>学院负责人</w:t>
      </w:r>
      <w:r>
        <w:rPr>
          <w:sz w:val="32"/>
          <w:szCs w:val="28"/>
          <w:lang w:eastAsia="zh-Hans"/>
        </w:rPr>
        <w:t>：</w:t>
      </w:r>
    </w:p>
    <w:tbl>
      <w:tblPr>
        <w:tblStyle w:val="5"/>
        <w:tblpPr w:leftFromText="180" w:rightFromText="180" w:vertAnchor="text" w:horzAnchor="page" w:tblpX="1225" w:tblpY="47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605"/>
        <w:gridCol w:w="1477"/>
        <w:gridCol w:w="1354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1" w:hRule="atLeast"/>
        </w:trPr>
        <w:tc>
          <w:tcPr>
            <w:tcW w:w="1756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en-US" w:eastAsia="zh-Hans"/>
              </w:rPr>
              <w:t>讲课人</w:t>
            </w:r>
            <w:r>
              <w:rPr>
                <w:rFonts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en-US" w:eastAsia="zh-Hans"/>
              </w:rPr>
              <w:t>年级</w:t>
            </w:r>
            <w:r>
              <w:rPr>
                <w:b/>
                <w:bCs/>
                <w:sz w:val="26"/>
                <w:szCs w:val="26"/>
                <w:lang w:eastAsia="zh-Hans"/>
              </w:rPr>
              <w:t>、</w:t>
            </w:r>
            <w:r>
              <w:rPr>
                <w:rFonts w:hint="eastAsia"/>
                <w:b/>
                <w:bCs/>
                <w:sz w:val="26"/>
                <w:szCs w:val="26"/>
              </w:rPr>
              <w:t>班级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联系方式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en-US" w:eastAsia="zh-Hans"/>
              </w:rPr>
              <w:t>团课主题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756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sz w:val="24"/>
                <w:lang w:val="en-US" w:eastAsia="zh-Hans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sz w:val="24"/>
                <w:lang w:val="en-US" w:eastAsia="zh-Hans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1756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sz w:val="24"/>
                <w:lang w:val="en-US" w:eastAsia="zh-Hans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sz w:val="24"/>
                <w:lang w:val="en-US" w:eastAsia="zh-Hans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spacing w:line="640" w:lineRule="exact"/>
              <w:jc w:val="center"/>
              <w:textAlignment w:val="baseline"/>
              <w:rPr>
                <w:sz w:val="24"/>
              </w:rPr>
            </w:pPr>
          </w:p>
        </w:tc>
      </w:tr>
    </w:tbl>
    <w:p>
      <w:pPr>
        <w:spacing w:line="640" w:lineRule="exact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Tg1YjY4ZDVkNDU3N2ZlZDRlMjJiNmRmODczNjcifQ=="/>
  </w:docVars>
  <w:rsids>
    <w:rsidRoot w:val="449E5F9E"/>
    <w:rsid w:val="003418B5"/>
    <w:rsid w:val="008F451F"/>
    <w:rsid w:val="009965FA"/>
    <w:rsid w:val="00F96AAA"/>
    <w:rsid w:val="03C10264"/>
    <w:rsid w:val="095A7A52"/>
    <w:rsid w:val="0B100BEF"/>
    <w:rsid w:val="0D3E2800"/>
    <w:rsid w:val="0FBA381F"/>
    <w:rsid w:val="126B2BAF"/>
    <w:rsid w:val="1353427F"/>
    <w:rsid w:val="19A753EF"/>
    <w:rsid w:val="1A3F62CD"/>
    <w:rsid w:val="1AF93785"/>
    <w:rsid w:val="1B570174"/>
    <w:rsid w:val="1BD6378F"/>
    <w:rsid w:val="1CD04682"/>
    <w:rsid w:val="1E023DED"/>
    <w:rsid w:val="27B30E28"/>
    <w:rsid w:val="27DA71CA"/>
    <w:rsid w:val="29C5552F"/>
    <w:rsid w:val="2EBA5D83"/>
    <w:rsid w:val="2FA07EE4"/>
    <w:rsid w:val="337E678E"/>
    <w:rsid w:val="33891D8C"/>
    <w:rsid w:val="33B6017E"/>
    <w:rsid w:val="35C92577"/>
    <w:rsid w:val="39B9CE0A"/>
    <w:rsid w:val="3A017D3F"/>
    <w:rsid w:val="3A761427"/>
    <w:rsid w:val="3F497460"/>
    <w:rsid w:val="3F6FBFA2"/>
    <w:rsid w:val="449E5F9E"/>
    <w:rsid w:val="472F6C5C"/>
    <w:rsid w:val="47FF5A19"/>
    <w:rsid w:val="4CDB2104"/>
    <w:rsid w:val="4ECD1AF9"/>
    <w:rsid w:val="4F3A121F"/>
    <w:rsid w:val="4FF63641"/>
    <w:rsid w:val="511B6F73"/>
    <w:rsid w:val="51AB702C"/>
    <w:rsid w:val="535A2A77"/>
    <w:rsid w:val="53F561A1"/>
    <w:rsid w:val="55FEEBD6"/>
    <w:rsid w:val="5BF70F8E"/>
    <w:rsid w:val="5D281324"/>
    <w:rsid w:val="5F3202A9"/>
    <w:rsid w:val="5FB251E6"/>
    <w:rsid w:val="61531B27"/>
    <w:rsid w:val="630A5099"/>
    <w:rsid w:val="63275C4B"/>
    <w:rsid w:val="65DF066D"/>
    <w:rsid w:val="662714BD"/>
    <w:rsid w:val="6748352D"/>
    <w:rsid w:val="683E6615"/>
    <w:rsid w:val="6870599E"/>
    <w:rsid w:val="6A022F6E"/>
    <w:rsid w:val="6AAA163C"/>
    <w:rsid w:val="6B994316"/>
    <w:rsid w:val="6F8F98D6"/>
    <w:rsid w:val="7025522F"/>
    <w:rsid w:val="70F96E79"/>
    <w:rsid w:val="71EF2211"/>
    <w:rsid w:val="777A415D"/>
    <w:rsid w:val="77F5138A"/>
    <w:rsid w:val="797B70EB"/>
    <w:rsid w:val="79D9E125"/>
    <w:rsid w:val="7A6730A5"/>
    <w:rsid w:val="7AE63A83"/>
    <w:rsid w:val="7B50C0E3"/>
    <w:rsid w:val="7BEF84CF"/>
    <w:rsid w:val="7CF624BE"/>
    <w:rsid w:val="7D65A06D"/>
    <w:rsid w:val="7D9C1DE2"/>
    <w:rsid w:val="7DB46C65"/>
    <w:rsid w:val="7E6D064B"/>
    <w:rsid w:val="7EBB0347"/>
    <w:rsid w:val="7F32949A"/>
    <w:rsid w:val="7F7FAB80"/>
    <w:rsid w:val="7FCEEBDE"/>
    <w:rsid w:val="7FFF9AAD"/>
    <w:rsid w:val="9D753E04"/>
    <w:rsid w:val="9FBB8B59"/>
    <w:rsid w:val="AF1F664E"/>
    <w:rsid w:val="BFAF3546"/>
    <w:rsid w:val="D3B7A9B8"/>
    <w:rsid w:val="EBF3A9D5"/>
    <w:rsid w:val="F77E48C5"/>
    <w:rsid w:val="F77EE3E3"/>
    <w:rsid w:val="F7FF4CFE"/>
    <w:rsid w:val="FB8FA3A1"/>
    <w:rsid w:val="FD3FE179"/>
    <w:rsid w:val="FE56BB41"/>
    <w:rsid w:val="FFBFF143"/>
    <w:rsid w:val="FFD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1"/>
    <w:basedOn w:val="2"/>
    <w:next w:val="1"/>
    <w:qFormat/>
    <w:uiPriority w:val="0"/>
    <w:rPr>
      <w:rFonts w:ascii="Calibri" w:hAnsi="Calibri" w:cs="Times New Roman"/>
    </w:rPr>
  </w:style>
  <w:style w:type="paragraph" w:customStyle="1" w:styleId="9">
    <w:name w:val="Table Paragraph"/>
    <w:basedOn w:val="1"/>
    <w:qFormat/>
    <w:uiPriority w:val="1"/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1082</Words>
  <Characters>1158</Characters>
  <Lines>8</Lines>
  <Paragraphs>2</Paragraphs>
  <TotalTime>6</TotalTime>
  <ScaleCrop>false</ScaleCrop>
  <LinksUpToDate>false</LinksUpToDate>
  <CharactersWithSpaces>1190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2022-11-16T02:02:00Z</dcterms:created>
  <dc:creator>萱草</dc:creator>
  <cp:lastModifiedBy>老颜家的小闺女</cp:lastModifiedBy>
  <dcterms:modified xsi:type="dcterms:W3CDTF">2023-04-18T14:02:25Z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5D7CDF25A9844AAAA4159C3C38895189_13</vt:lpwstr>
  </property>
</Properties>
</file>