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58" w:line="180" w:lineRule="auto"/>
        <w:ind w:firstLine="3804"/>
        <w:rPr>
          <w:rFonts w:ascii="Microsoft JhengHei" w:hAnsi="Microsoft JhengHei" w:eastAsia="Microsoft JhengHei" w:cs="Microsoft JhengHei"/>
          <w:sz w:val="36"/>
          <w:szCs w:val="36"/>
        </w:rPr>
      </w:pPr>
      <w:r>
        <w:rPr>
          <w:rFonts w:ascii="Malgun Gothic" w:hAnsi="Malgun Gothic" w:eastAsia="Malgun Gothic" w:cs="Malgun Gothic"/>
          <w:spacing w:val="-36"/>
          <w:w w:val="99"/>
          <w:sz w:val="36"/>
          <w:szCs w:val="36"/>
        </w:rPr>
        <w:t>目</w:t>
      </w:r>
      <w:r>
        <w:rPr>
          <w:rFonts w:ascii="Malgun Gothic" w:hAnsi="Malgun Gothic" w:eastAsia="Malgun Gothic" w:cs="Malgun Gothic"/>
          <w:spacing w:val="14"/>
          <w:sz w:val="36"/>
          <w:szCs w:val="36"/>
        </w:rPr>
        <w:t xml:space="preserve">    </w:t>
      </w:r>
      <w:r>
        <w:rPr>
          <w:rFonts w:ascii="Microsoft JhengHei" w:hAnsi="Microsoft JhengHei" w:eastAsia="Microsoft JhengHei" w:cs="Microsoft JhengHei"/>
          <w:spacing w:val="-36"/>
          <w:w w:val="99"/>
          <w:sz w:val="36"/>
          <w:szCs w:val="36"/>
        </w:rPr>
        <w:t>录</w:t>
      </w:r>
    </w:p>
    <w:p>
      <w:pPr>
        <w:spacing w:line="277" w:lineRule="auto"/>
        <w:rPr>
          <w:rFonts w:ascii="Malgun Gothic"/>
          <w:sz w:val="21"/>
        </w:rPr>
      </w:pPr>
    </w:p>
    <w:p>
      <w:pPr>
        <w:spacing w:line="278" w:lineRule="auto"/>
        <w:rPr>
          <w:rFonts w:ascii="Malgun Gothic"/>
          <w:sz w:val="21"/>
        </w:rPr>
      </w:pPr>
    </w:p>
    <w:p>
      <w:pPr>
        <w:spacing w:before="104" w:line="180" w:lineRule="auto"/>
        <w:ind w:firstLine="365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一、综合改革</w:t>
      </w:r>
    </w:p>
    <w:p>
      <w:pPr>
        <w:spacing w:before="271"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1．吉首大学关于进一步加强本科教学工作提高教学质量的实施意见</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1</w:t>
      </w:r>
    </w:p>
    <w:p>
      <w:pPr>
        <w:spacing w:before="175"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2．吉首大学关于加强大学生创新创业工作的实施意见</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9</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3．吉首大学本科教学质量与教学改革工程推进与实施方案</w:t>
      </w:r>
      <w:r>
        <w:rPr>
          <w:rFonts w:ascii="Times New Roman" w:hAnsi="Times New Roman" w:eastAsia="Times New Roman" w:cs="Times New Roman"/>
          <w:spacing w:val="-1"/>
          <w:sz w:val="24"/>
          <w:szCs w:val="24"/>
        </w:rPr>
        <w:t>····························</w:t>
      </w:r>
      <w:r>
        <w:rPr>
          <w:rFonts w:ascii="Times New Roman" w:hAnsi="Times New Roman" w:eastAsia="Times New Roman" w:cs="Times New Roman"/>
          <w:spacing w:val="70"/>
          <w:sz w:val="24"/>
          <w:szCs w:val="24"/>
        </w:rPr>
        <w:t xml:space="preserve"> </w:t>
      </w:r>
      <w:r>
        <w:rPr>
          <w:rFonts w:ascii="方正书宋简体" w:hAnsi="方正书宋简体" w:eastAsia="方正书宋简体" w:cs="方正书宋简体"/>
          <w:spacing w:val="-1"/>
          <w:sz w:val="24"/>
          <w:szCs w:val="24"/>
        </w:rPr>
        <w:t>13</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4．吉首大学关于推进校企合作人才培养模式改革的意见</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0"/>
          <w:sz w:val="24"/>
          <w:szCs w:val="24"/>
        </w:rPr>
        <w:t xml:space="preserve"> </w:t>
      </w:r>
      <w:r>
        <w:rPr>
          <w:rFonts w:ascii="方正书宋简体" w:hAnsi="方正书宋简体" w:eastAsia="方正书宋简体" w:cs="方正书宋简体"/>
          <w:spacing w:val="-1"/>
          <w:sz w:val="24"/>
          <w:szCs w:val="24"/>
        </w:rPr>
        <w:t>17</w:t>
      </w:r>
    </w:p>
    <w:p>
      <w:pPr>
        <w:spacing w:before="175"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5．吉首大学关于进一步加强教学管理队伍建设的实施意见</w:t>
      </w:r>
      <w:r>
        <w:rPr>
          <w:rFonts w:ascii="Times New Roman" w:hAnsi="Times New Roman" w:eastAsia="Times New Roman" w:cs="Times New Roman"/>
          <w:sz w:val="24"/>
          <w:szCs w:val="24"/>
        </w:rPr>
        <w:t>····························</w:t>
      </w:r>
      <w:r>
        <w:rPr>
          <w:rFonts w:ascii="Times New Roman" w:hAnsi="Times New Roman" w:eastAsia="Times New Roman" w:cs="Times New Roman"/>
          <w:spacing w:val="18"/>
          <w:sz w:val="24"/>
          <w:szCs w:val="24"/>
        </w:rPr>
        <w:t xml:space="preserve"> </w:t>
      </w:r>
      <w:r>
        <w:rPr>
          <w:rFonts w:ascii="方正书宋简体" w:hAnsi="方正书宋简体" w:eastAsia="方正书宋简体" w:cs="方正书宋简体"/>
          <w:sz w:val="24"/>
          <w:szCs w:val="24"/>
        </w:rPr>
        <w:t>21</w:t>
      </w:r>
    </w:p>
    <w:p>
      <w:pPr>
        <w:spacing w:before="321" w:line="180" w:lineRule="auto"/>
        <w:ind w:firstLine="329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二、教学建设与改革</w:t>
      </w:r>
    </w:p>
    <w:p>
      <w:pPr>
        <w:spacing w:before="272"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6．吉首大学教学委员会工作规程</w:t>
      </w:r>
      <w:r>
        <w:rPr>
          <w:rFonts w:ascii="方正书宋简体" w:hAnsi="方正书宋简体" w:eastAsia="方正书宋简体" w:cs="方正书宋简体"/>
          <w:spacing w:val="110"/>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7"/>
          <w:sz w:val="24"/>
          <w:szCs w:val="24"/>
        </w:rPr>
        <w:t xml:space="preserve"> </w:t>
      </w:r>
      <w:r>
        <w:rPr>
          <w:rFonts w:ascii="方正书宋简体" w:hAnsi="方正书宋简体" w:eastAsia="方正书宋简体" w:cs="方正书宋简体"/>
          <w:spacing w:val="-1"/>
          <w:sz w:val="24"/>
          <w:szCs w:val="24"/>
        </w:rPr>
        <w:t>23</w:t>
      </w:r>
    </w:p>
    <w:p>
      <w:pPr>
        <w:spacing w:before="175" w:line="221"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7．吉首大学“十三五”本科专业综合改革试点项目实施方案</w:t>
      </w:r>
      <w:r>
        <w:rPr>
          <w:rFonts w:ascii="Times New Roman" w:hAnsi="Times New Roman" w:eastAsia="Times New Roman" w:cs="Times New Roman"/>
          <w:sz w:val="24"/>
          <w:szCs w:val="24"/>
        </w:rPr>
        <w:t>·························</w:t>
      </w:r>
      <w:r>
        <w:rPr>
          <w:rFonts w:ascii="Times New Roman" w:hAnsi="Times New Roman" w:eastAsia="Times New Roman" w:cs="Times New Roman"/>
          <w:spacing w:val="19"/>
          <w:w w:val="101"/>
          <w:sz w:val="24"/>
          <w:szCs w:val="24"/>
        </w:rPr>
        <w:t xml:space="preserve"> </w:t>
      </w:r>
      <w:r>
        <w:rPr>
          <w:rFonts w:ascii="方正书宋简体" w:hAnsi="方正书宋简体" w:eastAsia="方正书宋简体" w:cs="方正书宋简体"/>
          <w:sz w:val="24"/>
          <w:szCs w:val="24"/>
        </w:rPr>
        <w:t>24</w:t>
      </w:r>
    </w:p>
    <w:p>
      <w:pPr>
        <w:spacing w:before="175" w:line="221" w:lineRule="auto"/>
        <w:ind w:firstLine="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8．吉首大学“十三五”本科专业综合改革试点项目经费管理办法</w:t>
      </w:r>
      <w:r>
        <w:rPr>
          <w:rFonts w:ascii="Times New Roman" w:hAnsi="Times New Roman" w:eastAsia="Times New Roman" w:cs="Times New Roman"/>
          <w:sz w:val="24"/>
          <w:szCs w:val="24"/>
        </w:rPr>
        <w:t>···················</w:t>
      </w:r>
      <w:r>
        <w:rPr>
          <w:rFonts w:ascii="Times New Roman" w:hAnsi="Times New Roman" w:eastAsia="Times New Roman" w:cs="Times New Roman"/>
          <w:spacing w:val="14"/>
          <w:w w:val="101"/>
          <w:sz w:val="24"/>
          <w:szCs w:val="24"/>
        </w:rPr>
        <w:t xml:space="preserve"> </w:t>
      </w:r>
      <w:r>
        <w:rPr>
          <w:rFonts w:ascii="方正书宋简体" w:hAnsi="方正书宋简体" w:eastAsia="方正书宋简体" w:cs="方正书宋简体"/>
          <w:sz w:val="24"/>
          <w:szCs w:val="24"/>
        </w:rPr>
        <w:t>31</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9．吉首大学教学改革研究项目管理办法</w:t>
      </w:r>
      <w:r>
        <w:rPr>
          <w:rFonts w:ascii="Times New Roman" w:hAnsi="Times New Roman" w:eastAsia="Times New Roman" w:cs="Times New Roman"/>
          <w:sz w:val="24"/>
          <w:szCs w:val="24"/>
        </w:rPr>
        <w:t>····················································</w:t>
      </w:r>
      <w:r>
        <w:rPr>
          <w:rFonts w:ascii="Times New Roman" w:hAnsi="Times New Roman" w:eastAsia="Times New Roman" w:cs="Times New Roman"/>
          <w:spacing w:val="20"/>
          <w:sz w:val="24"/>
          <w:szCs w:val="24"/>
        </w:rPr>
        <w:t xml:space="preserve"> </w:t>
      </w:r>
      <w:r>
        <w:rPr>
          <w:rFonts w:ascii="方正书宋简体" w:hAnsi="方正书宋简体" w:eastAsia="方正书宋简体" w:cs="方正书宋简体"/>
          <w:sz w:val="24"/>
          <w:szCs w:val="24"/>
        </w:rPr>
        <w:t>32</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10．吉首大学课程建设管理办法</w:t>
      </w:r>
      <w:r>
        <w:rPr>
          <w:rFonts w:ascii="方正书宋简体" w:hAnsi="方正书宋简体" w:eastAsia="方正书宋简体" w:cs="方正书宋简体"/>
          <w:spacing w:val="5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1"/>
          <w:sz w:val="24"/>
          <w:szCs w:val="24"/>
        </w:rPr>
        <w:t xml:space="preserve"> </w:t>
      </w:r>
      <w:r>
        <w:rPr>
          <w:rFonts w:ascii="方正书宋简体" w:hAnsi="方正书宋简体" w:eastAsia="方正书宋简体" w:cs="方正书宋简体"/>
          <w:spacing w:val="-1"/>
          <w:sz w:val="24"/>
          <w:szCs w:val="24"/>
        </w:rPr>
        <w:t>39</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11．吉首大学教材立项管理暂行办法</w:t>
      </w:r>
      <w:r>
        <w:rPr>
          <w:rFonts w:ascii="方正书宋简体" w:hAnsi="方正书宋简体" w:eastAsia="方正书宋简体" w:cs="方正书宋简体"/>
          <w:spacing w:val="54"/>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
          <w:w w:val="101"/>
          <w:sz w:val="24"/>
          <w:szCs w:val="24"/>
        </w:rPr>
        <w:t xml:space="preserve"> </w:t>
      </w:r>
      <w:r>
        <w:rPr>
          <w:rFonts w:ascii="方正书宋简体" w:hAnsi="方正书宋简体" w:eastAsia="方正书宋简体" w:cs="方正书宋简体"/>
          <w:spacing w:val="-1"/>
          <w:sz w:val="24"/>
          <w:szCs w:val="24"/>
        </w:rPr>
        <w:t>43</w:t>
      </w:r>
    </w:p>
    <w:p>
      <w:pPr>
        <w:spacing w:before="174"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12．吉首大学关于加强教研室建设与管理的原则意见</w:t>
      </w:r>
      <w:r>
        <w:rPr>
          <w:rFonts w:ascii="方正书宋简体" w:hAnsi="方正书宋简体" w:eastAsia="方正书宋简体" w:cs="方正书宋简体"/>
          <w:spacing w:val="38"/>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
          <w:sz w:val="24"/>
          <w:szCs w:val="24"/>
        </w:rPr>
        <w:t xml:space="preserve"> </w:t>
      </w:r>
      <w:r>
        <w:rPr>
          <w:rFonts w:ascii="方正书宋简体" w:hAnsi="方正书宋简体" w:eastAsia="方正书宋简体" w:cs="方正书宋简体"/>
          <w:spacing w:val="-1"/>
          <w:sz w:val="24"/>
          <w:szCs w:val="24"/>
        </w:rPr>
        <w:t>45</w:t>
      </w:r>
    </w:p>
    <w:p>
      <w:pPr>
        <w:spacing w:before="322" w:line="180" w:lineRule="auto"/>
        <w:ind w:firstLine="3659"/>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三、教学运行</w:t>
      </w:r>
    </w:p>
    <w:p>
      <w:pPr>
        <w:spacing w:before="272"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13．吉首大学本科教学管理工作规程</w:t>
      </w:r>
      <w:r>
        <w:rPr>
          <w:rFonts w:ascii="方正书宋简体" w:hAnsi="方正书宋简体" w:eastAsia="方正书宋简体" w:cs="方正书宋简体"/>
          <w:spacing w:val="50"/>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7"/>
          <w:sz w:val="24"/>
          <w:szCs w:val="24"/>
        </w:rPr>
        <w:t xml:space="preserve"> </w:t>
      </w:r>
      <w:r>
        <w:rPr>
          <w:rFonts w:ascii="方正书宋简体" w:hAnsi="方正书宋简体" w:eastAsia="方正书宋简体" w:cs="方正书宋简体"/>
          <w:spacing w:val="-1"/>
          <w:sz w:val="24"/>
          <w:szCs w:val="24"/>
        </w:rPr>
        <w:t>52</w:t>
      </w:r>
    </w:p>
    <w:p>
      <w:pPr>
        <w:spacing w:before="174"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14．吉首大学教师教学工作规范</w:t>
      </w:r>
      <w:r>
        <w:rPr>
          <w:rFonts w:ascii="方正书宋简体" w:hAnsi="方正书宋简体" w:eastAsia="方正书宋简体" w:cs="方正书宋简体"/>
          <w:spacing w:val="54"/>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8"/>
          <w:sz w:val="24"/>
          <w:szCs w:val="24"/>
        </w:rPr>
        <w:t xml:space="preserve"> </w:t>
      </w:r>
      <w:r>
        <w:rPr>
          <w:rFonts w:ascii="方正书宋简体" w:hAnsi="方正书宋简体" w:eastAsia="方正书宋简体" w:cs="方正书宋简体"/>
          <w:spacing w:val="-1"/>
          <w:sz w:val="24"/>
          <w:szCs w:val="24"/>
        </w:rPr>
        <w:t>65</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15．吉首大学本科人才培养方案制（修）订与执行管理规定</w:t>
      </w:r>
      <w:r>
        <w:rPr>
          <w:rFonts w:ascii="方正书宋简体" w:hAnsi="方正书宋简体" w:eastAsia="方正书宋简体" w:cs="方正书宋简体"/>
          <w:spacing w:val="3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
          <w:sz w:val="24"/>
          <w:szCs w:val="24"/>
        </w:rPr>
        <w:t xml:space="preserve"> </w:t>
      </w:r>
      <w:r>
        <w:rPr>
          <w:rFonts w:ascii="方正书宋简体" w:hAnsi="方正书宋简体" w:eastAsia="方正书宋简体" w:cs="方正书宋简体"/>
          <w:spacing w:val="-1"/>
          <w:sz w:val="24"/>
          <w:szCs w:val="24"/>
        </w:rPr>
        <w:t>73</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16．吉首大学本科生导师制实施办法</w:t>
      </w:r>
      <w:r>
        <w:rPr>
          <w:rFonts w:ascii="方正书宋简体" w:hAnsi="方正书宋简体" w:eastAsia="方正书宋简体" w:cs="方正书宋简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
          <w:w w:val="101"/>
          <w:sz w:val="24"/>
          <w:szCs w:val="24"/>
        </w:rPr>
        <w:t xml:space="preserve"> </w:t>
      </w:r>
      <w:r>
        <w:rPr>
          <w:rFonts w:ascii="方正书宋简体" w:hAnsi="方正书宋简体" w:eastAsia="方正书宋简体" w:cs="方正书宋简体"/>
          <w:spacing w:val="-1"/>
          <w:sz w:val="24"/>
          <w:szCs w:val="24"/>
        </w:rPr>
        <w:t>76</w:t>
      </w:r>
    </w:p>
    <w:p>
      <w:pPr>
        <w:spacing w:before="174"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17．吉首大学关于调（停）课管理规定</w:t>
      </w:r>
      <w:r>
        <w:rPr>
          <w:rFonts w:ascii="方正书宋简体" w:hAnsi="方正书宋简体" w:eastAsia="方正书宋简体" w:cs="方正书宋简体"/>
          <w:spacing w:val="5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5"/>
          <w:sz w:val="24"/>
          <w:szCs w:val="24"/>
        </w:rPr>
        <w:t xml:space="preserve"> </w:t>
      </w:r>
      <w:r>
        <w:rPr>
          <w:rFonts w:ascii="方正书宋简体" w:hAnsi="方正书宋简体" w:eastAsia="方正书宋简体" w:cs="方正书宋简体"/>
          <w:spacing w:val="-1"/>
          <w:sz w:val="24"/>
          <w:szCs w:val="24"/>
        </w:rPr>
        <w:t>79</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18．吉首大学课堂教学秩序管理办法</w:t>
      </w:r>
      <w:r>
        <w:rPr>
          <w:rFonts w:ascii="方正书宋简体" w:hAnsi="方正书宋简体" w:eastAsia="方正书宋简体" w:cs="方正书宋简体"/>
          <w:spacing w:val="47"/>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方正书宋简体" w:hAnsi="方正书宋简体" w:eastAsia="方正书宋简体" w:cs="方正书宋简体"/>
          <w:spacing w:val="-1"/>
          <w:sz w:val="24"/>
          <w:szCs w:val="24"/>
        </w:rPr>
        <w:t>80</w:t>
      </w:r>
    </w:p>
    <w:p>
      <w:pPr>
        <w:spacing w:before="175" w:line="221"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19．吉首大学教室使用管理办法</w:t>
      </w:r>
      <w:r>
        <w:rPr>
          <w:rFonts w:ascii="方正书宋简体" w:hAnsi="方正书宋简体" w:eastAsia="方正书宋简体" w:cs="方正书宋简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方正书宋简体" w:hAnsi="方正书宋简体" w:eastAsia="方正书宋简体" w:cs="方正书宋简体"/>
          <w:spacing w:val="-1"/>
          <w:sz w:val="24"/>
          <w:szCs w:val="24"/>
        </w:rPr>
        <w:t>82</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20．吉首大学学生学分制选课管理办法</w:t>
      </w:r>
      <w:r>
        <w:rPr>
          <w:rFonts w:ascii="方正书宋简体" w:hAnsi="方正书宋简体" w:eastAsia="方正书宋简体" w:cs="方正书宋简体"/>
          <w:spacing w:val="65"/>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方正书宋简体" w:hAnsi="方正书宋简体" w:eastAsia="方正书宋简体" w:cs="方正书宋简体"/>
          <w:spacing w:val="-1"/>
          <w:sz w:val="24"/>
          <w:szCs w:val="24"/>
        </w:rPr>
        <w:t>84</w:t>
      </w:r>
    </w:p>
    <w:p>
      <w:pPr>
        <w:sectPr>
          <w:pgSz w:w="11905" w:h="16840"/>
          <w:pgMar w:top="1431" w:right="1636" w:bottom="0" w:left="1590" w:header="0" w:footer="0" w:gutter="0"/>
          <w:cols w:space="720" w:num="1"/>
        </w:sectPr>
      </w:pPr>
    </w:p>
    <w:p>
      <w:pPr>
        <w:spacing w:before="306"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21．吉首大学课程修读管理办法</w:t>
      </w:r>
      <w:r>
        <w:rPr>
          <w:rFonts w:ascii="方正书宋简体" w:hAnsi="方正书宋简体" w:eastAsia="方正书宋简体" w:cs="方正书宋简体"/>
          <w:spacing w:val="7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9"/>
          <w:w w:val="101"/>
          <w:sz w:val="24"/>
          <w:szCs w:val="24"/>
        </w:rPr>
        <w:t xml:space="preserve"> </w:t>
      </w:r>
      <w:r>
        <w:rPr>
          <w:rFonts w:ascii="方正书宋简体" w:hAnsi="方正书宋简体" w:eastAsia="方正书宋简体" w:cs="方正书宋简体"/>
          <w:spacing w:val="-1"/>
          <w:sz w:val="24"/>
          <w:szCs w:val="24"/>
        </w:rPr>
        <w:t>86</w:t>
      </w:r>
    </w:p>
    <w:p>
      <w:pPr>
        <w:spacing w:before="175"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22．吉首大学本科生课程重修管理办法</w:t>
      </w:r>
      <w:r>
        <w:rPr>
          <w:rFonts w:ascii="方正书宋简体" w:hAnsi="方正书宋简体" w:eastAsia="方正书宋简体" w:cs="方正书宋简体"/>
          <w:spacing w:val="65"/>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0"/>
          <w:sz w:val="24"/>
          <w:szCs w:val="24"/>
        </w:rPr>
        <w:t xml:space="preserve"> </w:t>
      </w:r>
      <w:r>
        <w:rPr>
          <w:rFonts w:ascii="方正书宋简体" w:hAnsi="方正书宋简体" w:eastAsia="方正书宋简体" w:cs="方正书宋简体"/>
          <w:spacing w:val="-1"/>
          <w:sz w:val="24"/>
          <w:szCs w:val="24"/>
        </w:rPr>
        <w:t>89</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23．吉首大学素质通识课程管理办法</w:t>
      </w:r>
      <w:r>
        <w:rPr>
          <w:rFonts w:ascii="方正书宋简体" w:hAnsi="方正书宋简体" w:eastAsia="方正书宋简体" w:cs="方正书宋简体"/>
          <w:spacing w:val="7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7"/>
          <w:sz w:val="24"/>
          <w:szCs w:val="24"/>
        </w:rPr>
        <w:t xml:space="preserve"> </w:t>
      </w:r>
      <w:r>
        <w:rPr>
          <w:rFonts w:ascii="方正书宋简体" w:hAnsi="方正书宋简体" w:eastAsia="方正书宋简体" w:cs="方正书宋简体"/>
          <w:spacing w:val="-1"/>
          <w:sz w:val="24"/>
          <w:szCs w:val="24"/>
        </w:rPr>
        <w:t>91</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24．吉首大学本科生创新创业实践学分认定与管理办法</w:t>
      </w:r>
      <w:r>
        <w:rPr>
          <w:rFonts w:ascii="方正书宋简体" w:hAnsi="方正书宋简体" w:eastAsia="方正书宋简体" w:cs="方正书宋简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7"/>
          <w:sz w:val="24"/>
          <w:szCs w:val="24"/>
        </w:rPr>
        <w:t xml:space="preserve"> </w:t>
      </w:r>
      <w:r>
        <w:rPr>
          <w:rFonts w:ascii="方正书宋简体" w:hAnsi="方正书宋简体" w:eastAsia="方正书宋简体" w:cs="方正书宋简体"/>
          <w:spacing w:val="-1"/>
          <w:sz w:val="24"/>
          <w:szCs w:val="24"/>
        </w:rPr>
        <w:t>97</w:t>
      </w:r>
    </w:p>
    <w:p>
      <w:pPr>
        <w:spacing w:before="175"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25．吉首大学教材选用与评估办法</w:t>
      </w:r>
      <w:r>
        <w:rPr>
          <w:rFonts w:ascii="方正书宋简体" w:hAnsi="方正书宋简体" w:eastAsia="方正书宋简体" w:cs="方正书宋简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104</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26．吉首大学教材征订、供应管理办法</w:t>
      </w:r>
      <w:r>
        <w:rPr>
          <w:rFonts w:ascii="方正书宋简体" w:hAnsi="方正书宋简体" w:eastAsia="方正书宋简体" w:cs="方正书宋简体"/>
          <w:spacing w:val="47"/>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108</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27．吉首大学本科生学籍管理规定</w:t>
      </w:r>
      <w:r>
        <w:rPr>
          <w:rFonts w:ascii="方正书宋简体" w:hAnsi="方正书宋简体" w:eastAsia="方正书宋简体" w:cs="方正书宋简体"/>
          <w:spacing w:val="52"/>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110</w:t>
      </w:r>
    </w:p>
    <w:p>
      <w:pPr>
        <w:spacing w:before="176"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28．吉首大学学士学位授予工作细则</w:t>
      </w:r>
      <w:r>
        <w:rPr>
          <w:rFonts w:ascii="方正书宋简体" w:hAnsi="方正书宋简体" w:eastAsia="方正书宋简体" w:cs="方正书宋简体"/>
          <w:spacing w:val="49"/>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121</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29．吉首大学本科生转专业管理办法</w:t>
      </w:r>
      <w:r>
        <w:rPr>
          <w:rFonts w:ascii="方正书宋简体" w:hAnsi="方正书宋简体" w:eastAsia="方正书宋简体" w:cs="方正书宋简体"/>
          <w:spacing w:val="49"/>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125</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30．吉首大学本科生学业预警管理办法</w:t>
      </w:r>
      <w:r>
        <w:rPr>
          <w:rFonts w:ascii="方正书宋简体" w:hAnsi="方正书宋简体" w:eastAsia="方正书宋简体" w:cs="方正书宋简体"/>
          <w:spacing w:val="43"/>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129</w:t>
      </w:r>
    </w:p>
    <w:p>
      <w:pPr>
        <w:spacing w:before="176"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31．吉首大学辅修专业与双学士学位管理办法</w:t>
      </w:r>
      <w:r>
        <w:rPr>
          <w:rFonts w:ascii="方正书宋简体" w:hAnsi="方正书宋简体" w:eastAsia="方正书宋简体" w:cs="方正书宋简体"/>
          <w:spacing w:val="18"/>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135</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32．吉首大学课程考核与成绩管理办法</w:t>
      </w:r>
      <w:r>
        <w:rPr>
          <w:rFonts w:ascii="方正书宋简体" w:hAnsi="方正书宋简体" w:eastAsia="方正书宋简体" w:cs="方正书宋简体"/>
          <w:spacing w:val="43"/>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140</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33．吉首大学学生考试纪律</w:t>
      </w:r>
      <w:r>
        <w:rPr>
          <w:rFonts w:ascii="方正书宋简体" w:hAnsi="方正书宋简体" w:eastAsia="方正书宋简体" w:cs="方正书宋简体"/>
          <w:spacing w:val="55"/>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148</w:t>
      </w:r>
    </w:p>
    <w:p>
      <w:pPr>
        <w:spacing w:before="176"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34．吉首大学考试工作人员职责</w:t>
      </w:r>
      <w:r>
        <w:rPr>
          <w:rFonts w:ascii="方正书宋简体" w:hAnsi="方正书宋简体" w:eastAsia="方正书宋简体" w:cs="方正书宋简体"/>
          <w:spacing w:val="50"/>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150</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35．吉首大学学生考试违规处理暂行办法</w:t>
      </w:r>
      <w:r>
        <w:rPr>
          <w:rFonts w:ascii="方正书宋简体" w:hAnsi="方正书宋简体" w:eastAsia="方正书宋简体" w:cs="方正书宋简体"/>
          <w:spacing w:val="41"/>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154</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36．吉首大学本专科生教学工作量核算办法</w:t>
      </w:r>
      <w:r>
        <w:rPr>
          <w:rFonts w:ascii="方正书宋简体" w:hAnsi="方正书宋简体" w:eastAsia="方正书宋简体" w:cs="方正书宋简体"/>
          <w:spacing w:val="18"/>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157</w:t>
      </w:r>
    </w:p>
    <w:p>
      <w:pPr>
        <w:spacing w:before="176"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37．吉首大学教学秘书岗位设置与聘用管理实施办法</w:t>
      </w:r>
      <w:r>
        <w:rPr>
          <w:rFonts w:ascii="方正书宋简体" w:hAnsi="方正书宋简体" w:eastAsia="方正书宋简体" w:cs="方正书宋简体"/>
          <w:spacing w:val="78"/>
          <w:w w:val="101"/>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163</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38．吉首大学本科教学档案建设与管理暂行办法</w:t>
      </w:r>
      <w:r>
        <w:rPr>
          <w:rFonts w:ascii="方正书宋简体" w:hAnsi="方正书宋简体" w:eastAsia="方正书宋简体" w:cs="方正书宋简体"/>
          <w:spacing w:val="18"/>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167</w:t>
      </w:r>
    </w:p>
    <w:p>
      <w:pPr>
        <w:spacing w:before="174" w:line="221"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39．吉首大学全日制学生学历、学士学位证书发放管理办法</w:t>
      </w:r>
      <w:r>
        <w:rPr>
          <w:rFonts w:ascii="方正书宋简体" w:hAnsi="方正书宋简体" w:eastAsia="方正书宋简体" w:cs="方正书宋简体"/>
          <w:spacing w:val="72"/>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174</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40．吉首大学推荐优秀应届本科毕业生免试攻读硕士学位研究生实施办法</w:t>
      </w:r>
      <w:r>
        <w:rPr>
          <w:rFonts w:ascii="方正书宋简体" w:hAnsi="方正书宋简体" w:eastAsia="方正书宋简体" w:cs="方正书宋简体"/>
          <w:spacing w:val="66"/>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176</w:t>
      </w:r>
    </w:p>
    <w:p>
      <w:pPr>
        <w:spacing w:before="321" w:line="180" w:lineRule="auto"/>
        <w:ind w:firstLine="3309"/>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四、实验与实践教学</w:t>
      </w:r>
    </w:p>
    <w:p>
      <w:pPr>
        <w:spacing w:before="272"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41．吉首大学本科实验教学管理办法</w:t>
      </w:r>
      <w:r>
        <w:rPr>
          <w:rFonts w:ascii="方正书宋简体" w:hAnsi="方正书宋简体" w:eastAsia="方正书宋简体" w:cs="方正书宋简体"/>
          <w:spacing w:val="53"/>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182</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42．吉首大学实验室工作规程</w:t>
      </w:r>
      <w:r>
        <w:rPr>
          <w:rFonts w:ascii="方正书宋简体" w:hAnsi="方正书宋简体" w:eastAsia="方正书宋简体" w:cs="方正书宋简体"/>
          <w:spacing w:val="60"/>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186</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43．吉首大学教学科研仪器设备管理办法</w:t>
      </w:r>
      <w:r>
        <w:rPr>
          <w:rFonts w:ascii="方正书宋简体" w:hAnsi="方正书宋简体" w:eastAsia="方正书宋简体" w:cs="方正书宋简体"/>
          <w:spacing w:val="4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190</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44．吉首大学实验室安全管理办法</w:t>
      </w:r>
      <w:r>
        <w:rPr>
          <w:rFonts w:ascii="方正书宋简体" w:hAnsi="方正书宋简体" w:eastAsia="方正书宋简体" w:cs="方正书宋简体"/>
          <w:spacing w:val="55"/>
          <w:w w:val="101"/>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193</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45．吉首大学大型精密仪器设备管理办法</w:t>
      </w:r>
      <w:r>
        <w:rPr>
          <w:rFonts w:ascii="方正书宋简体" w:hAnsi="方正书宋简体" w:eastAsia="方正书宋简体" w:cs="方正书宋简体"/>
          <w:spacing w:val="4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2"/>
          <w:sz w:val="24"/>
          <w:szCs w:val="24"/>
        </w:rPr>
        <w:t xml:space="preserve"> </w:t>
      </w:r>
      <w:r>
        <w:rPr>
          <w:rFonts w:ascii="方正书宋简体" w:hAnsi="方正书宋简体" w:eastAsia="方正书宋简体" w:cs="方正书宋简体"/>
          <w:spacing w:val="-1"/>
          <w:sz w:val="24"/>
          <w:szCs w:val="24"/>
        </w:rPr>
        <w:t>198</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46．吉首大学本科实验教学材料费使用管理办法</w:t>
      </w:r>
      <w:r>
        <w:rPr>
          <w:rFonts w:ascii="方正书宋简体" w:hAnsi="方正书宋简体" w:eastAsia="方正书宋简体" w:cs="方正书宋简体"/>
          <w:spacing w:val="25"/>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201</w:t>
      </w:r>
    </w:p>
    <w:p>
      <w:pPr>
        <w:sectPr>
          <w:pgSz w:w="11905" w:h="16840"/>
          <w:pgMar w:top="1431" w:right="1636" w:bottom="0" w:left="1590" w:header="0" w:footer="0" w:gutter="0"/>
          <w:cols w:space="720" w:num="1"/>
        </w:sectPr>
      </w:pPr>
    </w:p>
    <w:p>
      <w:pPr>
        <w:spacing w:before="306"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47．吉首大学实验教学工作规范</w:t>
      </w:r>
      <w:r>
        <w:rPr>
          <w:rFonts w:ascii="方正书宋简体" w:hAnsi="方正书宋简体" w:eastAsia="方正书宋简体" w:cs="方正书宋简体"/>
          <w:spacing w:val="27"/>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204</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48．吉首大学实验室人员劳保补贴及用品发放暂行办法</w:t>
      </w:r>
      <w:r>
        <w:rPr>
          <w:rFonts w:ascii="方正书宋简体" w:hAnsi="方正书宋简体" w:eastAsia="方正书宋简体" w:cs="方正书宋简体"/>
          <w:spacing w:val="24"/>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206</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49．吉首大学仪器设备维修管理办法</w:t>
      </w:r>
      <w:r>
        <w:rPr>
          <w:rFonts w:ascii="方正书宋简体" w:hAnsi="方正书宋简体" w:eastAsia="方正书宋简体" w:cs="方正书宋简体"/>
          <w:spacing w:val="26"/>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208</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50．吉首大学进口免税设备管理办法</w:t>
      </w:r>
      <w:r>
        <w:rPr>
          <w:rFonts w:ascii="方正书宋简体" w:hAnsi="方正书宋简体" w:eastAsia="方正书宋简体" w:cs="方正书宋简体"/>
          <w:spacing w:val="23"/>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210</w:t>
      </w:r>
    </w:p>
    <w:p>
      <w:pPr>
        <w:spacing w:before="175"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51．吉首大学实践教学专项经费管理办法</w:t>
      </w:r>
      <w:r>
        <w:rPr>
          <w:rFonts w:ascii="方正书宋简体" w:hAnsi="方正书宋简体" w:eastAsia="方正书宋简体" w:cs="方正书宋简体"/>
          <w:spacing w:val="22"/>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212</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52．吉首大学实习教学管理办法</w:t>
      </w:r>
      <w:r>
        <w:rPr>
          <w:rFonts w:ascii="方正书宋简体" w:hAnsi="方正书宋简体" w:eastAsia="方正书宋简体" w:cs="方正书宋简体"/>
          <w:spacing w:val="23"/>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216</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53．吉首大学教育实习管理办法</w:t>
      </w:r>
      <w:r>
        <w:rPr>
          <w:rFonts w:ascii="方正书宋简体" w:hAnsi="方正书宋简体" w:eastAsia="方正书宋简体" w:cs="方正书宋简体"/>
          <w:spacing w:val="23"/>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220</w:t>
      </w:r>
    </w:p>
    <w:p>
      <w:pPr>
        <w:spacing w:before="176"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54．吉首大学临床实践教学管理办法</w:t>
      </w:r>
      <w:r>
        <w:rPr>
          <w:rFonts w:ascii="方正书宋简体" w:hAnsi="方正书宋简体" w:eastAsia="方正书宋简体" w:cs="方正书宋简体"/>
          <w:spacing w:val="23"/>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225</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55．吉首大学本科生毕业论文（设计）工作管理规定</w:t>
      </w:r>
      <w:r>
        <w:rPr>
          <w:rFonts w:ascii="方正书宋简体" w:hAnsi="方正书宋简体" w:eastAsia="方正书宋简体" w:cs="方正书宋简体"/>
          <w:spacing w:val="21"/>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230</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56．吉首大学学生实习守则</w:t>
      </w:r>
      <w:r>
        <w:rPr>
          <w:rFonts w:ascii="方正书宋简体" w:hAnsi="方正书宋简体" w:eastAsia="方正书宋简体" w:cs="方正书宋简体"/>
          <w:spacing w:val="24"/>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236</w:t>
      </w:r>
    </w:p>
    <w:p>
      <w:pPr>
        <w:spacing w:before="176"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57．吉首大学学生实习安全管理办法</w:t>
      </w:r>
      <w:r>
        <w:rPr>
          <w:rFonts w:ascii="方正书宋简体" w:hAnsi="方正书宋简体" w:eastAsia="方正书宋简体" w:cs="方正书宋简体"/>
          <w:spacing w:val="23"/>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237</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58．吉首大学本科生学科竞赛管理暂行办法</w:t>
      </w:r>
      <w:r>
        <w:rPr>
          <w:rFonts w:ascii="方正书宋简体" w:hAnsi="方正书宋简体" w:eastAsia="方正书宋简体" w:cs="方正书宋简体"/>
          <w:spacing w:val="22"/>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238</w:t>
      </w:r>
    </w:p>
    <w:p>
      <w:pPr>
        <w:spacing w:before="174" w:line="221"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59．吉首大学学生学科竞赛安全管理制度</w:t>
      </w:r>
      <w:r>
        <w:rPr>
          <w:rFonts w:ascii="方正书宋简体" w:hAnsi="方正书宋简体" w:eastAsia="方正书宋简体" w:cs="方正书宋简体"/>
          <w:spacing w:val="22"/>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244</w:t>
      </w:r>
    </w:p>
    <w:p>
      <w:pPr>
        <w:spacing w:before="176"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60．吉首大学实习教学基地建设与管理办法</w:t>
      </w:r>
      <w:r>
        <w:rPr>
          <w:rFonts w:ascii="方正书宋简体" w:hAnsi="方正书宋简体" w:eastAsia="方正书宋简体" w:cs="方正书宋简体"/>
          <w:spacing w:val="2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247</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61．吉首大学省级、国家级校外实践教学基地项目建设规定</w:t>
      </w:r>
      <w:r>
        <w:rPr>
          <w:rFonts w:ascii="方正书宋简体" w:hAnsi="方正书宋简体" w:eastAsia="方正书宋简体" w:cs="方正书宋简体"/>
          <w:spacing w:val="74"/>
          <w:w w:val="101"/>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252</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62．吉首大学大学生创新创业孵化基地管理办法</w:t>
      </w:r>
      <w:r>
        <w:rPr>
          <w:rFonts w:ascii="方正书宋简体" w:hAnsi="方正书宋简体" w:eastAsia="方正书宋简体" w:cs="方正书宋简体"/>
          <w:spacing w:val="2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254</w:t>
      </w:r>
    </w:p>
    <w:p>
      <w:pPr>
        <w:spacing w:before="176"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63．吉首大学大学生科技实践创新中心管理办法</w:t>
      </w:r>
      <w:r>
        <w:rPr>
          <w:rFonts w:ascii="方正书宋简体" w:hAnsi="方正书宋简体" w:eastAsia="方正书宋简体" w:cs="方正书宋简体"/>
          <w:spacing w:val="2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264</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64．吉首大学大学生研究性学习和创新性实验计划项目管理办法</w:t>
      </w:r>
      <w:r>
        <w:rPr>
          <w:rFonts w:ascii="方正书宋简体" w:hAnsi="方正书宋简体" w:eastAsia="方正书宋简体" w:cs="方正书宋简体"/>
          <w:spacing w:val="70"/>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268</w:t>
      </w:r>
    </w:p>
    <w:p>
      <w:pPr>
        <w:spacing w:before="320" w:line="180" w:lineRule="auto"/>
        <w:ind w:firstLine="32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五、质量监控与评价</w:t>
      </w:r>
    </w:p>
    <w:p>
      <w:pPr>
        <w:spacing w:before="2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65．吉首大学本科教学质量评价与持续改进工作实施办法</w:t>
      </w:r>
      <w:r>
        <w:rPr>
          <w:rFonts w:ascii="方正书宋简体" w:hAnsi="方正书宋简体" w:eastAsia="方正书宋简体" w:cs="方正书宋简体"/>
          <w:spacing w:val="77"/>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274</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66．吉首大学教学督导团章程</w:t>
      </w:r>
      <w:r>
        <w:rPr>
          <w:rFonts w:ascii="方正书宋简体" w:hAnsi="方正书宋简体" w:eastAsia="方正书宋简体" w:cs="方正书宋简体"/>
          <w:spacing w:val="22"/>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277</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67．吉首大学领导干部、教师听课制度</w:t>
      </w:r>
      <w:r>
        <w:rPr>
          <w:rFonts w:ascii="方正书宋简体" w:hAnsi="方正书宋简体" w:eastAsia="方正书宋简体" w:cs="方正书宋简体"/>
          <w:spacing w:val="22"/>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280</w:t>
      </w:r>
    </w:p>
    <w:p>
      <w:pPr>
        <w:spacing w:before="175"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68．吉首大学学生教学信息员工作管理办法</w:t>
      </w:r>
      <w:r>
        <w:rPr>
          <w:rFonts w:ascii="方正书宋简体" w:hAnsi="方正书宋简体" w:eastAsia="方正书宋简体" w:cs="方正书宋简体"/>
          <w:spacing w:val="2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285</w:t>
      </w:r>
    </w:p>
    <w:p>
      <w:pPr>
        <w:spacing w:before="175"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69．吉首大学本科课程考核质量标准</w:t>
      </w:r>
      <w:r>
        <w:rPr>
          <w:rFonts w:ascii="方正书宋简体" w:hAnsi="方正书宋简体" w:eastAsia="方正书宋简体" w:cs="方正书宋简体"/>
          <w:spacing w:val="22"/>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287</w:t>
      </w:r>
    </w:p>
    <w:p>
      <w:pPr>
        <w:spacing w:before="174" w:line="221"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70．吉首大学教师课程教学考核办法</w:t>
      </w:r>
      <w:r>
        <w:rPr>
          <w:rFonts w:ascii="方正书宋简体" w:hAnsi="方正书宋简体" w:eastAsia="方正书宋简体" w:cs="方正书宋简体"/>
          <w:spacing w:val="24"/>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290</w:t>
      </w:r>
    </w:p>
    <w:p>
      <w:pPr>
        <w:spacing w:before="175" w:line="221"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71．吉首大学本科毕业论文（设计）质量管理工作评估方案</w:t>
      </w:r>
      <w:r>
        <w:rPr>
          <w:rFonts w:ascii="方正书宋简体" w:hAnsi="方正书宋简体" w:eastAsia="方正书宋简体" w:cs="方正书宋简体"/>
          <w:spacing w:val="77"/>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300</w:t>
      </w:r>
    </w:p>
    <w:p>
      <w:pPr>
        <w:spacing w:before="175" w:line="221"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72．吉首大学教学学院本科教学质量考核方案</w:t>
      </w:r>
      <w:r>
        <w:rPr>
          <w:rFonts w:ascii="方正书宋简体" w:hAnsi="方正书宋简体" w:eastAsia="方正书宋简体" w:cs="方正书宋简体"/>
          <w:spacing w:val="23"/>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308</w:t>
      </w:r>
    </w:p>
    <w:p>
      <w:pPr>
        <w:sectPr>
          <w:pgSz w:w="11905" w:h="16840"/>
          <w:pgMar w:top="1431" w:right="1637" w:bottom="0" w:left="1590" w:header="0" w:footer="0" w:gutter="0"/>
          <w:cols w:space="720" w:num="1"/>
        </w:sectPr>
      </w:pPr>
    </w:p>
    <w:p>
      <w:pPr>
        <w:spacing w:before="306"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73．吉首大学教学奖励办法</w:t>
      </w:r>
      <w:r>
        <w:rPr>
          <w:rFonts w:ascii="方正书宋简体" w:hAnsi="方正书宋简体" w:eastAsia="方正书宋简体" w:cs="方正书宋简体"/>
          <w:spacing w:val="25"/>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318</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74．吉首大学优秀教学成果奖评选办法</w:t>
      </w:r>
      <w:r>
        <w:rPr>
          <w:rFonts w:ascii="方正书宋简体" w:hAnsi="方正书宋简体" w:eastAsia="方正书宋简体" w:cs="方正书宋简体"/>
          <w:spacing w:val="24"/>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331</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75．吉首大学优秀本科课堂教学质量奖评选暂行办法</w:t>
      </w:r>
      <w:r>
        <w:rPr>
          <w:rFonts w:ascii="方正书宋简体" w:hAnsi="方正书宋简体" w:eastAsia="方正书宋简体" w:cs="方正书宋简体"/>
          <w:spacing w:val="23"/>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333</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76．吉首大学大学生科技创新实践活动评优及管理办法</w:t>
      </w:r>
      <w:r>
        <w:rPr>
          <w:rFonts w:ascii="方正书宋简体" w:hAnsi="方正书宋简体" w:eastAsia="方正书宋简体" w:cs="方正书宋简体"/>
          <w:spacing w:val="23"/>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335</w:t>
      </w:r>
    </w:p>
    <w:p>
      <w:pPr>
        <w:spacing w:before="175"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77．吉首大学优秀实习指导教师评选办法</w:t>
      </w:r>
      <w:r>
        <w:rPr>
          <w:rFonts w:ascii="方正书宋简体" w:hAnsi="方正书宋简体" w:eastAsia="方正书宋简体" w:cs="方正书宋简体"/>
          <w:spacing w:val="24"/>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340</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78．吉首大学本科生优秀毕业论文（设计）指导教师评选办法</w:t>
      </w:r>
      <w:r>
        <w:rPr>
          <w:rFonts w:ascii="方正书宋简体" w:hAnsi="方正书宋简体" w:eastAsia="方正书宋简体" w:cs="方正书宋简体"/>
          <w:spacing w:val="75"/>
          <w:sz w:val="24"/>
          <w:szCs w:val="24"/>
        </w:rPr>
        <w:t xml:space="preserve"> </w:t>
      </w:r>
      <w:r>
        <w:rPr>
          <w:rFonts w:ascii="Times New Roman" w:hAnsi="Times New Roman" w:eastAsia="Times New Roman" w:cs="Times New Roman"/>
          <w:spacing w:val="-1"/>
          <w:sz w:val="24"/>
          <w:szCs w:val="24"/>
        </w:rPr>
        <w:t>······················</w:t>
      </w:r>
      <w:r>
        <w:rPr>
          <w:rFonts w:ascii="方正书宋简体" w:hAnsi="方正书宋简体" w:eastAsia="方正书宋简体" w:cs="方正书宋简体"/>
          <w:spacing w:val="-1"/>
          <w:sz w:val="24"/>
          <w:szCs w:val="24"/>
        </w:rPr>
        <w:t>341</w:t>
      </w:r>
    </w:p>
    <w:p>
      <w:pPr>
        <w:spacing w:before="174" w:line="221"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79．吉首大学教学事故认定与处理暂行办法</w:t>
      </w:r>
      <w:r>
        <w:rPr>
          <w:rFonts w:ascii="方正书宋简体" w:hAnsi="方正书宋简体" w:eastAsia="方正书宋简体" w:cs="方正书宋简体"/>
          <w:spacing w:val="24"/>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343</w:t>
      </w:r>
    </w:p>
    <w:p>
      <w:pPr>
        <w:spacing w:before="176"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80．吉首大学教学质量考核一票否决制实施办法</w:t>
      </w:r>
      <w:r>
        <w:rPr>
          <w:rFonts w:ascii="方正书宋简体" w:hAnsi="方正书宋简体" w:eastAsia="方正书宋简体" w:cs="方正书宋简体"/>
          <w:spacing w:val="19"/>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349</w:t>
      </w:r>
    </w:p>
    <w:p>
      <w:pPr>
        <w:spacing w:before="174" w:line="221"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81．吉首大学新设本科专业办学水平评估实施办法</w:t>
      </w:r>
      <w:r>
        <w:rPr>
          <w:rFonts w:ascii="方正书宋简体" w:hAnsi="方正书宋简体" w:eastAsia="方正书宋简体" w:cs="方正书宋简体"/>
          <w:spacing w:val="18"/>
          <w:w w:val="101"/>
          <w:sz w:val="24"/>
          <w:szCs w:val="24"/>
        </w:rPr>
        <w:t xml:space="preserve"> </w:t>
      </w:r>
      <w:r>
        <w:rPr>
          <w:rFonts w:ascii="Times New Roman" w:hAnsi="Times New Roman" w:eastAsia="Times New Roman" w:cs="Times New Roman"/>
          <w:sz w:val="24"/>
          <w:szCs w:val="24"/>
        </w:rPr>
        <w:t>·····································</w:t>
      </w:r>
      <w:r>
        <w:rPr>
          <w:rFonts w:ascii="方正书宋简体" w:hAnsi="方正书宋简体" w:eastAsia="方正书宋简体" w:cs="方正书宋简体"/>
          <w:sz w:val="24"/>
          <w:szCs w:val="24"/>
        </w:rPr>
        <w:t>351</w:t>
      </w:r>
    </w:p>
    <w:p>
      <w:pPr>
        <w:sectPr>
          <w:pgSz w:w="11905" w:h="16840"/>
          <w:pgMar w:top="1431" w:right="1637" w:bottom="0" w:left="1592" w:header="0" w:footer="0" w:gutter="0"/>
          <w:cols w:space="720" w:num="1"/>
        </w:sectPr>
      </w:pPr>
    </w:p>
    <w:p>
      <w:pPr>
        <w:spacing w:before="235" w:line="180" w:lineRule="auto"/>
        <w:ind w:firstLine="114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吉首大学关于进一步加强本科教学工作提高教学</w:t>
      </w:r>
    </w:p>
    <w:p>
      <w:pPr>
        <w:spacing w:before="35" w:line="187" w:lineRule="auto"/>
        <w:ind w:firstLine="338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质量的实施意见</w:t>
      </w:r>
    </w:p>
    <w:p>
      <w:pPr>
        <w:spacing w:before="94" w:line="184" w:lineRule="auto"/>
        <w:ind w:firstLine="3559"/>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77" w:lineRule="auto"/>
        <w:rPr>
          <w:rFonts w:ascii="Malgun Gothic"/>
          <w:sz w:val="21"/>
        </w:rPr>
      </w:pPr>
    </w:p>
    <w:p>
      <w:pPr>
        <w:tabs>
          <w:tab w:val="left" w:pos="150"/>
        </w:tabs>
        <w:spacing w:before="86" w:line="313"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为全面贯彻落实《教育部关于全面提高高等教育质量的若干意见》（教高[2012]4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号）《教育部等部门关于进一步加强高校实践育人工作的若干意见》（教思政〔2012〕</w:t>
      </w:r>
      <w:r>
        <w:rPr>
          <w:rFonts w:ascii="方正书宋简体" w:hAnsi="方正书宋简体" w:eastAsia="方正书宋简体" w:cs="方正书宋简体"/>
          <w:spacing w:val="22"/>
          <w:sz w:val="24"/>
          <w:szCs w:val="24"/>
        </w:rPr>
        <w:t xml:space="preserve"> </w:t>
      </w:r>
      <w:r>
        <w:rPr>
          <w:rFonts w:ascii="Malgun Gothic" w:hAnsi="Malgun Gothic" w:eastAsia="Malgun Gothic" w:cs="Malgun Gothic"/>
          <w:sz w:val="21"/>
          <w:szCs w:val="21"/>
        </w:rPr>
        <w:tab/>
      </w:r>
      <w:r>
        <w:rPr>
          <w:rFonts w:ascii="方正书宋简体" w:hAnsi="方正书宋简体" w:eastAsia="方正书宋简体" w:cs="方正书宋简体"/>
          <w:spacing w:val="-5"/>
          <w:sz w:val="24"/>
          <w:szCs w:val="24"/>
        </w:rPr>
        <w:t>1</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5"/>
          <w:sz w:val="24"/>
          <w:szCs w:val="24"/>
        </w:rPr>
        <w:t>号）</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5"/>
          <w:sz w:val="24"/>
          <w:szCs w:val="24"/>
        </w:rPr>
        <w:t>《国务院办公厅关于深化高等学校创新创业教育改革的实施意见》</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5"/>
          <w:sz w:val="24"/>
          <w:szCs w:val="24"/>
        </w:rPr>
        <w:t>（国办发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7"/>
          <w:sz w:val="24"/>
          <w:szCs w:val="24"/>
        </w:rPr>
        <w:t>〔2015〕36</w:t>
      </w:r>
      <w:r>
        <w:rPr>
          <w:rFonts w:ascii="方正书宋简体" w:hAnsi="方正书宋简体" w:eastAsia="方正书宋简体" w:cs="方正书宋简体"/>
          <w:spacing w:val="79"/>
          <w:sz w:val="24"/>
          <w:szCs w:val="24"/>
        </w:rPr>
        <w:t xml:space="preserve"> </w:t>
      </w:r>
      <w:r>
        <w:rPr>
          <w:rFonts w:ascii="方正书宋简体" w:hAnsi="方正书宋简体" w:eastAsia="方正书宋简体" w:cs="方正书宋简体"/>
          <w:spacing w:val="-11"/>
          <w:w w:val="97"/>
          <w:sz w:val="24"/>
          <w:szCs w:val="24"/>
        </w:rPr>
        <w:t>号）</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w w:val="97"/>
          <w:sz w:val="24"/>
          <w:szCs w:val="24"/>
        </w:rPr>
        <w:t>等文件精神，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w w:val="97"/>
          <w:sz w:val="24"/>
          <w:szCs w:val="24"/>
        </w:rPr>
        <w:t>进一步加强我校本科教学工作，</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7"/>
          <w:sz w:val="24"/>
          <w:szCs w:val="24"/>
        </w:rPr>
        <w:t>提高教学质量，</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7"/>
          <w:sz w:val="24"/>
          <w:szCs w:val="24"/>
        </w:rPr>
        <w:t>特提出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如下实施意见。</w:t>
      </w:r>
    </w:p>
    <w:p>
      <w:pPr>
        <w:spacing w:before="10" w:line="197" w:lineRule="auto"/>
        <w:ind w:firstLine="619"/>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22" w:line="290" w:lineRule="auto"/>
        <w:ind w:left="129" w:right="114"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深入贯彻党的十八大及十八届三中、四中、五中、六中全会精神，认真学习贯</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彻习近平总书记系列重要讲话精神和治国理政新理念新思想新战略，以“创新、协</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调、绿色、开放、</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9"/>
          <w:sz w:val="24"/>
          <w:szCs w:val="24"/>
        </w:rPr>
        <w:t>共享”的发展理念为引领，遵循高等教育教学规律，全面贯彻党的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教育方针，</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21"/>
          <w:sz w:val="24"/>
          <w:szCs w:val="24"/>
        </w:rPr>
        <w:t>落实立德树人根本任务，</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1"/>
          <w:sz w:val="24"/>
          <w:szCs w:val="24"/>
        </w:rPr>
        <w:t>巩固本科教学和人才培养的中心地位，</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21"/>
          <w:sz w:val="24"/>
          <w:szCs w:val="24"/>
        </w:rPr>
        <w:t>以学科建设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3"/>
          <w:w w:val="97"/>
          <w:sz w:val="24"/>
          <w:szCs w:val="24"/>
        </w:rPr>
        <w:t>为龙头，</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23"/>
          <w:w w:val="97"/>
          <w:sz w:val="24"/>
          <w:szCs w:val="24"/>
        </w:rPr>
        <w:t>以改革创新为动力，</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3"/>
          <w:w w:val="97"/>
          <w:sz w:val="24"/>
          <w:szCs w:val="24"/>
        </w:rPr>
        <w:t>突出内涵建设，</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3"/>
          <w:w w:val="97"/>
          <w:sz w:val="24"/>
          <w:szCs w:val="24"/>
        </w:rPr>
        <w:t>突出特色发展，</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23"/>
          <w:w w:val="97"/>
          <w:sz w:val="24"/>
          <w:szCs w:val="24"/>
        </w:rPr>
        <w:t>加强教学管理，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3"/>
          <w:w w:val="97"/>
          <w:sz w:val="24"/>
          <w:szCs w:val="24"/>
        </w:rPr>
        <w:t>强化内部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质量保障体系建设，不断提高教育教学质量与水平，开创本科教学工作新局面。</w:t>
      </w:r>
    </w:p>
    <w:p>
      <w:pPr>
        <w:spacing w:before="204" w:line="180" w:lineRule="auto"/>
        <w:ind w:firstLine="618"/>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二、主要措施</w:t>
      </w:r>
    </w:p>
    <w:p>
      <w:pPr>
        <w:spacing w:before="144" w:line="302" w:lineRule="auto"/>
        <w:ind w:left="127" w:right="25" w:firstLine="359"/>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（一）</w:t>
      </w:r>
      <w:r>
        <w:rPr>
          <w:rFonts w:ascii="楷体" w:hAnsi="楷体" w:eastAsia="楷体" w:cs="楷体"/>
          <w:spacing w:val="10"/>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更新教育教学观念。</w:t>
      </w:r>
      <w:r>
        <w:rPr>
          <w:rFonts w:ascii="楷体" w:hAnsi="楷体" w:eastAsia="楷体" w:cs="楷体"/>
          <w:spacing w:val="47"/>
          <w:sz w:val="24"/>
          <w:szCs w:val="24"/>
        </w:rPr>
        <w:t xml:space="preserve"> </w:t>
      </w:r>
      <w:r>
        <w:rPr>
          <w:rFonts w:ascii="方正书宋简体" w:hAnsi="方正书宋简体" w:eastAsia="方正书宋简体" w:cs="方正书宋简体"/>
          <w:spacing w:val="-14"/>
          <w:sz w:val="24"/>
          <w:szCs w:val="24"/>
        </w:rPr>
        <w:t>坚持以“立人教育”为引领，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4"/>
          <w:sz w:val="24"/>
          <w:szCs w:val="24"/>
        </w:rPr>
        <w:t>牢固树立教育以育人为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0"/>
          <w:sz w:val="24"/>
          <w:szCs w:val="24"/>
        </w:rPr>
        <w:t>本，</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0"/>
          <w:sz w:val="24"/>
          <w:szCs w:val="24"/>
        </w:rPr>
        <w:t>以学生为主体，</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0"/>
          <w:sz w:val="24"/>
          <w:szCs w:val="24"/>
        </w:rPr>
        <w:t>办学以人才为本，</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0"/>
          <w:sz w:val="24"/>
          <w:szCs w:val="24"/>
        </w:rPr>
        <w:t>以教师为主体的理念；</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0"/>
          <w:sz w:val="24"/>
          <w:szCs w:val="24"/>
        </w:rPr>
        <w:t>正确处理好人才培养、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科学研究、社会服务、文化传承和国际交流合作间关系；正确处理好办学规模、办</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学质量和办学效益的关系；正确处理好教学工作、管理工作和服务工作的关系；妥</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9"/>
          <w:sz w:val="24"/>
          <w:szCs w:val="24"/>
        </w:rPr>
        <w:t>善处理好人才培养中统一性与多样化、</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“成人”与“成才”、传授知识与培养能力、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提高素质的关系，促进学生全面发展。妥善处理规范管理与开拓创新的关系，充分</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调动师生的教与学的积极性与创造性；强化质量意识，充分认识到提高教学质量是</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z w:val="24"/>
          <w:szCs w:val="24"/>
        </w:rPr>
        <w:t>高等教育永恒的主题，教学质量是学校生存和发展的生命线,教学质量建设是学校可</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持续发展的基础工程,是确保学校在激烈竞争中取胜的唯一法宝。</w:t>
      </w:r>
    </w:p>
    <w:p>
      <w:pPr>
        <w:spacing w:before="177" w:line="313" w:lineRule="auto"/>
        <w:ind w:left="131" w:right="43" w:firstLine="355"/>
        <w:rPr>
          <w:rFonts w:ascii="方正书宋简体" w:hAnsi="方正书宋简体" w:eastAsia="方正书宋简体" w:cs="方正书宋简体"/>
          <w:sz w:val="24"/>
          <w:szCs w:val="24"/>
        </w:rPr>
      </w:pPr>
      <w:r>
        <w:rPr>
          <w:rFonts w:ascii="楷体" w:hAnsi="楷体" w:eastAsia="楷体" w:cs="楷体"/>
          <w:spacing w:val="-13"/>
          <w:sz w:val="24"/>
          <w:szCs w:val="24"/>
          <w14:textOutline w14:w="3048" w14:cap="flat" w14:cmpd="sng">
            <w14:solidFill>
              <w14:srgbClr w14:val="000000"/>
            </w14:solidFill>
            <w14:prstDash w14:val="solid"/>
            <w14:miter w14:val="1"/>
          </w14:textOutline>
        </w:rPr>
        <w:t>（二）</w:t>
      </w:r>
      <w:r>
        <w:rPr>
          <w:rFonts w:ascii="楷体" w:hAnsi="楷体" w:eastAsia="楷体" w:cs="楷体"/>
          <w:spacing w:val="-9"/>
          <w:sz w:val="24"/>
          <w:szCs w:val="24"/>
        </w:rPr>
        <w:t xml:space="preserve"> </w:t>
      </w:r>
      <w:r>
        <w:rPr>
          <w:rFonts w:ascii="楷体" w:hAnsi="楷体" w:eastAsia="楷体" w:cs="楷体"/>
          <w:spacing w:val="-13"/>
          <w:sz w:val="24"/>
          <w:szCs w:val="24"/>
          <w14:textOutline w14:w="3048" w14:cap="flat" w14:cmpd="sng">
            <w14:solidFill>
              <w14:srgbClr w14:val="000000"/>
            </w14:solidFill>
            <w14:prstDash w14:val="solid"/>
            <w14:miter w14:val="1"/>
          </w14:textOutline>
        </w:rPr>
        <w:t>牢固确立人才培养中心地位。</w:t>
      </w:r>
      <w:r>
        <w:rPr>
          <w:rFonts w:ascii="楷体" w:hAnsi="楷体" w:eastAsia="楷体" w:cs="楷体"/>
          <w:spacing w:val="39"/>
          <w:sz w:val="24"/>
          <w:szCs w:val="24"/>
        </w:rPr>
        <w:t xml:space="preserve"> </w:t>
      </w:r>
      <w:r>
        <w:rPr>
          <w:rFonts w:ascii="方正书宋简体" w:hAnsi="方正书宋简体" w:eastAsia="方正书宋简体" w:cs="方正书宋简体"/>
          <w:spacing w:val="-13"/>
          <w:sz w:val="24"/>
          <w:szCs w:val="24"/>
        </w:rPr>
        <w:t>加强教学工作领导，</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坚持人才培养质量第一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责任人制度。党委书记、校长是学校第一责任人，主管教学、学生工作的副校长是</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直接责任人；</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教务处、学生工作部及相关职能部门一把手是学校部门的第一责任人；</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学院党政一把手是学院第一责任人，分管副院长、副书记是直接责任人。各级责任</w:t>
      </w:r>
    </w:p>
    <w:p>
      <w:pPr>
        <w:sectPr>
          <w:footerReference r:id="rId5" w:type="default"/>
          <w:pgSz w:w="11905" w:h="16840"/>
          <w:pgMar w:top="1431" w:right="1463" w:bottom="1395" w:left="1462" w:header="0" w:footer="1253" w:gutter="0"/>
          <w:cols w:space="720" w:num="1"/>
        </w:sectPr>
      </w:pPr>
    </w:p>
    <w:p>
      <w:pPr>
        <w:spacing w:before="310" w:line="294" w:lineRule="auto"/>
        <w:ind w:left="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人应当经常深入教学第一线，了解教学工作的实际情况，及时研究解决本科教学工</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sz w:val="24"/>
          <w:szCs w:val="24"/>
        </w:rPr>
        <w:t>作中出现的新情况、新问题，</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与时俱进，</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切实将质量意识落实到具体工作推进之中。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严格执行校领导联系学院制度和领导干部听课评课制度。坚持教学工作例会制度，</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学校每二年召开一次全校性教学工作大会，对教学工作进行系统规划和总结，每年</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召开一次职能部门教学工作专题联席会议，</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研究部署提高质量重大任务，</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0"/>
          <w:sz w:val="24"/>
          <w:szCs w:val="24"/>
        </w:rPr>
        <w:t>校党委会、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校务会、校长办公会议每学年至少安排二次专题会议研究教学工作。学院党政班子</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专题研究教学会议每年不少于</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2"/>
          <w:sz w:val="24"/>
          <w:szCs w:val="24"/>
        </w:rPr>
        <w:t>4</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次，其执行情况纳入年度学院教学质量考核范围。</w:t>
      </w:r>
    </w:p>
    <w:p>
      <w:pPr>
        <w:spacing w:before="213" w:line="314" w:lineRule="auto"/>
        <w:ind w:right="94" w:firstLine="361"/>
        <w:rPr>
          <w:rFonts w:ascii="方正书宋简体" w:hAnsi="方正书宋简体" w:eastAsia="方正书宋简体" w:cs="方正书宋简体"/>
          <w:sz w:val="24"/>
          <w:szCs w:val="24"/>
        </w:rPr>
      </w:pPr>
      <w:r>
        <w:rPr>
          <w:rFonts w:ascii="楷体" w:hAnsi="楷体" w:eastAsia="楷体" w:cs="楷体"/>
          <w:spacing w:val="-13"/>
          <w:sz w:val="24"/>
          <w:szCs w:val="24"/>
          <w14:textOutline w14:w="3048" w14:cap="flat" w14:cmpd="sng">
            <w14:solidFill>
              <w14:srgbClr w14:val="000000"/>
            </w14:solidFill>
            <w14:prstDash w14:val="solid"/>
            <w14:miter w14:val="1"/>
          </w14:textOutline>
        </w:rPr>
        <w:t>（三）</w:t>
      </w:r>
      <w:r>
        <w:rPr>
          <w:rFonts w:ascii="楷体" w:hAnsi="楷体" w:eastAsia="楷体" w:cs="楷体"/>
          <w:spacing w:val="-6"/>
          <w:sz w:val="24"/>
          <w:szCs w:val="24"/>
        </w:rPr>
        <w:t xml:space="preserve"> </w:t>
      </w:r>
      <w:r>
        <w:rPr>
          <w:rFonts w:ascii="楷体" w:hAnsi="楷体" w:eastAsia="楷体" w:cs="楷体"/>
          <w:spacing w:val="-13"/>
          <w:sz w:val="24"/>
          <w:szCs w:val="24"/>
          <w14:textOutline w14:w="3048" w14:cap="flat" w14:cmpd="sng">
            <w14:solidFill>
              <w14:srgbClr w14:val="000000"/>
            </w14:solidFill>
            <w14:prstDash w14:val="solid"/>
            <w14:miter w14:val="1"/>
          </w14:textOutline>
        </w:rPr>
        <w:t>保证教学经费优先投入。</w:t>
      </w:r>
      <w:r>
        <w:rPr>
          <w:rFonts w:ascii="楷体" w:hAnsi="楷体" w:eastAsia="楷体" w:cs="楷体"/>
          <w:spacing w:val="39"/>
          <w:sz w:val="24"/>
          <w:szCs w:val="24"/>
        </w:rPr>
        <w:t xml:space="preserve"> </w:t>
      </w:r>
      <w:r>
        <w:rPr>
          <w:rFonts w:ascii="方正书宋简体" w:hAnsi="方正书宋简体" w:eastAsia="方正书宋简体" w:cs="方正书宋简体"/>
          <w:spacing w:val="-13"/>
          <w:sz w:val="24"/>
          <w:szCs w:val="24"/>
        </w:rPr>
        <w:t>进一步加大本科教学经费投入力度，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3"/>
          <w:sz w:val="24"/>
          <w:szCs w:val="24"/>
        </w:rPr>
        <w:t>保障专业建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设、课程与教材建设、实践教学、创新创业教育、本科教学工程、学科竞赛、大学</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生创新创业训练项目、教学奖励等各类教学专项经费投入，保证用于日常教学的经</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5"/>
          <w:sz w:val="24"/>
          <w:szCs w:val="24"/>
        </w:rPr>
        <w:t>费不低于学校学费收入的</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sz w:val="24"/>
          <w:szCs w:val="24"/>
        </w:rPr>
        <w:t>30%。</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5"/>
          <w:sz w:val="24"/>
          <w:szCs w:val="24"/>
        </w:rPr>
        <w:t>学校加大对本科教学基础设施建设经费的投入，不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断改善办学条件。</w:t>
      </w:r>
    </w:p>
    <w:p>
      <w:pPr>
        <w:spacing w:before="8" w:line="314" w:lineRule="auto"/>
        <w:ind w:left="1" w:right="94" w:firstLine="359"/>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（四）</w:t>
      </w:r>
      <w:r>
        <w:rPr>
          <w:rFonts w:ascii="楷体" w:hAnsi="楷体" w:eastAsia="楷体" w:cs="楷体"/>
          <w:spacing w:val="-6"/>
          <w:sz w:val="24"/>
          <w:szCs w:val="24"/>
        </w:rPr>
        <w:t xml:space="preserve"> </w:t>
      </w:r>
      <w:r>
        <w:rPr>
          <w:rFonts w:ascii="楷体" w:hAnsi="楷体" w:eastAsia="楷体" w:cs="楷体"/>
          <w:spacing w:val="-9"/>
          <w:sz w:val="24"/>
          <w:szCs w:val="24"/>
          <w14:textOutline w14:w="3048" w14:cap="flat" w14:cmpd="sng">
            <w14:solidFill>
              <w14:srgbClr w14:val="000000"/>
            </w14:solidFill>
            <w14:prstDash w14:val="solid"/>
            <w14:miter w14:val="1"/>
          </w14:textOutline>
        </w:rPr>
        <w:t>加强师德师风建设。</w:t>
      </w:r>
      <w:r>
        <w:rPr>
          <w:rFonts w:ascii="楷体" w:hAnsi="楷体" w:eastAsia="楷体" w:cs="楷体"/>
          <w:spacing w:val="41"/>
          <w:sz w:val="24"/>
          <w:szCs w:val="24"/>
        </w:rPr>
        <w:t xml:space="preserve"> </w:t>
      </w:r>
      <w:r>
        <w:rPr>
          <w:rFonts w:ascii="方正书宋简体" w:hAnsi="方正书宋简体" w:eastAsia="方正书宋简体" w:cs="方正书宋简体"/>
          <w:spacing w:val="-9"/>
          <w:sz w:val="24"/>
          <w:szCs w:val="24"/>
        </w:rPr>
        <w:t>贯彻落实《教育部关于建立健全高校师德建设长效机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w w:val="99"/>
          <w:sz w:val="24"/>
          <w:szCs w:val="24"/>
        </w:rPr>
        <w:t>制的意见》（教师〔2014〕10</w:t>
      </w:r>
      <w:r>
        <w:rPr>
          <w:rFonts w:ascii="方正书宋简体" w:hAnsi="方正书宋简体" w:eastAsia="方正书宋简体" w:cs="方正书宋简体"/>
          <w:spacing w:val="85"/>
          <w:sz w:val="24"/>
          <w:szCs w:val="24"/>
        </w:rPr>
        <w:t xml:space="preserve"> </w:t>
      </w:r>
      <w:r>
        <w:rPr>
          <w:rFonts w:ascii="方正书宋简体" w:hAnsi="方正书宋简体" w:eastAsia="方正书宋简体" w:cs="方正书宋简体"/>
          <w:spacing w:val="-12"/>
          <w:w w:val="99"/>
          <w:sz w:val="24"/>
          <w:szCs w:val="24"/>
        </w:rPr>
        <w:t>号）</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2"/>
          <w:w w:val="99"/>
          <w:sz w:val="24"/>
          <w:szCs w:val="24"/>
        </w:rPr>
        <w:t>文件精神，</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2"/>
          <w:w w:val="99"/>
          <w:sz w:val="24"/>
          <w:szCs w:val="24"/>
        </w:rPr>
        <w:t>出台《吉首大学关于进一步加强和改进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师德师风建设的实施意见》。将师德考核摆在教师考核首位，</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9"/>
          <w:sz w:val="24"/>
          <w:szCs w:val="24"/>
        </w:rPr>
        <w:t>作为教师年度考核和聘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z w:val="24"/>
          <w:szCs w:val="24"/>
        </w:rPr>
        <w:t>期考核的重要内容,并将师德表现作为绩效考核、聘用和奖惩的首要内容，在教师职</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务（职称）晋升、岗位聘用、评优奖励等环节实行一票否决。</w:t>
      </w:r>
    </w:p>
    <w:p>
      <w:pPr>
        <w:spacing w:before="12" w:line="311" w:lineRule="auto"/>
        <w:ind w:left="3" w:right="85" w:firstLine="357"/>
        <w:rPr>
          <w:rFonts w:ascii="方正书宋简体" w:hAnsi="方正书宋简体" w:eastAsia="方正书宋简体" w:cs="方正书宋简体"/>
          <w:sz w:val="24"/>
          <w:szCs w:val="24"/>
        </w:rPr>
      </w:pPr>
      <w:r>
        <w:rPr>
          <w:rFonts w:ascii="楷体" w:hAnsi="楷体" w:eastAsia="楷体" w:cs="楷体"/>
          <w:spacing w:val="-18"/>
          <w:sz w:val="24"/>
          <w:szCs w:val="24"/>
          <w14:textOutline w14:w="3048" w14:cap="flat" w14:cmpd="sng">
            <w14:solidFill>
              <w14:srgbClr w14:val="000000"/>
            </w14:solidFill>
            <w14:prstDash w14:val="solid"/>
            <w14:miter w14:val="1"/>
          </w14:textOutline>
        </w:rPr>
        <w:t>（五）</w:t>
      </w:r>
      <w:r>
        <w:rPr>
          <w:rFonts w:ascii="楷体" w:hAnsi="楷体" w:eastAsia="楷体" w:cs="楷体"/>
          <w:spacing w:val="-19"/>
          <w:sz w:val="24"/>
          <w:szCs w:val="24"/>
        </w:rPr>
        <w:t xml:space="preserve"> </w:t>
      </w:r>
      <w:r>
        <w:rPr>
          <w:rFonts w:ascii="楷体" w:hAnsi="楷体" w:eastAsia="楷体" w:cs="楷体"/>
          <w:spacing w:val="-18"/>
          <w:sz w:val="24"/>
          <w:szCs w:val="24"/>
          <w14:textOutline w14:w="3048" w14:cap="flat" w14:cmpd="sng">
            <w14:solidFill>
              <w14:srgbClr w14:val="000000"/>
            </w14:solidFill>
            <w14:prstDash w14:val="solid"/>
            <w14:miter w14:val="1"/>
          </w14:textOutline>
        </w:rPr>
        <w:t>深化教师评聘制度改革。</w:t>
      </w:r>
      <w:r>
        <w:rPr>
          <w:rFonts w:ascii="楷体" w:hAnsi="楷体" w:eastAsia="楷体" w:cs="楷体"/>
          <w:spacing w:val="28"/>
          <w:sz w:val="24"/>
          <w:szCs w:val="24"/>
        </w:rPr>
        <w:t xml:space="preserve"> </w:t>
      </w:r>
      <w:r>
        <w:rPr>
          <w:rFonts w:ascii="方正书宋简体" w:hAnsi="方正书宋简体" w:eastAsia="方正书宋简体" w:cs="方正书宋简体"/>
          <w:spacing w:val="-18"/>
          <w:sz w:val="24"/>
          <w:szCs w:val="24"/>
        </w:rPr>
        <w:t>打破岗位聘任终身制，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8"/>
          <w:sz w:val="24"/>
          <w:szCs w:val="24"/>
        </w:rPr>
        <w:t>允许有突出贡献的年轻教师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破格竞聘；</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6"/>
          <w:sz w:val="24"/>
          <w:szCs w:val="24"/>
        </w:rPr>
        <w:t>健全教师分类评价标准和教师职称评聘的教学评价制度，</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6"/>
          <w:sz w:val="24"/>
          <w:szCs w:val="24"/>
        </w:rPr>
        <w:t>建立激励教师热爱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教学、研究教学、提高教学水平、出高水平的教学成果的机制；</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4"/>
          <w:sz w:val="24"/>
          <w:szCs w:val="24"/>
        </w:rPr>
        <w:t>落实教学质量一票否决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制和末位淘汰制度，</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1"/>
          <w:sz w:val="24"/>
          <w:szCs w:val="24"/>
        </w:rPr>
        <w:t>对达不到教学工作量和质量要求的，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1"/>
          <w:sz w:val="24"/>
          <w:szCs w:val="24"/>
        </w:rPr>
        <w:t>不予评审教师系列职务；</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1"/>
          <w:sz w:val="24"/>
          <w:szCs w:val="24"/>
        </w:rPr>
        <w:t>对发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生严重教学事故的教师，两年内不得晋升高一级职务、竞聘高一级岗位。</w:t>
      </w:r>
    </w:p>
    <w:p>
      <w:pPr>
        <w:spacing w:before="29" w:line="278" w:lineRule="auto"/>
        <w:ind w:left="4" w:right="86" w:firstLine="356"/>
        <w:rPr>
          <w:rFonts w:ascii="方正书宋简体" w:hAnsi="方正书宋简体" w:eastAsia="方正书宋简体" w:cs="方正书宋简体"/>
          <w:sz w:val="24"/>
          <w:szCs w:val="24"/>
        </w:rPr>
      </w:pPr>
      <w:r>
        <w:rPr>
          <w:rFonts w:ascii="楷体" w:hAnsi="楷体" w:eastAsia="楷体" w:cs="楷体"/>
          <w:spacing w:val="-8"/>
          <w:sz w:val="24"/>
          <w:szCs w:val="24"/>
          <w14:textOutline w14:w="3048" w14:cap="flat" w14:cmpd="sng">
            <w14:solidFill>
              <w14:srgbClr w14:val="000000"/>
            </w14:solidFill>
            <w14:prstDash w14:val="solid"/>
            <w14:miter w14:val="1"/>
          </w14:textOutline>
        </w:rPr>
        <w:t>（六）</w:t>
      </w:r>
      <w:r>
        <w:rPr>
          <w:rFonts w:ascii="楷体" w:hAnsi="楷体" w:eastAsia="楷体" w:cs="楷体"/>
          <w:spacing w:val="-35"/>
          <w:sz w:val="24"/>
          <w:szCs w:val="24"/>
        </w:rPr>
        <w:t xml:space="preserve"> </w:t>
      </w:r>
      <w:r>
        <w:rPr>
          <w:rFonts w:ascii="楷体" w:hAnsi="楷体" w:eastAsia="楷体" w:cs="楷体"/>
          <w:spacing w:val="-8"/>
          <w:sz w:val="24"/>
          <w:szCs w:val="24"/>
          <w14:textOutline w14:w="3048" w14:cap="flat" w14:cmpd="sng">
            <w14:solidFill>
              <w14:srgbClr w14:val="000000"/>
            </w14:solidFill>
            <w14:prstDash w14:val="solid"/>
            <w14:miter w14:val="1"/>
          </w14:textOutline>
        </w:rPr>
        <w:t>严格执行教授、副教授为本科学生上课制度。</w:t>
      </w:r>
      <w:r>
        <w:rPr>
          <w:rFonts w:ascii="楷体" w:hAnsi="楷体" w:eastAsia="楷体" w:cs="楷体"/>
          <w:spacing w:val="42"/>
          <w:sz w:val="24"/>
          <w:szCs w:val="24"/>
        </w:rPr>
        <w:t xml:space="preserve"> </w:t>
      </w:r>
      <w:r>
        <w:rPr>
          <w:rFonts w:ascii="方正书宋简体" w:hAnsi="方正书宋简体" w:eastAsia="方正书宋简体" w:cs="方正书宋简体"/>
          <w:spacing w:val="-8"/>
          <w:sz w:val="24"/>
          <w:szCs w:val="24"/>
        </w:rPr>
        <w:t>学校把教授、副教授为本科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生上课作为一项基本制度。教授、副教授聘期内每学年必须承担至少一门本科课程教学</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2"/>
          <w:sz w:val="24"/>
          <w:szCs w:val="24"/>
        </w:rPr>
        <w:t>任务（不含专题讲座、毕业论文、毕业设计和专业实习等实践教学</w:t>
      </w:r>
      <w:r>
        <w:rPr>
          <w:rFonts w:ascii="方正书宋简体" w:hAnsi="方正书宋简体" w:eastAsia="方正书宋简体" w:cs="方正书宋简体"/>
          <w:spacing w:val="-96"/>
          <w:sz w:val="24"/>
          <w:szCs w:val="24"/>
        </w:rPr>
        <w:t>），</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2"/>
          <w:sz w:val="24"/>
          <w:szCs w:val="24"/>
        </w:rPr>
        <w:t>课时不少于</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2"/>
          <w:sz w:val="24"/>
          <w:szCs w:val="24"/>
        </w:rPr>
        <w:t>32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2"/>
          <w:sz w:val="24"/>
          <w:szCs w:val="24"/>
        </w:rPr>
        <w:t>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时，副教授每学年授课不少于</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9"/>
          <w:sz w:val="24"/>
          <w:szCs w:val="24"/>
        </w:rPr>
        <w:t>64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学时。鼓励教授、副教授为本科低年级学生上课。</w:t>
      </w:r>
    </w:p>
    <w:p>
      <w:pPr>
        <w:spacing w:before="212" w:line="316" w:lineRule="auto"/>
        <w:ind w:left="6" w:firstLine="354"/>
        <w:rPr>
          <w:rFonts w:ascii="方正书宋简体" w:hAnsi="方正书宋简体" w:eastAsia="方正书宋简体" w:cs="方正书宋简体"/>
          <w:sz w:val="24"/>
          <w:szCs w:val="24"/>
        </w:rPr>
      </w:pPr>
      <w:r>
        <w:rPr>
          <w:rFonts w:ascii="楷体" w:hAnsi="楷体" w:eastAsia="楷体" w:cs="楷体"/>
          <w:spacing w:val="-13"/>
          <w:sz w:val="24"/>
          <w:szCs w:val="24"/>
          <w14:textOutline w14:w="3048" w14:cap="flat" w14:cmpd="sng">
            <w14:solidFill>
              <w14:srgbClr w14:val="000000"/>
            </w14:solidFill>
            <w14:prstDash w14:val="solid"/>
            <w14:miter w14:val="1"/>
          </w14:textOutline>
        </w:rPr>
        <w:t>（七）</w:t>
      </w:r>
      <w:r>
        <w:rPr>
          <w:rFonts w:ascii="楷体" w:hAnsi="楷体" w:eastAsia="楷体" w:cs="楷体"/>
          <w:spacing w:val="-18"/>
          <w:sz w:val="24"/>
          <w:szCs w:val="24"/>
        </w:rPr>
        <w:t xml:space="preserve"> </w:t>
      </w:r>
      <w:r>
        <w:rPr>
          <w:rFonts w:ascii="楷体" w:hAnsi="楷体" w:eastAsia="楷体" w:cs="楷体"/>
          <w:spacing w:val="-13"/>
          <w:sz w:val="24"/>
          <w:szCs w:val="24"/>
          <w14:textOutline w14:w="3048" w14:cap="flat" w14:cmpd="sng">
            <w14:solidFill>
              <w14:srgbClr w14:val="000000"/>
            </w14:solidFill>
            <w14:prstDash w14:val="solid"/>
            <w14:miter w14:val="1"/>
          </w14:textOutline>
        </w:rPr>
        <w:t>提高教师业务水平和教学能力。</w:t>
      </w:r>
      <w:r>
        <w:rPr>
          <w:rFonts w:ascii="楷体" w:hAnsi="楷体" w:eastAsia="楷体" w:cs="楷体"/>
          <w:spacing w:val="43"/>
          <w:sz w:val="24"/>
          <w:szCs w:val="24"/>
        </w:rPr>
        <w:t xml:space="preserve"> </w:t>
      </w:r>
      <w:r>
        <w:rPr>
          <w:rFonts w:ascii="方正书宋简体" w:hAnsi="方正书宋简体" w:eastAsia="方正书宋简体" w:cs="方正书宋简体"/>
          <w:spacing w:val="-13"/>
          <w:sz w:val="24"/>
          <w:szCs w:val="24"/>
        </w:rPr>
        <w:t>加强教师发展中心建设，</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全方位、多角度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提升教师业务水平和教学能力。加强教师的继续教育和培训，</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6"/>
          <w:sz w:val="24"/>
          <w:szCs w:val="24"/>
        </w:rPr>
        <w:t>尤其是到企业等生产、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管理、服务一线的实践锻炼，提高教师理论与实践相结合的能力。加大医学、工科</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2"/>
          <w:sz w:val="24"/>
          <w:szCs w:val="24"/>
        </w:rPr>
        <w:t>和应用性文科专业“双师型”教师培养支持力度，制定政策鼓励教师去政府、企业</w:t>
      </w:r>
    </w:p>
    <w:p>
      <w:pPr>
        <w:sectPr>
          <w:footerReference r:id="rId6" w:type="default"/>
          <w:pgSz w:w="11905" w:h="16840"/>
          <w:pgMar w:top="1431" w:right="1491" w:bottom="1395" w:left="1588" w:header="0" w:footer="1253" w:gutter="0"/>
          <w:cols w:space="720" w:num="1"/>
        </w:sectPr>
      </w:pPr>
    </w:p>
    <w:p>
      <w:pPr>
        <w:spacing w:before="306" w:line="312" w:lineRule="auto"/>
        <w:ind w:left="3" w:right="82" w:hanging="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及研究机构进行挂职锻炼，提高知识应用能力和实践教学的能力；鼓励中青年教师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利用各种机会到国外、境外研修深造；采取更加积极的政策措施，鼓励教师进一步</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提升学历水平和专业能力。大力表彰奖励在教学工作第一线做出突出贡献的教师，</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1"/>
          <w:sz w:val="24"/>
          <w:szCs w:val="24"/>
        </w:rPr>
        <w:t>完善教学名师和优秀教师表彰激励机制，积极培养省级、国家级教学名师。</w:t>
      </w:r>
    </w:p>
    <w:p>
      <w:pPr>
        <w:spacing w:before="24" w:line="314" w:lineRule="auto"/>
        <w:ind w:left="3" w:right="74" w:firstLine="357"/>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（八）加强青年教师培养和教学团队建设。</w:t>
      </w:r>
      <w:r>
        <w:rPr>
          <w:rFonts w:ascii="楷体" w:hAnsi="楷体" w:eastAsia="楷体" w:cs="楷体"/>
          <w:spacing w:val="65"/>
          <w:sz w:val="24"/>
          <w:szCs w:val="24"/>
        </w:rPr>
        <w:t xml:space="preserve"> </w:t>
      </w:r>
      <w:r>
        <w:rPr>
          <w:rFonts w:ascii="方正书宋简体" w:hAnsi="方正书宋简体" w:eastAsia="方正书宋简体" w:cs="方正书宋简体"/>
          <w:spacing w:val="-6"/>
          <w:sz w:val="24"/>
          <w:szCs w:val="24"/>
        </w:rPr>
        <w:t>开展青年教师教学水平促进计划，严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8"/>
          <w:sz w:val="24"/>
          <w:szCs w:val="24"/>
        </w:rPr>
        <w:t>格执行青年教师导师制，</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8"/>
          <w:sz w:val="24"/>
          <w:szCs w:val="24"/>
        </w:rPr>
        <w:t>为新入职青年教师配备高职称、教学经验丰富的导师，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8"/>
          <w:sz w:val="24"/>
          <w:szCs w:val="24"/>
        </w:rPr>
        <w:t>以师徒</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式结对帮扶方式，</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教会新教师教学基本规范；</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1"/>
          <w:sz w:val="24"/>
          <w:szCs w:val="24"/>
        </w:rPr>
        <w:t>改进新进教师岗前培训方式，</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1"/>
          <w:sz w:val="24"/>
          <w:szCs w:val="24"/>
        </w:rPr>
        <w:t>改革培训内</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容与方法。加强教研室与教学团队建设，</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7"/>
          <w:sz w:val="24"/>
          <w:szCs w:val="24"/>
        </w:rPr>
        <w:t>根据课程教学和改革需要，</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7"/>
          <w:sz w:val="24"/>
          <w:szCs w:val="24"/>
        </w:rPr>
        <w:t>建设由高水平教师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领衔，不少于</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9"/>
          <w:sz w:val="24"/>
          <w:szCs w:val="24"/>
        </w:rPr>
        <w:t>人教研室同行组成的教学团队，培养可持续发展的教学队伍。</w:t>
      </w:r>
    </w:p>
    <w:p>
      <w:pPr>
        <w:spacing w:before="10" w:line="265" w:lineRule="auto"/>
        <w:ind w:left="1" w:right="82" w:firstLine="359"/>
        <w:rPr>
          <w:rFonts w:ascii="方正书宋简体" w:hAnsi="方正书宋简体" w:eastAsia="方正书宋简体" w:cs="方正书宋简体"/>
          <w:sz w:val="24"/>
          <w:szCs w:val="24"/>
        </w:rPr>
      </w:pPr>
      <w:r>
        <w:rPr>
          <w:rFonts w:ascii="楷体" w:hAnsi="楷体" w:eastAsia="楷体" w:cs="楷体"/>
          <w:spacing w:val="-8"/>
          <w:sz w:val="24"/>
          <w:szCs w:val="24"/>
          <w14:textOutline w14:w="3048" w14:cap="flat" w14:cmpd="sng">
            <w14:solidFill>
              <w14:srgbClr w14:val="000000"/>
            </w14:solidFill>
            <w14:prstDash w14:val="solid"/>
            <w14:miter w14:val="1"/>
          </w14:textOutline>
        </w:rPr>
        <w:t>（九）</w:t>
      </w:r>
      <w:r>
        <w:rPr>
          <w:rFonts w:ascii="楷体" w:hAnsi="楷体" w:eastAsia="楷体" w:cs="楷体"/>
          <w:spacing w:val="-23"/>
          <w:sz w:val="24"/>
          <w:szCs w:val="24"/>
        </w:rPr>
        <w:t xml:space="preserve"> </w:t>
      </w:r>
      <w:r>
        <w:rPr>
          <w:rFonts w:ascii="楷体" w:hAnsi="楷体" w:eastAsia="楷体" w:cs="楷体"/>
          <w:spacing w:val="-8"/>
          <w:sz w:val="24"/>
          <w:szCs w:val="24"/>
          <w14:textOutline w14:w="3048" w14:cap="flat" w14:cmpd="sng">
            <w14:solidFill>
              <w14:srgbClr w14:val="000000"/>
            </w14:solidFill>
            <w14:prstDash w14:val="solid"/>
            <w14:miter w14:val="1"/>
          </w14:textOutline>
        </w:rPr>
        <w:t>加强教学管理队伍与实验技术队伍建设。</w:t>
      </w:r>
      <w:r>
        <w:rPr>
          <w:rFonts w:ascii="楷体" w:hAnsi="楷体" w:eastAsia="楷体" w:cs="楷体"/>
          <w:spacing w:val="30"/>
          <w:sz w:val="24"/>
          <w:szCs w:val="24"/>
        </w:rPr>
        <w:t xml:space="preserve"> </w:t>
      </w:r>
      <w:r>
        <w:rPr>
          <w:rFonts w:ascii="方正书宋简体" w:hAnsi="方正书宋简体" w:eastAsia="方正书宋简体" w:cs="方正书宋简体"/>
          <w:spacing w:val="-8"/>
          <w:sz w:val="24"/>
          <w:szCs w:val="24"/>
        </w:rPr>
        <w:t>加强教学管理队伍和实验技术队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伍建设规划，出台学校加强队伍建设的实施意见，鼓励优秀人才进入教学和实验管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理岗位，配齐配强人员，妥善解决待遇，保证队伍稳定。</w:t>
      </w:r>
    </w:p>
    <w:p>
      <w:pPr>
        <w:spacing w:before="211" w:line="295" w:lineRule="auto"/>
        <w:ind w:left="2" w:right="82" w:firstLine="358"/>
        <w:rPr>
          <w:rFonts w:ascii="方正书宋简体" w:hAnsi="方正书宋简体" w:eastAsia="方正书宋简体" w:cs="方正书宋简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（十）深入推进“立人教育”。</w:t>
      </w:r>
      <w:r>
        <w:rPr>
          <w:rFonts w:ascii="方正书宋简体" w:hAnsi="方正书宋简体" w:eastAsia="方正书宋简体" w:cs="方正书宋简体"/>
          <w:spacing w:val="-1"/>
          <w:sz w:val="24"/>
          <w:szCs w:val="24"/>
        </w:rPr>
        <w:t>将“立人教育”理念贯彻到人才培养全过程，融</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
          <w:sz w:val="24"/>
          <w:szCs w:val="24"/>
        </w:rPr>
        <w:t>入本科人才培养方案，落实到人才培养各环节。积极探索符合教育教学规律和学校</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办学实际的“立人教育”人才培养体系，将“立人教育”的总体要求与专业人才培</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养目标有机结合。积极推进“课程引导、环境熏陶、实践历练、自我塑造”四位一</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体的人才培养实践，凝练“立人教育”人才培养特色，形成学校本科人才培养的个</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性特点和比较优势，打造本科人才培养品牌。</w:t>
      </w:r>
    </w:p>
    <w:p>
      <w:pPr>
        <w:spacing w:before="174" w:line="295" w:lineRule="auto"/>
        <w:ind w:left="5" w:right="82" w:firstLine="355"/>
        <w:rPr>
          <w:rFonts w:ascii="方正书宋简体" w:hAnsi="方正书宋简体" w:eastAsia="方正书宋简体" w:cs="方正书宋简体"/>
          <w:sz w:val="24"/>
          <w:szCs w:val="24"/>
        </w:rPr>
      </w:pPr>
      <w:r>
        <w:rPr>
          <w:rFonts w:ascii="楷体" w:hAnsi="楷体" w:eastAsia="楷体" w:cs="楷体"/>
          <w:spacing w:val="-13"/>
          <w:sz w:val="24"/>
          <w:szCs w:val="24"/>
          <w14:textOutline w14:w="3048" w14:cap="flat" w14:cmpd="sng">
            <w14:solidFill>
              <w14:srgbClr w14:val="000000"/>
            </w14:solidFill>
            <w14:prstDash w14:val="solid"/>
            <w14:miter w14:val="1"/>
          </w14:textOutline>
        </w:rPr>
        <w:t>（十一）</w:t>
      </w:r>
      <w:r>
        <w:rPr>
          <w:rFonts w:ascii="楷体" w:hAnsi="楷体" w:eastAsia="楷体" w:cs="楷体"/>
          <w:spacing w:val="-11"/>
          <w:sz w:val="24"/>
          <w:szCs w:val="24"/>
        </w:rPr>
        <w:t xml:space="preserve"> </w:t>
      </w:r>
      <w:r>
        <w:rPr>
          <w:rFonts w:ascii="楷体" w:hAnsi="楷体" w:eastAsia="楷体" w:cs="楷体"/>
          <w:spacing w:val="-13"/>
          <w:sz w:val="24"/>
          <w:szCs w:val="24"/>
          <w14:textOutline w14:w="3048" w14:cap="flat" w14:cmpd="sng">
            <w14:solidFill>
              <w14:srgbClr w14:val="000000"/>
            </w14:solidFill>
            <w14:prstDash w14:val="solid"/>
            <w14:miter w14:val="1"/>
          </w14:textOutline>
        </w:rPr>
        <w:t>加强和改进思想政治教育。</w:t>
      </w:r>
      <w:r>
        <w:rPr>
          <w:rFonts w:ascii="楷体" w:hAnsi="楷体" w:eastAsia="楷体" w:cs="楷体"/>
          <w:spacing w:val="41"/>
          <w:sz w:val="24"/>
          <w:szCs w:val="24"/>
        </w:rPr>
        <w:t xml:space="preserve"> </w:t>
      </w:r>
      <w:r>
        <w:rPr>
          <w:rFonts w:ascii="方正书宋简体" w:hAnsi="方正书宋简体" w:eastAsia="方正书宋简体" w:cs="方正书宋简体"/>
          <w:spacing w:val="-13"/>
          <w:sz w:val="24"/>
          <w:szCs w:val="24"/>
        </w:rPr>
        <w:t>深入推进大学生思想道德素质提升工程，</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强马克思主义学院建设，全面实施思想政治理论课程教学改革，充分发挥课堂教学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的主导作用和思想政治理论课的主渠道作用，</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弘扬社会主义核心价值观，全面推进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大学生思想道德素质养成教育，创新教育教学方式和改革课程考核方法，推动中国</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特色社会主义理论体系进教材、进课堂、进头脑，落实“马克思主义工程”重点教</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
          <w:sz w:val="24"/>
          <w:szCs w:val="24"/>
        </w:rPr>
        <w:t>材进方案、进课程、进课堂，积极推进“青年马克思主义者培养工程”培训工作。</w:t>
      </w:r>
    </w:p>
    <w:p>
      <w:pPr>
        <w:spacing w:before="181" w:line="315" w:lineRule="auto"/>
        <w:ind w:firstLine="361"/>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（十二）加强学风建设。</w:t>
      </w:r>
      <w:r>
        <w:rPr>
          <w:rFonts w:ascii="楷体" w:hAnsi="楷体" w:eastAsia="楷体" w:cs="楷体"/>
          <w:spacing w:val="83"/>
          <w:sz w:val="24"/>
          <w:szCs w:val="24"/>
        </w:rPr>
        <w:t xml:space="preserve"> </w:t>
      </w:r>
      <w:r>
        <w:rPr>
          <w:rFonts w:ascii="方正书宋简体" w:hAnsi="方正书宋简体" w:eastAsia="方正书宋简体" w:cs="方正书宋简体"/>
          <w:spacing w:val="-7"/>
          <w:sz w:val="24"/>
          <w:szCs w:val="24"/>
        </w:rPr>
        <w:t>制订《吉首大学加强与改进学风建设实施意见》，将学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风建设与学校德育工作有机结合，坚持管教结合、重在教育，形成“上下共抓，人</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人参与”的工作机制，引导学生树立正确的学习观、成才观和就业观。加强考风建</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1"/>
          <w:sz w:val="24"/>
          <w:szCs w:val="24"/>
        </w:rPr>
        <w:t>设，</w:t>
      </w:r>
      <w:r>
        <w:rPr>
          <w:rFonts w:ascii="方正书宋简体" w:hAnsi="方正书宋简体" w:eastAsia="方正书宋简体" w:cs="方正书宋简体"/>
          <w:spacing w:val="95"/>
          <w:sz w:val="24"/>
          <w:szCs w:val="24"/>
        </w:rPr>
        <w:t xml:space="preserve"> </w:t>
      </w:r>
      <w:r>
        <w:rPr>
          <w:rFonts w:ascii="方正书宋简体" w:hAnsi="方正书宋简体" w:eastAsia="方正书宋简体" w:cs="方正书宋简体"/>
          <w:spacing w:val="-21"/>
          <w:sz w:val="24"/>
          <w:szCs w:val="24"/>
        </w:rPr>
        <w:t>大力开展诚信教育，</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21"/>
          <w:sz w:val="24"/>
          <w:szCs w:val="24"/>
        </w:rPr>
        <w:t>严明学习纪律、严格考试管理、严肃考场纪律、严格评分标准，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坚决杜绝考试作弊现象。对违反校纪的学生，</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7"/>
          <w:sz w:val="24"/>
          <w:szCs w:val="24"/>
        </w:rPr>
        <w:t>按有关规定严肃处理。完善学业预警制度，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加强对学生学业的过程管理，</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7"/>
          <w:sz w:val="24"/>
          <w:szCs w:val="24"/>
        </w:rPr>
        <w:t>采取必要的淘汰机制，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保持良好的学风。加强校园文化建</w:t>
      </w:r>
    </w:p>
    <w:p>
      <w:pPr>
        <w:sectPr>
          <w:footerReference r:id="rId7" w:type="default"/>
          <w:pgSz w:w="11905" w:h="16840"/>
          <w:pgMar w:top="1431" w:right="1503" w:bottom="1395" w:left="1588" w:header="0" w:footer="1250" w:gutter="0"/>
          <w:cols w:space="720" w:num="1"/>
        </w:sectPr>
      </w:pPr>
    </w:p>
    <w:p>
      <w:pPr>
        <w:spacing w:before="311"/>
        <w:ind w:left="6" w:right="96" w:hanging="7"/>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设，促进第二课堂与第一课堂育人紧密结合，积极开展各种学生社团和科技、竞赛活</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2"/>
          <w:sz w:val="24"/>
          <w:szCs w:val="24"/>
        </w:rPr>
        <w:t>动，引导学生主动学习、自我管理、自我教育，营造良好的育人环境。</w:t>
      </w:r>
    </w:p>
    <w:p>
      <w:pPr>
        <w:spacing w:before="217" w:line="315" w:lineRule="auto"/>
        <w:ind w:left="2" w:firstLine="358"/>
        <w:rPr>
          <w:rFonts w:ascii="方正书宋简体" w:hAnsi="方正书宋简体" w:eastAsia="方正书宋简体" w:cs="方正书宋简体"/>
          <w:sz w:val="24"/>
          <w:szCs w:val="24"/>
        </w:rPr>
      </w:pPr>
      <w:r>
        <w:rPr>
          <w:rFonts w:ascii="楷体" w:hAnsi="楷体" w:eastAsia="楷体" w:cs="楷体"/>
          <w:spacing w:val="-10"/>
          <w:sz w:val="24"/>
          <w:szCs w:val="24"/>
          <w14:textOutline w14:w="3048" w14:cap="flat" w14:cmpd="sng">
            <w14:solidFill>
              <w14:srgbClr w14:val="000000"/>
            </w14:solidFill>
            <w14:prstDash w14:val="solid"/>
            <w14:miter w14:val="1"/>
          </w14:textOutline>
        </w:rPr>
        <w:t>（十三）</w:t>
      </w:r>
      <w:r>
        <w:rPr>
          <w:rFonts w:ascii="楷体" w:hAnsi="楷体" w:eastAsia="楷体" w:cs="楷体"/>
          <w:spacing w:val="34"/>
          <w:sz w:val="24"/>
          <w:szCs w:val="24"/>
        </w:rPr>
        <w:t xml:space="preserve"> </w:t>
      </w:r>
      <w:r>
        <w:rPr>
          <w:rFonts w:ascii="楷体" w:hAnsi="楷体" w:eastAsia="楷体" w:cs="楷体"/>
          <w:spacing w:val="-10"/>
          <w:sz w:val="24"/>
          <w:szCs w:val="24"/>
          <w14:textOutline w14:w="3048" w14:cap="flat" w14:cmpd="sng">
            <w14:solidFill>
              <w14:srgbClr w14:val="000000"/>
            </w14:solidFill>
            <w14:prstDash w14:val="solid"/>
            <w14:miter w14:val="1"/>
          </w14:textOutline>
        </w:rPr>
        <w:t>深化创新创业教育改革。</w:t>
      </w:r>
      <w:r>
        <w:rPr>
          <w:rFonts w:ascii="楷体" w:hAnsi="楷体" w:eastAsia="楷体" w:cs="楷体"/>
          <w:spacing w:val="44"/>
          <w:sz w:val="24"/>
          <w:szCs w:val="24"/>
        </w:rPr>
        <w:t xml:space="preserve"> </w:t>
      </w:r>
      <w:r>
        <w:rPr>
          <w:rFonts w:ascii="方正书宋简体" w:hAnsi="方正书宋简体" w:eastAsia="方正书宋简体" w:cs="方正书宋简体"/>
          <w:spacing w:val="-10"/>
          <w:sz w:val="24"/>
          <w:szCs w:val="24"/>
        </w:rPr>
        <w:t>坚持教育引导、实践实训、成果孵化“三位一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体”的培养模式，着力把创新创业教育融入人才培养体系，将创新创业教育贯穿人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5"/>
          <w:sz w:val="24"/>
          <w:szCs w:val="24"/>
        </w:rPr>
        <w:t>才培养全过程，</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5"/>
          <w:sz w:val="24"/>
          <w:szCs w:val="24"/>
        </w:rPr>
        <w:t>明确创新创业教育的目标要求，</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5"/>
          <w:sz w:val="24"/>
          <w:szCs w:val="24"/>
        </w:rPr>
        <w:t>创新人才培养机制，</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推进科教结合、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产学融合协同育人。学校成立创新创业教育学院，全面整合校内外优质教育资源，</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11"/>
          <w:sz w:val="24"/>
          <w:szCs w:val="24"/>
        </w:rPr>
        <w:t>系统、科学开展大学生创新创业教育，</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加强校地、校企合作，</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推进学校与科研机构、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行业企业、事业单位融合式全流程协同育人，</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将科研成果、先进技术、企业培训课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程及时转化为教学内容。</w:t>
      </w:r>
    </w:p>
    <w:p>
      <w:pPr>
        <w:spacing w:before="4" w:line="312" w:lineRule="auto"/>
        <w:ind w:left="1" w:right="96" w:firstLine="359"/>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（十四）</w:t>
      </w:r>
      <w:r>
        <w:rPr>
          <w:rFonts w:ascii="楷体" w:hAnsi="楷体" w:eastAsia="楷体" w:cs="楷体"/>
          <w:spacing w:val="23"/>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创新教育模式。</w:t>
      </w:r>
      <w:r>
        <w:rPr>
          <w:rFonts w:ascii="楷体" w:hAnsi="楷体" w:eastAsia="楷体" w:cs="楷体"/>
          <w:spacing w:val="41"/>
          <w:sz w:val="24"/>
          <w:szCs w:val="24"/>
        </w:rPr>
        <w:t xml:space="preserve"> </w:t>
      </w:r>
      <w:r>
        <w:rPr>
          <w:rFonts w:ascii="方正书宋简体" w:hAnsi="方正书宋简体" w:eastAsia="方正书宋简体" w:cs="方正书宋简体"/>
          <w:spacing w:val="-14"/>
          <w:sz w:val="24"/>
          <w:szCs w:val="24"/>
        </w:rPr>
        <w:t>全面启动创新创业课程建设改革，</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4"/>
          <w:sz w:val="24"/>
          <w:szCs w:val="24"/>
        </w:rPr>
        <w:t>把创新创业教育贯穿</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到专业人才培养过程，探索建立跨院系、跨学科、跨专业交叉培养创新创业人才的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新机制；促进专业教育与创新创业教育有机融合，在传授专业知识过程中加强创新</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创业教育；构建创新创业教育课程群，通过课内课外相结合，大力推进大学生创新</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创业训练、创新创业竞赛活动，强化学生创新创业思维与创新创业能力培养。</w:t>
      </w:r>
    </w:p>
    <w:p>
      <w:pPr>
        <w:spacing w:before="18" w:line="300" w:lineRule="auto"/>
        <w:ind w:left="1" w:right="96" w:firstLine="359"/>
        <w:rPr>
          <w:rFonts w:ascii="方正书宋简体" w:hAnsi="方正书宋简体" w:eastAsia="方正书宋简体" w:cs="方正书宋简体"/>
          <w:sz w:val="24"/>
          <w:szCs w:val="24"/>
        </w:rPr>
      </w:pPr>
      <w:r>
        <w:rPr>
          <w:rFonts w:ascii="楷体" w:hAnsi="楷体" w:eastAsia="楷体" w:cs="楷体"/>
          <w:spacing w:val="-21"/>
          <w:sz w:val="24"/>
          <w:szCs w:val="24"/>
          <w14:textOutline w14:w="3048" w14:cap="flat" w14:cmpd="sng">
            <w14:solidFill>
              <w14:srgbClr w14:val="000000"/>
            </w14:solidFill>
            <w14:prstDash w14:val="solid"/>
            <w14:miter w14:val="1"/>
          </w14:textOutline>
        </w:rPr>
        <w:t>（十五）强化创新创业实践。</w:t>
      </w:r>
      <w:r>
        <w:rPr>
          <w:rFonts w:ascii="楷体" w:hAnsi="楷体" w:eastAsia="楷体" w:cs="楷体"/>
          <w:spacing w:val="62"/>
          <w:sz w:val="24"/>
          <w:szCs w:val="24"/>
        </w:rPr>
        <w:t xml:space="preserve"> </w:t>
      </w:r>
      <w:r>
        <w:rPr>
          <w:rFonts w:ascii="方正书宋简体" w:hAnsi="方正书宋简体" w:eastAsia="方正书宋简体" w:cs="方正书宋简体"/>
          <w:spacing w:val="-21"/>
          <w:sz w:val="24"/>
          <w:szCs w:val="24"/>
        </w:rPr>
        <w:t>加强人才培养与“一带一部”、</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1"/>
          <w:sz w:val="24"/>
          <w:szCs w:val="24"/>
        </w:rPr>
        <w:t>“互联网+”、</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1"/>
          <w:sz w:val="24"/>
          <w:szCs w:val="24"/>
        </w:rPr>
        <w:t>“武陵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山区域发展与扶贫攻坚”等国家战略的有效对接，建设相应的专业类或跨专业类实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验教学平台，建设校内外育人示范基地和大学生创新创业实践基地、服务平台、开</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放实验室，建立优秀创新创业导师人才库，实施“创新创业导师和骨干培训计划”，</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办好“互联网+”大学生创新创业大赛；</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0"/>
          <w:sz w:val="24"/>
          <w:szCs w:val="24"/>
        </w:rPr>
        <w:t>深化学分制改革，</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建立创新创业学分积累和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转换制度，探索将学生开展第二课堂活动、创新实验、发表论文、获得专利和自主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创业等情况折算为学分，将学生参与课题研究、项目试验等活动认定为课程学习，</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1"/>
          <w:sz w:val="24"/>
          <w:szCs w:val="24"/>
        </w:rPr>
        <w:t>计相应的学分；实施弹性学制，支持大学生保留学籍进行创新创业实践。</w:t>
      </w:r>
    </w:p>
    <w:p>
      <w:pPr>
        <w:spacing w:before="177" w:line="315" w:lineRule="auto"/>
        <w:ind w:right="96" w:firstLine="361"/>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（十六）</w:t>
      </w:r>
      <w:r>
        <w:rPr>
          <w:rFonts w:ascii="楷体" w:hAnsi="楷体" w:eastAsia="楷体" w:cs="楷体"/>
          <w:spacing w:val="1"/>
          <w:sz w:val="24"/>
          <w:szCs w:val="24"/>
        </w:rPr>
        <w:t xml:space="preserve"> </w:t>
      </w:r>
      <w:r>
        <w:rPr>
          <w:rFonts w:ascii="楷体" w:hAnsi="楷体" w:eastAsia="楷体" w:cs="楷体"/>
          <w:spacing w:val="-9"/>
          <w:sz w:val="24"/>
          <w:szCs w:val="24"/>
          <w14:textOutline w14:w="3048" w14:cap="flat" w14:cmpd="sng">
            <w14:solidFill>
              <w14:srgbClr w14:val="000000"/>
            </w14:solidFill>
            <w14:prstDash w14:val="solid"/>
            <w14:miter w14:val="1"/>
          </w14:textOutline>
        </w:rPr>
        <w:t>加强本科教学工程建设。</w:t>
      </w:r>
      <w:r>
        <w:rPr>
          <w:rFonts w:ascii="楷体" w:hAnsi="楷体" w:eastAsia="楷体" w:cs="楷体"/>
          <w:spacing w:val="41"/>
          <w:sz w:val="24"/>
          <w:szCs w:val="24"/>
        </w:rPr>
        <w:t xml:space="preserve"> </w:t>
      </w:r>
      <w:r>
        <w:rPr>
          <w:rFonts w:ascii="方正书宋简体" w:hAnsi="方正书宋简体" w:eastAsia="方正书宋简体" w:cs="方正书宋简体"/>
          <w:spacing w:val="-9"/>
          <w:sz w:val="24"/>
          <w:szCs w:val="24"/>
        </w:rPr>
        <w:t>进一步完善校、省、国家三级本科教学工程建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设体系，加强项目内涵建设与管理，认真组织项目检查、评估、验收和绩效评价，</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2"/>
          <w:sz w:val="24"/>
          <w:szCs w:val="24"/>
        </w:rPr>
        <w:t>提高项目建设成效，充分发挥本科教学工程项目在推进教学改革、加强教学建设和</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提高教学质量上的引领、示范和辐射作用。</w:t>
      </w:r>
    </w:p>
    <w:p>
      <w:pPr>
        <w:spacing w:before="5" w:line="315" w:lineRule="auto"/>
        <w:ind w:left="1" w:right="2" w:firstLine="359"/>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（十七）</w:t>
      </w:r>
      <w:r>
        <w:rPr>
          <w:rFonts w:ascii="楷体" w:hAnsi="楷体" w:eastAsia="楷体" w:cs="楷体"/>
          <w:spacing w:val="-12"/>
          <w:sz w:val="24"/>
          <w:szCs w:val="24"/>
        </w:rPr>
        <w:t xml:space="preserve"> </w:t>
      </w:r>
      <w:r>
        <w:rPr>
          <w:rFonts w:ascii="楷体" w:hAnsi="楷体" w:eastAsia="楷体" w:cs="楷体"/>
          <w:spacing w:val="-12"/>
          <w:sz w:val="24"/>
          <w:szCs w:val="24"/>
          <w14:textOutline w14:w="3048" w14:cap="flat" w14:cmpd="sng">
            <w14:solidFill>
              <w14:srgbClr w14:val="000000"/>
            </w14:solidFill>
            <w14:prstDash w14:val="solid"/>
            <w14:miter w14:val="1"/>
          </w14:textOutline>
        </w:rPr>
        <w:t>优化学科专业结构。</w:t>
      </w:r>
      <w:r>
        <w:rPr>
          <w:rFonts w:ascii="楷体" w:hAnsi="楷体" w:eastAsia="楷体" w:cs="楷体"/>
          <w:spacing w:val="26"/>
          <w:sz w:val="24"/>
          <w:szCs w:val="24"/>
        </w:rPr>
        <w:t xml:space="preserve"> </w:t>
      </w:r>
      <w:r>
        <w:rPr>
          <w:rFonts w:ascii="方正书宋简体" w:hAnsi="方正书宋简体" w:eastAsia="方正书宋简体" w:cs="方正书宋简体"/>
          <w:spacing w:val="-12"/>
          <w:sz w:val="24"/>
          <w:szCs w:val="24"/>
        </w:rPr>
        <w:t>按照“控制数量、优化结构、加强内涵、强化支撑、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打造特色、提升质量”的思路，着力调整、优化学科专业结构和布局，加大学科专</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业群建设，适应地方经济社会和产业集群转型升级需求。建立健全专业办学预警和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退出机制，到十三五末，招生专业数量控制在</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
          <w:sz w:val="24"/>
          <w:szCs w:val="24"/>
        </w:rPr>
        <w:t>65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
          <w:sz w:val="24"/>
          <w:szCs w:val="24"/>
        </w:rPr>
        <w:t>个以内，新增专业主要面向医学、</w:t>
      </w:r>
    </w:p>
    <w:p>
      <w:pPr>
        <w:sectPr>
          <w:footerReference r:id="rId8" w:type="default"/>
          <w:pgSz w:w="11905" w:h="16840"/>
          <w:pgMar w:top="1431" w:right="1489" w:bottom="1395" w:left="1588" w:header="0" w:footer="1253" w:gutter="0"/>
          <w:cols w:space="720" w:num="1"/>
        </w:sectPr>
      </w:pPr>
    </w:p>
    <w:p>
      <w:pPr>
        <w:spacing w:before="311"/>
        <w:ind w:left="135" w:right="1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工科、应用性文科和战略性新兴产业相关的专业，建成一批高水平学科支撑的满足</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地方需求的特色专业群。</w:t>
      </w:r>
    </w:p>
    <w:p>
      <w:pPr>
        <w:spacing w:before="212" w:line="315" w:lineRule="auto"/>
        <w:ind w:right="5" w:firstLine="492"/>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（十八）</w:t>
      </w:r>
      <w:r>
        <w:rPr>
          <w:rFonts w:ascii="楷体" w:hAnsi="楷体" w:eastAsia="楷体" w:cs="楷体"/>
          <w:spacing w:val="8"/>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分类推进专业综合改革，</w:t>
      </w:r>
      <w:r>
        <w:rPr>
          <w:rFonts w:ascii="楷体" w:hAnsi="楷体" w:eastAsia="楷体" w:cs="楷体"/>
          <w:spacing w:val="46"/>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创新人才培养模式。</w:t>
      </w:r>
      <w:r>
        <w:rPr>
          <w:rFonts w:ascii="楷体" w:hAnsi="楷体" w:eastAsia="楷体" w:cs="楷体"/>
          <w:spacing w:val="43"/>
          <w:sz w:val="24"/>
          <w:szCs w:val="24"/>
        </w:rPr>
        <w:t xml:space="preserve"> </w:t>
      </w:r>
      <w:r>
        <w:rPr>
          <w:rFonts w:ascii="方正书宋简体" w:hAnsi="方正书宋简体" w:eastAsia="方正书宋简体" w:cs="方正书宋简体"/>
          <w:spacing w:val="-14"/>
          <w:sz w:val="24"/>
          <w:szCs w:val="24"/>
        </w:rPr>
        <w:t>按照“充实内涵、强化特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色、适应需求、提高质量、分类推进、突出重点、稳定规模、动态调整”的原则，</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6"/>
          <w:sz w:val="24"/>
          <w:szCs w:val="24"/>
        </w:rPr>
        <w:t>积极推进专业综合改革试点，促进体制机制创新。按照“强化办学定位，优化课程</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6"/>
          <w:sz w:val="24"/>
          <w:szCs w:val="24"/>
        </w:rPr>
        <w:t>体系，改革培养模式，创新体制机制，突出创新能力培养，凸显专业特色”的总体</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6"/>
          <w:sz w:val="24"/>
          <w:szCs w:val="24"/>
        </w:rPr>
        <w:t>要求，积极推进人才培养模式改革与创新，完善专业人才培养标准，积极探索校企</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1"/>
          <w:sz w:val="24"/>
          <w:szCs w:val="24"/>
        </w:rPr>
        <w:t>合作、产教融合、协同育人新模式和新机制，</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
          <w:sz w:val="24"/>
          <w:szCs w:val="24"/>
        </w:rPr>
        <w:t>建立有利于培养学生创新精神、实践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能力和提高全面素质的人才培养新模式。积极开展新工科建设改革，着力推进信息</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2"/>
          <w:sz w:val="24"/>
          <w:szCs w:val="24"/>
        </w:rPr>
        <w:t>（大数据）、医学、工科、师范和应用性文科类专业人才培养模式改革，着力抓好国</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6"/>
          <w:sz w:val="24"/>
          <w:szCs w:val="24"/>
        </w:rPr>
        <w:t>家卓越农林（园林）</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6"/>
          <w:sz w:val="24"/>
          <w:szCs w:val="24"/>
        </w:rPr>
        <w:t>人才教育培养计划和卓越医生教育培养计划，</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6"/>
          <w:sz w:val="24"/>
          <w:szCs w:val="24"/>
        </w:rPr>
        <w:t>大力推进医学类、</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工科类、师范类等国家专业认证，建设一批与省内外同类专业相比办学优势明显、</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3"/>
          <w:sz w:val="24"/>
          <w:szCs w:val="24"/>
        </w:rPr>
        <w:t>毕业生具有较高的美誉度和较大的社会影响力的品牌专业。</w:t>
      </w:r>
    </w:p>
    <w:p>
      <w:pPr>
        <w:spacing w:before="3" w:line="298" w:lineRule="auto"/>
        <w:ind w:left="135" w:firstLine="357"/>
        <w:rPr>
          <w:rFonts w:ascii="方正书宋简体" w:hAnsi="方正书宋简体" w:eastAsia="方正书宋简体" w:cs="方正书宋简体"/>
          <w:sz w:val="24"/>
          <w:szCs w:val="24"/>
        </w:rPr>
      </w:pPr>
      <w:r>
        <w:rPr>
          <w:rFonts w:ascii="楷体" w:hAnsi="楷体" w:eastAsia="楷体" w:cs="楷体"/>
          <w:spacing w:val="-16"/>
          <w:sz w:val="24"/>
          <w:szCs w:val="24"/>
          <w14:textOutline w14:w="3048" w14:cap="flat" w14:cmpd="sng">
            <w14:solidFill>
              <w14:srgbClr w14:val="000000"/>
            </w14:solidFill>
            <w14:prstDash w14:val="solid"/>
            <w14:miter w14:val="1"/>
          </w14:textOutline>
        </w:rPr>
        <w:t>（十九）加强教学内容和课程体系的改革。</w:t>
      </w:r>
      <w:r>
        <w:rPr>
          <w:rFonts w:ascii="楷体" w:hAnsi="楷体" w:eastAsia="楷体" w:cs="楷体"/>
          <w:spacing w:val="42"/>
          <w:sz w:val="24"/>
          <w:szCs w:val="24"/>
        </w:rPr>
        <w:t xml:space="preserve"> </w:t>
      </w:r>
      <w:r>
        <w:rPr>
          <w:rFonts w:ascii="方正书宋简体" w:hAnsi="方正书宋简体" w:eastAsia="方正书宋简体" w:cs="方正书宋简体"/>
          <w:spacing w:val="-16"/>
          <w:sz w:val="24"/>
          <w:szCs w:val="24"/>
        </w:rPr>
        <w:t>以公共课、基础课和专业核心课为重点，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0"/>
          <w:sz w:val="24"/>
          <w:szCs w:val="24"/>
        </w:rPr>
        <w:t>推进以生为本的课程体系重塑、教学内容改革，</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20"/>
          <w:sz w:val="24"/>
          <w:szCs w:val="24"/>
        </w:rPr>
        <w:t>构建符合人才培养目标要求，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0"/>
          <w:sz w:val="24"/>
          <w:szCs w:val="24"/>
        </w:rPr>
        <w:t>内容先进、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体系优化的教学内容和课程体系。大力推动科研成果向课程资源与教学内容的及时转</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化，</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7"/>
          <w:sz w:val="24"/>
          <w:szCs w:val="24"/>
        </w:rPr>
        <w:t>丰富专业的课程资源。积极开发具有校本特色的系列课程资源，</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推动优质教学资源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的数字化和可视化。充分利用红色资源和地域文化优势，</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8"/>
          <w:sz w:val="24"/>
          <w:szCs w:val="24"/>
        </w:rPr>
        <w:t>打造校本特色通识课程，</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8"/>
          <w:sz w:val="24"/>
          <w:szCs w:val="24"/>
        </w:rPr>
        <w:t>提升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学生综合文化素质。进一步加强特色教材和校本教材的建设力度，</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13"/>
          <w:sz w:val="24"/>
          <w:szCs w:val="24"/>
        </w:rPr>
        <w:t>建设一批高水平的系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列教材，提高教材建设的质量与水平，扩大教材的影响力和使用范围。</w:t>
      </w:r>
    </w:p>
    <w:p>
      <w:pPr>
        <w:spacing w:before="170" w:line="315" w:lineRule="auto"/>
        <w:ind w:left="131" w:right="4" w:firstLine="361"/>
        <w:rPr>
          <w:rFonts w:ascii="方正书宋简体" w:hAnsi="方正书宋简体" w:eastAsia="方正书宋简体" w:cs="方正书宋简体"/>
          <w:sz w:val="24"/>
          <w:szCs w:val="24"/>
        </w:rPr>
      </w:pPr>
      <w:r>
        <w:rPr>
          <w:rFonts w:ascii="楷体" w:hAnsi="楷体" w:eastAsia="楷体" w:cs="楷体"/>
          <w:spacing w:val="-15"/>
          <w:sz w:val="24"/>
          <w:szCs w:val="24"/>
          <w14:textOutline w14:w="3048" w14:cap="flat" w14:cmpd="sng">
            <w14:solidFill>
              <w14:srgbClr w14:val="000000"/>
            </w14:solidFill>
            <w14:prstDash w14:val="solid"/>
            <w14:miter w14:val="1"/>
          </w14:textOutline>
        </w:rPr>
        <w:t>（二十）</w:t>
      </w:r>
      <w:r>
        <w:rPr>
          <w:rFonts w:ascii="楷体" w:hAnsi="楷体" w:eastAsia="楷体" w:cs="楷体"/>
          <w:spacing w:val="13"/>
          <w:sz w:val="24"/>
          <w:szCs w:val="24"/>
        </w:rPr>
        <w:t xml:space="preserve"> </w:t>
      </w:r>
      <w:r>
        <w:rPr>
          <w:rFonts w:ascii="楷体" w:hAnsi="楷体" w:eastAsia="楷体" w:cs="楷体"/>
          <w:spacing w:val="-15"/>
          <w:sz w:val="24"/>
          <w:szCs w:val="24"/>
          <w14:textOutline w14:w="3048" w14:cap="flat" w14:cmpd="sng">
            <w14:solidFill>
              <w14:srgbClr w14:val="000000"/>
            </w14:solidFill>
            <w14:prstDash w14:val="solid"/>
            <w14:miter w14:val="1"/>
          </w14:textOutline>
        </w:rPr>
        <w:t>加强教学方法与手段改革。</w:t>
      </w:r>
      <w:r>
        <w:rPr>
          <w:rFonts w:ascii="楷体" w:hAnsi="楷体" w:eastAsia="楷体" w:cs="楷体"/>
          <w:spacing w:val="62"/>
          <w:sz w:val="24"/>
          <w:szCs w:val="24"/>
        </w:rPr>
        <w:t xml:space="preserve"> </w:t>
      </w:r>
      <w:r>
        <w:rPr>
          <w:rFonts w:ascii="方正书宋简体" w:hAnsi="方正书宋简体" w:eastAsia="方正书宋简体" w:cs="方正书宋简体"/>
          <w:spacing w:val="-15"/>
          <w:sz w:val="24"/>
          <w:szCs w:val="24"/>
        </w:rPr>
        <w:t>以学生为本，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因材施教。大力改革课堂教学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以讲授为主的传统教学方法，积极推进“以学生为中心”研讨式教学方法改革，根</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据教学内容的特点鼓励采用启发讨论、问题探究、案例分析、科研训练、任务驱动、</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项目导向、情景模拟、线上线下、翻转课堂等教学方法和教学组织方式，提高课堂</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教学效果。推动信息技术与教育教学的深度融合，充分利用慕课、微课、视频公开</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课、资源共享课等网络课程资源服务课程教学，改革课程教学的组织形式，构建混</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
          <w:sz w:val="24"/>
          <w:szCs w:val="24"/>
        </w:rPr>
        <w:t>合式课程教学模式，推动信息化教学、虚拟现实技术、数字仿真实验、在线知识支</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持、在线教学监测等广泛应用。积极推进生物技术、信息技术、金融、法律等专业</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4"/>
          <w:sz w:val="24"/>
          <w:szCs w:val="24"/>
        </w:rPr>
        <w:t>的双语教学改革。</w:t>
      </w:r>
    </w:p>
    <w:p>
      <w:pPr>
        <w:spacing w:before="11" w:line="194" w:lineRule="auto"/>
        <w:ind w:firstLine="492"/>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（二十一）</w:t>
      </w:r>
      <w:r>
        <w:rPr>
          <w:rFonts w:ascii="楷体" w:hAnsi="楷体" w:eastAsia="楷体" w:cs="楷体"/>
          <w:spacing w:val="26"/>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积极推进考试改革。</w:t>
      </w:r>
      <w:r>
        <w:rPr>
          <w:rFonts w:ascii="楷体" w:hAnsi="楷体" w:eastAsia="楷体" w:cs="楷体"/>
          <w:spacing w:val="42"/>
          <w:sz w:val="24"/>
          <w:szCs w:val="24"/>
        </w:rPr>
        <w:t xml:space="preserve"> </w:t>
      </w:r>
      <w:r>
        <w:rPr>
          <w:rFonts w:ascii="方正书宋简体" w:hAnsi="方正书宋简体" w:eastAsia="方正书宋简体" w:cs="方正书宋简体"/>
          <w:spacing w:val="-14"/>
          <w:sz w:val="24"/>
          <w:szCs w:val="24"/>
        </w:rPr>
        <w:t>改革学生学业成绩评价方式，</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4"/>
          <w:sz w:val="24"/>
          <w:szCs w:val="24"/>
        </w:rPr>
        <w:t>将结果性评价与形</w:t>
      </w:r>
    </w:p>
    <w:p>
      <w:pPr>
        <w:sectPr>
          <w:footerReference r:id="rId9" w:type="default"/>
          <w:pgSz w:w="11905" w:h="16840"/>
          <w:pgMar w:top="1431" w:right="1484" w:bottom="1392" w:left="1457" w:header="0" w:footer="1250" w:gutter="0"/>
          <w:cols w:space="720" w:num="1"/>
        </w:sectPr>
      </w:pPr>
    </w:p>
    <w:p>
      <w:pPr>
        <w:spacing w:before="314" w:line="314" w:lineRule="auto"/>
        <w:ind w:right="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成性评价有机结合，大力推进考试考核内容和方法改革，在注重基础理论知识考核</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的同时，加强专业技能、创新创业能力的考核。加强过程考核，根据课程特点及教</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学要求积极探索多样化、科学化、合理化、可操作性强的考核方式；积极探索非标</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准答案考试，注重考查学生运用知识分析、解决问题的能力，将学生在实践环节中</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创作发表、出版的各类与课程教学相关的作品，参与学科竞赛取得的成绩作为学生</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学业总成绩的重要组成部分，将学生课堂讨论、课程论文、读书心得、实践方案、</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创意设计、课题研究、专利产品、活动策划、</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社团管理、社会服务等方面纳入学生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学业成绩评价范围。</w:t>
      </w:r>
    </w:p>
    <w:p>
      <w:pPr>
        <w:spacing w:before="13" w:line="305" w:lineRule="auto"/>
        <w:ind w:right="3" w:firstLine="358"/>
        <w:rPr>
          <w:rFonts w:ascii="方正书宋简体" w:hAnsi="方正书宋简体" w:eastAsia="方正书宋简体" w:cs="方正书宋简体"/>
          <w:sz w:val="24"/>
          <w:szCs w:val="24"/>
        </w:rPr>
      </w:pPr>
      <w:r>
        <w:rPr>
          <w:rFonts w:ascii="楷体" w:hAnsi="楷体" w:eastAsia="楷体" w:cs="楷体"/>
          <w:spacing w:val="-15"/>
          <w:sz w:val="24"/>
          <w:szCs w:val="24"/>
          <w14:textOutline w14:w="3048" w14:cap="flat" w14:cmpd="sng">
            <w14:solidFill>
              <w14:srgbClr w14:val="000000"/>
            </w14:solidFill>
            <w14:prstDash w14:val="solid"/>
            <w14:miter w14:val="1"/>
          </w14:textOutline>
        </w:rPr>
        <w:t>（二十二）</w:t>
      </w:r>
      <w:r>
        <w:rPr>
          <w:rFonts w:ascii="楷体" w:hAnsi="楷体" w:eastAsia="楷体" w:cs="楷体"/>
          <w:spacing w:val="44"/>
          <w:sz w:val="24"/>
          <w:szCs w:val="24"/>
        </w:rPr>
        <w:t xml:space="preserve"> </w:t>
      </w:r>
      <w:r>
        <w:rPr>
          <w:rFonts w:ascii="楷体" w:hAnsi="楷体" w:eastAsia="楷体" w:cs="楷体"/>
          <w:spacing w:val="-15"/>
          <w:sz w:val="24"/>
          <w:szCs w:val="24"/>
          <w14:textOutline w14:w="3048" w14:cap="flat" w14:cmpd="sng">
            <w14:solidFill>
              <w14:srgbClr w14:val="000000"/>
            </w14:solidFill>
            <w14:prstDash w14:val="solid"/>
            <w14:miter w14:val="1"/>
          </w14:textOutline>
        </w:rPr>
        <w:t>强化实践育人。</w:t>
      </w:r>
      <w:r>
        <w:rPr>
          <w:rFonts w:ascii="楷体" w:hAnsi="楷体" w:eastAsia="楷体" w:cs="楷体"/>
          <w:spacing w:val="48"/>
          <w:sz w:val="24"/>
          <w:szCs w:val="24"/>
        </w:rPr>
        <w:t xml:space="preserve"> </w:t>
      </w:r>
      <w:r>
        <w:rPr>
          <w:rFonts w:ascii="方正书宋简体" w:hAnsi="方正书宋简体" w:eastAsia="方正书宋简体" w:cs="方正书宋简体"/>
          <w:spacing w:val="-15"/>
          <w:sz w:val="24"/>
          <w:szCs w:val="24"/>
        </w:rPr>
        <w:t>按照“强化基础、优化综合、提升创新”的思路，</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建“三层次能力体系、四模块实践系统、五结合教学模式”的实践教学体系。结合</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专业特点和人才培养要求分类制定实践教学标准，</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9"/>
          <w:sz w:val="24"/>
          <w:szCs w:val="24"/>
        </w:rPr>
        <w:t>完善实验教学、课程设计、社会实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践、专业实习、教育实习、学年论文、毕业论文(设计)等主要实践教学环节质量标准，</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5"/>
          <w:sz w:val="24"/>
          <w:szCs w:val="24"/>
        </w:rPr>
        <w:t>加大实践教学在人才培养方案中的学时、学分比重，人文社会科学类本科专业不少于</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9"/>
          <w:sz w:val="24"/>
          <w:szCs w:val="24"/>
        </w:rPr>
        <w:t>总学分（学时）</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9"/>
          <w:sz w:val="24"/>
          <w:szCs w:val="24"/>
        </w:rPr>
        <w:t>的</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15%、理工农医类本科专业不少于</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25%。注重实践教学内容的系统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性、层次性和完整性，进一步优化实验教学体系与结构，完善实验教学标准，加强独</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5"/>
          <w:sz w:val="24"/>
          <w:szCs w:val="24"/>
        </w:rPr>
        <w:t>立设置实验（实训）课程的建设，提高“三性”实验的比例。强化集中实践环节，通</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过理论与实践、课内与课外、</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校内与校外、教学与科研结合的方式，积极推进校企合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作、协同育人实践教学模式改革，</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3"/>
          <w:sz w:val="24"/>
          <w:szCs w:val="24"/>
        </w:rPr>
        <w:t>突出实践育人，</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3"/>
          <w:sz w:val="24"/>
          <w:szCs w:val="24"/>
        </w:rPr>
        <w:t>着力培养学生创新精神和综合实践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能力。加强实践教学队伍，提升实践教学水平。进一步规范毕业论文（设计）的指</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1"/>
          <w:sz w:val="24"/>
          <w:szCs w:val="24"/>
        </w:rPr>
        <w:t>导和管理，探索符合专业特点的多元化毕业论文（设计）过程管理模式。</w:t>
      </w:r>
    </w:p>
    <w:p>
      <w:pPr>
        <w:spacing w:before="175" w:line="278" w:lineRule="auto"/>
        <w:ind w:left="1" w:right="80" w:firstLine="356"/>
        <w:rPr>
          <w:rFonts w:ascii="方正书宋简体" w:hAnsi="方正书宋简体" w:eastAsia="方正书宋简体" w:cs="方正书宋简体"/>
          <w:sz w:val="24"/>
          <w:szCs w:val="24"/>
        </w:rPr>
      </w:pPr>
      <w:r>
        <w:rPr>
          <w:rFonts w:ascii="楷体" w:hAnsi="楷体" w:eastAsia="楷体" w:cs="楷体"/>
          <w:spacing w:val="-13"/>
          <w:sz w:val="24"/>
          <w:szCs w:val="24"/>
          <w14:textOutline w14:w="3048" w14:cap="flat" w14:cmpd="sng">
            <w14:solidFill>
              <w14:srgbClr w14:val="000000"/>
            </w14:solidFill>
            <w14:prstDash w14:val="solid"/>
            <w14:miter w14:val="1"/>
          </w14:textOutline>
        </w:rPr>
        <w:t>（二十三）</w:t>
      </w:r>
      <w:r>
        <w:rPr>
          <w:rFonts w:ascii="楷体" w:hAnsi="楷体" w:eastAsia="楷体" w:cs="楷体"/>
          <w:spacing w:val="-9"/>
          <w:sz w:val="24"/>
          <w:szCs w:val="24"/>
        </w:rPr>
        <w:t xml:space="preserve"> </w:t>
      </w:r>
      <w:r>
        <w:rPr>
          <w:rFonts w:ascii="楷体" w:hAnsi="楷体" w:eastAsia="楷体" w:cs="楷体"/>
          <w:spacing w:val="-13"/>
          <w:sz w:val="24"/>
          <w:szCs w:val="24"/>
          <w14:textOutline w14:w="3048" w14:cap="flat" w14:cmpd="sng">
            <w14:solidFill>
              <w14:srgbClr w14:val="000000"/>
            </w14:solidFill>
            <w14:prstDash w14:val="solid"/>
            <w14:miter w14:val="1"/>
          </w14:textOutline>
        </w:rPr>
        <w:t>加强教学改革研究。</w:t>
      </w:r>
      <w:r>
        <w:rPr>
          <w:rFonts w:ascii="楷体" w:hAnsi="楷体" w:eastAsia="楷体" w:cs="楷体"/>
          <w:spacing w:val="40"/>
          <w:sz w:val="24"/>
          <w:szCs w:val="24"/>
        </w:rPr>
        <w:t xml:space="preserve"> </w:t>
      </w:r>
      <w:r>
        <w:rPr>
          <w:rFonts w:ascii="方正书宋简体" w:hAnsi="方正书宋简体" w:eastAsia="方正书宋简体" w:cs="方正书宋简体"/>
          <w:spacing w:val="-13"/>
          <w:sz w:val="24"/>
          <w:szCs w:val="24"/>
        </w:rPr>
        <w:t>加大教改课题立项支持力度，</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力争在教学改革重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大问题研究中形成一批有较大影响的高水平成果。加强教学改革项目的规范管理，</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2"/>
          <w:sz w:val="24"/>
          <w:szCs w:val="24"/>
        </w:rPr>
        <w:t>推进项目网络化管理，切实做好中期检查、结题验收和成果推荐推广等工作，提高</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教学改革课题的结题质量，加大教改成果的推广和转化力度。</w:t>
      </w:r>
    </w:p>
    <w:p>
      <w:pPr>
        <w:spacing w:before="210" w:line="315" w:lineRule="auto"/>
        <w:ind w:firstLine="358"/>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（二十四）</w:t>
      </w:r>
      <w:r>
        <w:rPr>
          <w:rFonts w:ascii="楷体" w:hAnsi="楷体" w:eastAsia="楷体" w:cs="楷体"/>
          <w:spacing w:val="15"/>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改善办学条件。</w:t>
      </w:r>
      <w:r>
        <w:rPr>
          <w:rFonts w:ascii="楷体" w:hAnsi="楷体" w:eastAsia="楷体" w:cs="楷体"/>
          <w:spacing w:val="46"/>
          <w:sz w:val="24"/>
          <w:szCs w:val="24"/>
        </w:rPr>
        <w:t xml:space="preserve"> </w:t>
      </w:r>
      <w:r>
        <w:rPr>
          <w:rFonts w:ascii="方正书宋简体" w:hAnsi="方正书宋简体" w:eastAsia="方正书宋简体" w:cs="方正书宋简体"/>
          <w:spacing w:val="-14"/>
          <w:sz w:val="24"/>
          <w:szCs w:val="24"/>
        </w:rPr>
        <w:t>整合资源、优化校区功能布局，</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4"/>
          <w:sz w:val="24"/>
          <w:szCs w:val="24"/>
        </w:rPr>
        <w:t>稳步推进中西部高校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基础能力建设工程，积极争取中央财政支持地方高校发展改革资金和中西部高校基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础能力工程项目经费支持，完成教学大楼、实验实训大楼、学生活动场馆等教学场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sz w:val="24"/>
          <w:szCs w:val="24"/>
        </w:rPr>
        <w:t>地重点项目建设工作；</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进一步整合优化教学、科研、办公场所，</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改善教学办公条件；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加强图书资料和场馆建设，建设高水平外文数据库，共享网络信息资源平台，加强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图书馆的现代化信息化管理，增强学校资料信息服务能力，完善多校区图书馆运行</w:t>
      </w:r>
    </w:p>
    <w:p>
      <w:pPr>
        <w:sectPr>
          <w:footerReference r:id="rId10" w:type="default"/>
          <w:pgSz w:w="11905" w:h="16840"/>
          <w:pgMar w:top="1431" w:right="1504" w:bottom="1395" w:left="1591" w:header="0" w:footer="1250" w:gutter="0"/>
          <w:cols w:space="720" w:num="1"/>
        </w:sectPr>
      </w:pPr>
    </w:p>
    <w:p>
      <w:pPr>
        <w:spacing w:before="308" w:line="304" w:lineRule="auto"/>
        <w:ind w:left="6" w:right="120"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机制，实现图书资源共享共用、互通互联、通借通还；进一步加强智慧校园建设，</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提升校园网络信息化、智能化、规范化和科学化水平。</w:t>
      </w:r>
    </w:p>
    <w:p>
      <w:pPr>
        <w:spacing w:before="34" w:line="294" w:lineRule="auto"/>
        <w:ind w:left="2" w:right="74" w:firstLine="358"/>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（二十五）加强基地与实验室建设。</w:t>
      </w:r>
      <w:r>
        <w:rPr>
          <w:rFonts w:ascii="楷体" w:hAnsi="楷体" w:eastAsia="楷体" w:cs="楷体"/>
          <w:spacing w:val="62"/>
          <w:sz w:val="24"/>
          <w:szCs w:val="24"/>
        </w:rPr>
        <w:t xml:space="preserve"> </w:t>
      </w:r>
      <w:r>
        <w:rPr>
          <w:rFonts w:ascii="方正书宋简体" w:hAnsi="方正书宋简体" w:eastAsia="方正书宋简体" w:cs="方正书宋简体"/>
          <w:spacing w:val="-6"/>
          <w:sz w:val="24"/>
          <w:szCs w:val="24"/>
        </w:rPr>
        <w:t>加强校外实习、实践、实训教学基地建设，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进一步稳固和发展师范专业教育实习基地，加强临床医学技能实训中心、工程实训</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中心、大学生创新创业科技中心等建设，满足专业实践教学需要。着力建设一批与</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行（企）业共建的协同育人开放共享实践基地，着力抓好国家、省、校三级实践教</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学平台建设和评估管理。加强校内实验教学（示范）中心、专业实验室建设，更新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仪器设备，增加实验仪器台（套）数，提高仪器设备完好率，保证实验开出率达到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100%，加大实验室开放力度。</w:t>
      </w:r>
    </w:p>
    <w:p>
      <w:pPr>
        <w:spacing w:before="213" w:line="278" w:lineRule="auto"/>
        <w:ind w:right="77" w:firstLine="361"/>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（二十六）</w:t>
      </w:r>
      <w:r>
        <w:rPr>
          <w:rFonts w:ascii="楷体" w:hAnsi="楷体" w:eastAsia="楷体" w:cs="楷体"/>
          <w:spacing w:val="2"/>
          <w:sz w:val="24"/>
          <w:szCs w:val="24"/>
        </w:rPr>
        <w:t xml:space="preserve"> </w:t>
      </w:r>
      <w:r>
        <w:rPr>
          <w:rFonts w:ascii="楷体" w:hAnsi="楷体" w:eastAsia="楷体" w:cs="楷体"/>
          <w:spacing w:val="-9"/>
          <w:sz w:val="24"/>
          <w:szCs w:val="24"/>
          <w14:textOutline w14:w="3048" w14:cap="flat" w14:cmpd="sng">
            <w14:solidFill>
              <w14:srgbClr w14:val="000000"/>
            </w14:solidFill>
            <w14:prstDash w14:val="solid"/>
            <w14:miter w14:val="1"/>
          </w14:textOutline>
        </w:rPr>
        <w:t>加强课程教学资源建设。</w:t>
      </w:r>
      <w:r>
        <w:rPr>
          <w:rFonts w:ascii="楷体" w:hAnsi="楷体" w:eastAsia="楷体" w:cs="楷体"/>
          <w:spacing w:val="40"/>
          <w:sz w:val="24"/>
          <w:szCs w:val="24"/>
        </w:rPr>
        <w:t xml:space="preserve"> </w:t>
      </w:r>
      <w:r>
        <w:rPr>
          <w:rFonts w:ascii="方正书宋简体" w:hAnsi="方正书宋简体" w:eastAsia="方正书宋简体" w:cs="方正书宋简体"/>
          <w:spacing w:val="-9"/>
          <w:sz w:val="24"/>
          <w:szCs w:val="24"/>
        </w:rPr>
        <w:t>加强课程教学资源网络系统、教学基本状态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数据信息系统、教务综合管理系统等教学平台建设。加强名师空间课程、微课、慕</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课等优质在线课程资源建设，促进优质课程资源共享，充分利用信息化手段改革教</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与学的方式，为教师备课、学生交流、自主学习、学习评价等提供强有力的支撑。</w:t>
      </w:r>
    </w:p>
    <w:p>
      <w:pPr>
        <w:spacing w:before="211" w:line="315" w:lineRule="auto"/>
        <w:ind w:left="2" w:right="26" w:firstLine="358"/>
        <w:rPr>
          <w:rFonts w:ascii="方正书宋简体" w:hAnsi="方正书宋简体" w:eastAsia="方正书宋简体" w:cs="方正书宋简体"/>
          <w:sz w:val="24"/>
          <w:szCs w:val="24"/>
        </w:rPr>
      </w:pPr>
      <w:r>
        <w:rPr>
          <w:rFonts w:ascii="楷体" w:hAnsi="楷体" w:eastAsia="楷体" w:cs="楷体"/>
          <w:spacing w:val="-18"/>
          <w:sz w:val="24"/>
          <w:szCs w:val="24"/>
          <w14:textOutline w14:w="3048" w14:cap="flat" w14:cmpd="sng">
            <w14:solidFill>
              <w14:srgbClr w14:val="000000"/>
            </w14:solidFill>
            <w14:prstDash w14:val="solid"/>
            <w14:miter w14:val="1"/>
          </w14:textOutline>
        </w:rPr>
        <w:t>（二十七）</w:t>
      </w:r>
      <w:r>
        <w:rPr>
          <w:rFonts w:ascii="楷体" w:hAnsi="楷体" w:eastAsia="楷体" w:cs="楷体"/>
          <w:spacing w:val="-14"/>
          <w:sz w:val="24"/>
          <w:szCs w:val="24"/>
        </w:rPr>
        <w:t xml:space="preserve"> </w:t>
      </w:r>
      <w:r>
        <w:rPr>
          <w:rFonts w:ascii="楷体" w:hAnsi="楷体" w:eastAsia="楷体" w:cs="楷体"/>
          <w:spacing w:val="-18"/>
          <w:sz w:val="24"/>
          <w:szCs w:val="24"/>
          <w14:textOutline w14:w="3048" w14:cap="flat" w14:cmpd="sng">
            <w14:solidFill>
              <w14:srgbClr w14:val="000000"/>
            </w14:solidFill>
            <w14:prstDash w14:val="solid"/>
            <w14:miter w14:val="1"/>
          </w14:textOutline>
        </w:rPr>
        <w:t>加强学院制管理改革。</w:t>
      </w:r>
      <w:r>
        <w:rPr>
          <w:rFonts w:ascii="楷体" w:hAnsi="楷体" w:eastAsia="楷体" w:cs="楷体"/>
          <w:spacing w:val="27"/>
          <w:sz w:val="24"/>
          <w:szCs w:val="24"/>
        </w:rPr>
        <w:t xml:space="preserve"> </w:t>
      </w:r>
      <w:r>
        <w:rPr>
          <w:rFonts w:ascii="方正书宋简体" w:hAnsi="方正书宋简体" w:eastAsia="方正书宋简体" w:cs="方正书宋简体"/>
          <w:spacing w:val="-18"/>
          <w:sz w:val="24"/>
          <w:szCs w:val="24"/>
        </w:rPr>
        <w:t>深入推进教育教学综合改革，</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8"/>
          <w:sz w:val="24"/>
          <w:szCs w:val="24"/>
        </w:rPr>
        <w:t>建立健全资源有偿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使用和成本分担制度，</w:t>
      </w:r>
      <w:r>
        <w:rPr>
          <w:rFonts w:ascii="方正书宋简体" w:hAnsi="方正书宋简体" w:eastAsia="方正书宋简体" w:cs="方正书宋简体"/>
          <w:spacing w:val="85"/>
          <w:sz w:val="24"/>
          <w:szCs w:val="24"/>
        </w:rPr>
        <w:t xml:space="preserve"> </w:t>
      </w:r>
      <w:r>
        <w:rPr>
          <w:rFonts w:ascii="方正书宋简体" w:hAnsi="方正书宋简体" w:eastAsia="方正书宋简体" w:cs="方正书宋简体"/>
          <w:spacing w:val="-17"/>
          <w:sz w:val="24"/>
          <w:szCs w:val="24"/>
        </w:rPr>
        <w:t>促进资源合理配置和优先保证本科教学，</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7"/>
          <w:sz w:val="24"/>
          <w:szCs w:val="24"/>
        </w:rPr>
        <w:t>逐步建立教学资源共建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共享机制。推进校院二级管理，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健全议事规则和决策程序，</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8"/>
          <w:sz w:val="24"/>
          <w:szCs w:val="24"/>
        </w:rPr>
        <w:t>形成良好的制度环境。完善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二级教学管理体制，</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17"/>
          <w:sz w:val="24"/>
          <w:szCs w:val="24"/>
        </w:rPr>
        <w:t>加大教学管理重心下移力度，</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7"/>
          <w:sz w:val="24"/>
          <w:szCs w:val="24"/>
        </w:rPr>
        <w:t>明确学校和学院的教学管理职责与权</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8"/>
          <w:sz w:val="24"/>
          <w:szCs w:val="24"/>
        </w:rPr>
        <w:t>限，</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8"/>
          <w:sz w:val="24"/>
          <w:szCs w:val="24"/>
        </w:rPr>
        <w:t>逐步建立学院为主体的教学运行管理机制，</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8"/>
          <w:sz w:val="24"/>
          <w:szCs w:val="24"/>
        </w:rPr>
        <w:t>使教学管理运行更加科学、顺畅。积极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探索试点学院包干制改革，对试点学院实行目标管理，制定章程、建立内部治理机制，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给予相对独立的人事、财务和管理权，落实学院办学主体地位。</w:t>
      </w:r>
    </w:p>
    <w:p>
      <w:pPr>
        <w:spacing w:before="5" w:line="294" w:lineRule="auto"/>
        <w:ind w:left="1" w:firstLine="359"/>
        <w:rPr>
          <w:rFonts w:ascii="方正书宋简体" w:hAnsi="方正书宋简体" w:eastAsia="方正书宋简体" w:cs="方正书宋简体"/>
          <w:sz w:val="24"/>
          <w:szCs w:val="24"/>
        </w:rPr>
      </w:pPr>
      <w:r>
        <w:rPr>
          <w:rFonts w:ascii="楷体" w:hAnsi="楷体" w:eastAsia="楷体" w:cs="楷体"/>
          <w:spacing w:val="-14"/>
          <w:sz w:val="24"/>
          <w:szCs w:val="24"/>
          <w14:textOutline w14:w="3048" w14:cap="flat" w14:cmpd="sng">
            <w14:solidFill>
              <w14:srgbClr w14:val="000000"/>
            </w14:solidFill>
            <w14:prstDash w14:val="solid"/>
            <w14:miter w14:val="1"/>
          </w14:textOutline>
        </w:rPr>
        <w:t>（二十八）</w:t>
      </w:r>
      <w:r>
        <w:rPr>
          <w:rFonts w:ascii="楷体" w:hAnsi="楷体" w:eastAsia="楷体" w:cs="楷体"/>
          <w:spacing w:val="12"/>
          <w:sz w:val="24"/>
          <w:szCs w:val="24"/>
        </w:rPr>
        <w:t xml:space="preserve"> </w:t>
      </w:r>
      <w:r>
        <w:rPr>
          <w:rFonts w:ascii="楷体" w:hAnsi="楷体" w:eastAsia="楷体" w:cs="楷体"/>
          <w:spacing w:val="-14"/>
          <w:sz w:val="24"/>
          <w:szCs w:val="24"/>
          <w14:textOutline w14:w="3048" w14:cap="flat" w14:cmpd="sng">
            <w14:solidFill>
              <w14:srgbClr w14:val="000000"/>
            </w14:solidFill>
            <w14:prstDash w14:val="solid"/>
            <w14:miter w14:val="1"/>
          </w14:textOutline>
        </w:rPr>
        <w:t>加强教学质量监控。</w:t>
      </w:r>
      <w:r>
        <w:rPr>
          <w:rFonts w:ascii="楷体" w:hAnsi="楷体" w:eastAsia="楷体" w:cs="楷体"/>
          <w:spacing w:val="46"/>
          <w:sz w:val="24"/>
          <w:szCs w:val="24"/>
        </w:rPr>
        <w:t xml:space="preserve"> </w:t>
      </w:r>
      <w:r>
        <w:rPr>
          <w:rFonts w:ascii="方正书宋简体" w:hAnsi="方正书宋简体" w:eastAsia="方正书宋简体" w:cs="方正书宋简体"/>
          <w:spacing w:val="-14"/>
          <w:sz w:val="24"/>
          <w:szCs w:val="24"/>
        </w:rPr>
        <w:t>坚持“质量立校”的办学理念，</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4"/>
          <w:sz w:val="24"/>
          <w:szCs w:val="24"/>
        </w:rPr>
        <w:t>加强日常教学督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查，坚持课堂教学抽查制度和定期教学检查制度，加强校、院两级教学督导和学生</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信息员工作，大力开展学生评教、同行评教、</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专家评教和社会评教，健全教师、学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院、学校三级教学质量保障体系。推进学院评估、专业评估、课程评估和本科教学基本</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1"/>
          <w:sz w:val="24"/>
          <w:szCs w:val="24"/>
        </w:rPr>
        <w:t>状态数据常态监测，</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1"/>
          <w:sz w:val="24"/>
          <w:szCs w:val="24"/>
        </w:rPr>
        <w:t>加强毕业生质量跟踪调查，</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1"/>
          <w:sz w:val="24"/>
          <w:szCs w:val="24"/>
        </w:rPr>
        <w:t>充分发挥各种质量保障手段的作用，</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1"/>
          <w:sz w:val="24"/>
          <w:szCs w:val="24"/>
        </w:rPr>
        <w:t>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立用人单位、教师、学生共同参与的教学质量保障与评价机制。设立课堂教学质量奖，</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
          <w:sz w:val="24"/>
          <w:szCs w:val="24"/>
        </w:rPr>
        <w:t>推进校院两级本科教学质量年度报告制度，加大教学质量管理考核力度。</w:t>
      </w:r>
    </w:p>
    <w:p>
      <w:pPr>
        <w:spacing w:before="215" w:line="315" w:lineRule="auto"/>
        <w:ind w:left="4" w:right="77" w:firstLine="356"/>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（二十九）</w:t>
      </w:r>
      <w:r>
        <w:rPr>
          <w:rFonts w:ascii="楷体" w:hAnsi="楷体" w:eastAsia="楷体" w:cs="楷体"/>
          <w:spacing w:val="12"/>
          <w:sz w:val="24"/>
          <w:szCs w:val="24"/>
        </w:rPr>
        <w:t xml:space="preserve"> </w:t>
      </w:r>
      <w:r>
        <w:rPr>
          <w:rFonts w:ascii="楷体" w:hAnsi="楷体" w:eastAsia="楷体" w:cs="楷体"/>
          <w:spacing w:val="-9"/>
          <w:sz w:val="24"/>
          <w:szCs w:val="24"/>
          <w14:textOutline w14:w="3048" w14:cap="flat" w14:cmpd="sng">
            <w14:solidFill>
              <w14:srgbClr w14:val="000000"/>
            </w14:solidFill>
            <w14:prstDash w14:val="solid"/>
            <w14:miter w14:val="1"/>
          </w14:textOutline>
        </w:rPr>
        <w:t>完善教育教学质量长效机制。</w:t>
      </w:r>
      <w:r>
        <w:rPr>
          <w:rFonts w:ascii="楷体" w:hAnsi="楷体" w:eastAsia="楷体" w:cs="楷体"/>
          <w:spacing w:val="30"/>
          <w:sz w:val="24"/>
          <w:szCs w:val="24"/>
        </w:rPr>
        <w:t xml:space="preserve"> </w:t>
      </w:r>
      <w:r>
        <w:rPr>
          <w:rFonts w:ascii="方正书宋简体" w:hAnsi="方正书宋简体" w:eastAsia="方正书宋简体" w:cs="方正书宋简体"/>
          <w:spacing w:val="-9"/>
          <w:sz w:val="24"/>
          <w:szCs w:val="24"/>
        </w:rPr>
        <w:t>建立健全符合学校办学定位的人才培养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质量标准体系和质量评价体系，制定并完善人才培养、主要教学环节、教学建设、</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教学质量管理等四个方面质量标准，形成过程与目标、定期与随机相结合评估考核</w:t>
      </w:r>
    </w:p>
    <w:p>
      <w:pPr>
        <w:sectPr>
          <w:footerReference r:id="rId11" w:type="default"/>
          <w:pgSz w:w="11905" w:h="16840"/>
          <w:pgMar w:top="1431" w:right="1507" w:bottom="1392" w:left="1588" w:header="0" w:footer="1250" w:gutter="0"/>
          <w:cols w:space="720" w:num="1"/>
        </w:sectPr>
      </w:pPr>
    </w:p>
    <w:p>
      <w:pPr>
        <w:spacing w:before="313" w:line="285" w:lineRule="auto"/>
        <w:ind w:left="1" w:right="9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机制，不断优化和创新教学管理体制机制，进一步健全具有自我控制、自我约束、</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自我保障功能的教学质量监控体系和运行机制，逐步建立了“全方位、全过程、循</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环闭合、持续改进”的本科教学质量保障模式。加强内部教学质量审计，实现教学</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质量监控的规范化、科学化和常态化，将目标管理和过程管理有机结合起来，加强</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用人单位反馈机制建设，确保教学质量稳步提高。</w:t>
      </w:r>
    </w:p>
    <w:p>
      <w:pPr>
        <w:spacing w:before="214" w:line="290" w:lineRule="auto"/>
        <w:ind w:firstLine="357"/>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（三十）加强对外交流与国际合作。</w:t>
      </w:r>
      <w:r>
        <w:rPr>
          <w:rFonts w:ascii="楷体" w:hAnsi="楷体" w:eastAsia="楷体" w:cs="楷体"/>
          <w:spacing w:val="27"/>
          <w:sz w:val="24"/>
          <w:szCs w:val="24"/>
        </w:rPr>
        <w:t xml:space="preserve"> </w:t>
      </w:r>
      <w:r>
        <w:rPr>
          <w:rFonts w:ascii="方正书宋简体" w:hAnsi="方正书宋简体" w:eastAsia="方正书宋简体" w:cs="方正书宋简体"/>
          <w:spacing w:val="-9"/>
          <w:sz w:val="24"/>
          <w:szCs w:val="24"/>
        </w:rPr>
        <w:t>加强与国际、国内知名高校在学生联合培养、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教师互访交流等方面的合作与交流。充分利用对口支援政策，加强对优先发展专业</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和重点建设专业的支持力度。构建校校、校企、校地协同育人新机制，以实践基地</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建设为抓手，开展学生培养、教师培训、课程建设、论文指导、实验室建设等多领</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域的交流合作。积极引入社会资源，加强教学基本条件建设，稳步推进课程、实验</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室、图书馆和体育场所对社会开放进程。</w:t>
      </w:r>
    </w:p>
    <w:p>
      <w:pPr>
        <w:spacing w:before="206"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三、保障落实</w:t>
      </w:r>
    </w:p>
    <w:p>
      <w:pPr>
        <w:spacing w:before="147" w:line="278" w:lineRule="auto"/>
        <w:ind w:left="1" w:right="95" w:firstLine="298"/>
        <w:rPr>
          <w:rFonts w:ascii="方正书宋简体" w:hAnsi="方正书宋简体" w:eastAsia="方正书宋简体" w:cs="方正书宋简体"/>
          <w:sz w:val="24"/>
          <w:szCs w:val="24"/>
        </w:rPr>
      </w:pPr>
      <w:r>
        <w:rPr>
          <w:rFonts w:ascii="楷体" w:hAnsi="楷体" w:eastAsia="楷体" w:cs="楷体"/>
          <w:spacing w:val="-5"/>
          <w:sz w:val="24"/>
          <w:szCs w:val="24"/>
          <w14:textOutline w14:w="3048" w14:cap="flat" w14:cmpd="sng">
            <w14:solidFill>
              <w14:srgbClr w14:val="000000"/>
            </w14:solidFill>
            <w14:prstDash w14:val="solid"/>
            <w14:miter w14:val="1"/>
          </w14:textOutline>
        </w:rPr>
        <w:t>（一）充分认识本科教学工作的重要意义。</w:t>
      </w:r>
      <w:r>
        <w:rPr>
          <w:rFonts w:ascii="楷体" w:hAnsi="楷体" w:eastAsia="楷体" w:cs="楷体"/>
          <w:spacing w:val="79"/>
          <w:sz w:val="24"/>
          <w:szCs w:val="24"/>
        </w:rPr>
        <w:t xml:space="preserve"> </w:t>
      </w:r>
      <w:r>
        <w:rPr>
          <w:rFonts w:ascii="方正书宋简体" w:hAnsi="方正书宋简体" w:eastAsia="方正书宋简体" w:cs="方正书宋简体"/>
          <w:spacing w:val="-5"/>
          <w:sz w:val="24"/>
          <w:szCs w:val="24"/>
        </w:rPr>
        <w:t>高等学校的根本任务是培养人才，人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才培养质量是高等教育质量最基础、最核心、</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最根本的部分。本科教育是人才培养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工作的主体和基础，本科教学工作是学校最基础、最根本性的工作，在学校建设与</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发展中处于中心地位，具有根本性、关键性作用。</w:t>
      </w:r>
    </w:p>
    <w:p>
      <w:pPr>
        <w:spacing w:before="212" w:line="315" w:lineRule="auto"/>
        <w:ind w:right="95" w:firstLine="299"/>
        <w:rPr>
          <w:rFonts w:ascii="方正书宋简体" w:hAnsi="方正书宋简体" w:eastAsia="方正书宋简体" w:cs="方正书宋简体"/>
          <w:sz w:val="24"/>
          <w:szCs w:val="24"/>
        </w:rPr>
      </w:pPr>
      <w:r>
        <w:rPr>
          <w:rFonts w:ascii="楷体" w:hAnsi="楷体" w:eastAsia="楷体" w:cs="楷体"/>
          <w:spacing w:val="-5"/>
          <w:sz w:val="24"/>
          <w:szCs w:val="24"/>
          <w14:textOutline w14:w="3048" w14:cap="flat" w14:cmpd="sng">
            <w14:solidFill>
              <w14:srgbClr w14:val="000000"/>
            </w14:solidFill>
            <w14:prstDash w14:val="solid"/>
            <w14:miter w14:val="1"/>
          </w14:textOutline>
        </w:rPr>
        <w:t>（二）积极构筑全员育人的新格局。</w:t>
      </w:r>
      <w:r>
        <w:rPr>
          <w:rFonts w:ascii="楷体" w:hAnsi="楷体" w:eastAsia="楷体" w:cs="楷体"/>
          <w:spacing w:val="78"/>
          <w:sz w:val="24"/>
          <w:szCs w:val="24"/>
        </w:rPr>
        <w:t xml:space="preserve"> </w:t>
      </w:r>
      <w:r>
        <w:rPr>
          <w:rFonts w:ascii="方正书宋简体" w:hAnsi="方正书宋简体" w:eastAsia="方正书宋简体" w:cs="方正书宋简体"/>
          <w:spacing w:val="-5"/>
          <w:sz w:val="24"/>
          <w:szCs w:val="24"/>
        </w:rPr>
        <w:t>坚持以人为本，努力营造全员育人、全方位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育人的氛围，真正落实全过程育人的体制机制，确保学生的全面发展。牢固坚持人</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才培养工作的中心地位，切实改进学校各部门工作作风，自觉、主动、创造性地为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教学工作服务。健全全员育人工作机制，积极引导全校教职员工立足岗位，坚持教</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书育人、管理育人、服务育人，率先垂范、恪尽职守，为加强本科教学工作、提高</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人才培养质量不懈努力，努力形成领导重视教学、教师热爱教学、政策倾斜教学、</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经费优先教学、科研促进教学、管理服务教学、后勤保障教学、舆论导向教学、人</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人关心教学、一切为了育人的良好格局。</w:t>
      </w:r>
    </w:p>
    <w:p>
      <w:pPr>
        <w:spacing w:before="9" w:line="315" w:lineRule="auto"/>
        <w:ind w:left="2" w:right="95" w:firstLine="355"/>
        <w:rPr>
          <w:rFonts w:ascii="方正书宋简体" w:hAnsi="方正书宋简体" w:eastAsia="方正书宋简体" w:cs="方正书宋简体"/>
          <w:sz w:val="24"/>
          <w:szCs w:val="24"/>
        </w:rPr>
      </w:pPr>
      <w:r>
        <w:rPr>
          <w:rFonts w:ascii="楷体" w:hAnsi="楷体" w:eastAsia="楷体" w:cs="楷体"/>
          <w:spacing w:val="-8"/>
          <w:sz w:val="24"/>
          <w:szCs w:val="24"/>
          <w14:textOutline w14:w="3048" w14:cap="flat" w14:cmpd="sng">
            <w14:solidFill>
              <w14:srgbClr w14:val="000000"/>
            </w14:solidFill>
            <w14:prstDash w14:val="solid"/>
            <w14:miter w14:val="1"/>
          </w14:textOutline>
        </w:rPr>
        <w:t>（三）</w:t>
      </w:r>
      <w:r>
        <w:rPr>
          <w:rFonts w:ascii="楷体" w:hAnsi="楷体" w:eastAsia="楷体" w:cs="楷体"/>
          <w:spacing w:val="-20"/>
          <w:sz w:val="24"/>
          <w:szCs w:val="24"/>
        </w:rPr>
        <w:t xml:space="preserve"> </w:t>
      </w:r>
      <w:r>
        <w:rPr>
          <w:rFonts w:ascii="楷体" w:hAnsi="楷体" w:eastAsia="楷体" w:cs="楷体"/>
          <w:spacing w:val="-8"/>
          <w:sz w:val="24"/>
          <w:szCs w:val="24"/>
          <w14:textOutline w14:w="3048" w14:cap="flat" w14:cmpd="sng">
            <w14:solidFill>
              <w14:srgbClr w14:val="000000"/>
            </w14:solidFill>
            <w14:prstDash w14:val="solid"/>
            <w14:miter w14:val="1"/>
          </w14:textOutline>
        </w:rPr>
        <w:t>切实加强本科教学工作的督导与评估。</w:t>
      </w:r>
      <w:r>
        <w:rPr>
          <w:rFonts w:ascii="楷体" w:hAnsi="楷体" w:eastAsia="楷体" w:cs="楷体"/>
          <w:spacing w:val="28"/>
          <w:sz w:val="24"/>
          <w:szCs w:val="24"/>
        </w:rPr>
        <w:t xml:space="preserve"> </w:t>
      </w:r>
      <w:r>
        <w:rPr>
          <w:rFonts w:ascii="方正书宋简体" w:hAnsi="方正书宋简体" w:eastAsia="方正书宋简体" w:cs="方正书宋简体"/>
          <w:spacing w:val="-8"/>
          <w:sz w:val="24"/>
          <w:szCs w:val="24"/>
        </w:rPr>
        <w:t>全面落实学校加强本科教学工作政</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策措施，认真开展本科教学工作政策措施落实的督导检查，由学校督导部门牵头负</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责，于每年</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3"/>
          <w:sz w:val="24"/>
          <w:szCs w:val="24"/>
        </w:rPr>
        <w:t>7</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月</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日前完成对上一年度落实《关于进一步加强本科教学工作提高教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育质量的实施意见》情况的督导与评估，总结经验，发现问题，完善措施，确保学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校本科教学工作不断取得新成绩。</w:t>
      </w:r>
    </w:p>
    <w:p>
      <w:pPr>
        <w:sectPr>
          <w:footerReference r:id="rId12" w:type="default"/>
          <w:pgSz w:w="11905" w:h="16840"/>
          <w:pgMar w:top="1431" w:right="1490" w:bottom="1395" w:left="1591" w:header="0" w:footer="1250" w:gutter="0"/>
          <w:cols w:space="720" w:num="1"/>
        </w:sectPr>
      </w:pPr>
    </w:p>
    <w:p>
      <w:pPr>
        <w:spacing w:before="235" w:line="180" w:lineRule="auto"/>
        <w:ind w:firstLine="85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吉首大学关于加强大学生创新创业工作的实施意见</w:t>
      </w:r>
    </w:p>
    <w:p>
      <w:pPr>
        <w:spacing w:before="110" w:line="184" w:lineRule="auto"/>
        <w:ind w:firstLine="3191"/>
        <w:rPr>
          <w:rFonts w:ascii="楷体" w:hAnsi="楷体" w:eastAsia="楷体" w:cs="楷体"/>
          <w:sz w:val="24"/>
          <w:szCs w:val="24"/>
        </w:rPr>
      </w:pPr>
      <w:r>
        <w:rPr>
          <w:rFonts w:ascii="楷体" w:hAnsi="楷体" w:eastAsia="楷体" w:cs="楷体"/>
          <w:spacing w:val="-5"/>
          <w:sz w:val="24"/>
          <w:szCs w:val="24"/>
        </w:rPr>
        <w:t>（2016</w:t>
      </w:r>
      <w:r>
        <w:rPr>
          <w:rFonts w:ascii="楷体" w:hAnsi="楷体" w:eastAsia="楷体" w:cs="楷体"/>
          <w:spacing w:val="-43"/>
          <w:sz w:val="24"/>
          <w:szCs w:val="24"/>
        </w:rPr>
        <w:t xml:space="preserve"> </w:t>
      </w:r>
      <w:r>
        <w:rPr>
          <w:rFonts w:ascii="楷体" w:hAnsi="楷体" w:eastAsia="楷体" w:cs="楷体"/>
          <w:spacing w:val="-5"/>
          <w:sz w:val="24"/>
          <w:szCs w:val="24"/>
        </w:rPr>
        <w:t>年</w:t>
      </w:r>
      <w:r>
        <w:rPr>
          <w:rFonts w:ascii="楷体" w:hAnsi="楷体" w:eastAsia="楷体" w:cs="楷体"/>
          <w:spacing w:val="-39"/>
          <w:sz w:val="24"/>
          <w:szCs w:val="24"/>
        </w:rPr>
        <w:t xml:space="preserve"> </w:t>
      </w:r>
      <w:r>
        <w:rPr>
          <w:rFonts w:ascii="楷体" w:hAnsi="楷体" w:eastAsia="楷体" w:cs="楷体"/>
          <w:spacing w:val="-5"/>
          <w:sz w:val="24"/>
          <w:szCs w:val="24"/>
        </w:rPr>
        <w:t>7</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83" w:lineRule="auto"/>
        <w:rPr>
          <w:rFonts w:ascii="Malgun Gothic"/>
          <w:sz w:val="21"/>
        </w:rPr>
      </w:pPr>
    </w:p>
    <w:p>
      <w:pPr>
        <w:spacing w:before="86" w:line="290" w:lineRule="auto"/>
        <w:ind w:firstLine="471"/>
        <w:rPr>
          <w:rFonts w:ascii="方正书宋简体" w:hAnsi="方正书宋简体" w:eastAsia="方正书宋简体" w:cs="方正书宋简体"/>
          <w:sz w:val="24"/>
          <w:szCs w:val="24"/>
        </w:rPr>
      </w:pPr>
      <w:r>
        <w:rPr>
          <w:rFonts w:ascii="方正书宋简体" w:hAnsi="方正书宋简体" w:eastAsia="方正书宋简体" w:cs="方正书宋简体"/>
          <w:spacing w:val="-17"/>
          <w:sz w:val="24"/>
          <w:szCs w:val="24"/>
        </w:rPr>
        <w:t>为加强我校创新创业教育，</w:t>
      </w:r>
      <w:r>
        <w:rPr>
          <w:rFonts w:ascii="方正书宋简体" w:hAnsi="方正书宋简体" w:eastAsia="方正书宋简体" w:cs="方正书宋简体"/>
          <w:spacing w:val="57"/>
          <w:w w:val="101"/>
          <w:sz w:val="24"/>
          <w:szCs w:val="24"/>
        </w:rPr>
        <w:t xml:space="preserve"> </w:t>
      </w:r>
      <w:r>
        <w:rPr>
          <w:rFonts w:ascii="方正书宋简体" w:hAnsi="方正书宋简体" w:eastAsia="方正书宋简体" w:cs="方正书宋简体"/>
          <w:spacing w:val="-17"/>
          <w:sz w:val="24"/>
          <w:szCs w:val="24"/>
        </w:rPr>
        <w:t>进一步深化人才培养模式改革，</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7"/>
          <w:sz w:val="24"/>
          <w:szCs w:val="24"/>
        </w:rPr>
        <w:t>全面提高学生创新创业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能力和人才培养质量，</w:t>
      </w:r>
      <w:r>
        <w:rPr>
          <w:rFonts w:ascii="方正书宋简体" w:hAnsi="方正书宋简体" w:eastAsia="方正书宋简体" w:cs="方正书宋简体"/>
          <w:spacing w:val="87"/>
          <w:sz w:val="24"/>
          <w:szCs w:val="24"/>
        </w:rPr>
        <w:t xml:space="preserve"> </w:t>
      </w:r>
      <w:r>
        <w:rPr>
          <w:rFonts w:ascii="方正书宋简体" w:hAnsi="方正书宋简体" w:eastAsia="方正书宋简体" w:cs="方正书宋简体"/>
          <w:spacing w:val="-14"/>
          <w:sz w:val="24"/>
          <w:szCs w:val="24"/>
        </w:rPr>
        <w:t>根据教育部《关于大力推进高等学校创新创业教育和大学生自主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创业工作的意见》（教办〔2010〕3</w:t>
      </w:r>
      <w:r>
        <w:rPr>
          <w:rFonts w:ascii="方正书宋简体" w:hAnsi="方正书宋简体" w:eastAsia="方正书宋简体" w:cs="方正书宋简体"/>
          <w:spacing w:val="76"/>
          <w:w w:val="101"/>
          <w:sz w:val="24"/>
          <w:szCs w:val="24"/>
        </w:rPr>
        <w:t xml:space="preserve"> </w:t>
      </w:r>
      <w:r>
        <w:rPr>
          <w:rFonts w:ascii="方正书宋简体" w:hAnsi="方正书宋简体" w:eastAsia="方正书宋简体" w:cs="方正书宋简体"/>
          <w:spacing w:val="-11"/>
          <w:w w:val="98"/>
          <w:sz w:val="24"/>
          <w:szCs w:val="24"/>
        </w:rPr>
        <w:t>号）《国务院办公厅关于深化高等学校创新创业教育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改革的实施意见》（国办发〔2015〕36</w:t>
      </w:r>
      <w:r>
        <w:rPr>
          <w:rFonts w:ascii="方正书宋简体" w:hAnsi="方正书宋简体" w:eastAsia="方正书宋简体" w:cs="方正书宋简体"/>
          <w:spacing w:val="91"/>
          <w:sz w:val="24"/>
          <w:szCs w:val="24"/>
        </w:rPr>
        <w:t xml:space="preserve"> </w:t>
      </w:r>
      <w:r>
        <w:rPr>
          <w:rFonts w:ascii="方正书宋简体" w:hAnsi="方正书宋简体" w:eastAsia="方正书宋简体" w:cs="方正书宋简体"/>
          <w:spacing w:val="-11"/>
          <w:w w:val="98"/>
          <w:sz w:val="24"/>
          <w:szCs w:val="24"/>
        </w:rPr>
        <w:t>号）</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1"/>
          <w:w w:val="98"/>
          <w:sz w:val="24"/>
          <w:szCs w:val="24"/>
        </w:rPr>
        <w:t>和省教育厅《关于深化高等学校创新创业教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5"/>
          <w:sz w:val="24"/>
          <w:szCs w:val="24"/>
        </w:rPr>
        <w:t>育改革的实施意见》（湘教发〔2015〕45</w:t>
      </w:r>
      <w:r>
        <w:rPr>
          <w:rFonts w:ascii="方正书宋简体" w:hAnsi="方正书宋简体" w:eastAsia="方正书宋简体" w:cs="方正书宋简体"/>
          <w:spacing w:val="73"/>
          <w:sz w:val="24"/>
          <w:szCs w:val="24"/>
        </w:rPr>
        <w:t xml:space="preserve"> </w:t>
      </w:r>
      <w:r>
        <w:rPr>
          <w:rFonts w:ascii="方正书宋简体" w:hAnsi="方正书宋简体" w:eastAsia="方正书宋简体" w:cs="方正书宋简体"/>
          <w:spacing w:val="-11"/>
          <w:w w:val="95"/>
          <w:sz w:val="24"/>
          <w:szCs w:val="24"/>
        </w:rPr>
        <w:t>号）文件精神，</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5"/>
          <w:sz w:val="24"/>
          <w:szCs w:val="24"/>
        </w:rPr>
        <w:t>结合我校实际，</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5"/>
          <w:sz w:val="24"/>
          <w:szCs w:val="24"/>
        </w:rPr>
        <w:t>特制定本意见。</w:t>
      </w:r>
    </w:p>
    <w:p>
      <w:pPr>
        <w:spacing w:before="166"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53" w:line="300" w:lineRule="auto"/>
        <w:ind w:right="86" w:firstLine="467"/>
        <w:rPr>
          <w:rFonts w:ascii="方正书宋简体" w:hAnsi="方正书宋简体" w:eastAsia="方正书宋简体" w:cs="方正书宋简体"/>
          <w:sz w:val="24"/>
          <w:szCs w:val="24"/>
        </w:rPr>
      </w:pPr>
      <w:r>
        <w:rPr>
          <w:rFonts w:ascii="方正书宋简体" w:hAnsi="方正书宋简体" w:eastAsia="方正书宋简体" w:cs="方正书宋简体"/>
          <w:spacing w:val="-17"/>
          <w:sz w:val="24"/>
          <w:szCs w:val="24"/>
        </w:rPr>
        <w:t>加强大学生创新创业工作，</w:t>
      </w:r>
      <w:r>
        <w:rPr>
          <w:rFonts w:ascii="方正书宋简体" w:hAnsi="方正书宋简体" w:eastAsia="方正书宋简体" w:cs="方正书宋简体"/>
          <w:spacing w:val="70"/>
          <w:w w:val="101"/>
          <w:sz w:val="24"/>
          <w:szCs w:val="24"/>
        </w:rPr>
        <w:t xml:space="preserve"> </w:t>
      </w:r>
      <w:r>
        <w:rPr>
          <w:rFonts w:ascii="方正书宋简体" w:hAnsi="方正书宋简体" w:eastAsia="方正书宋简体" w:cs="方正书宋简体"/>
          <w:spacing w:val="-17"/>
          <w:sz w:val="24"/>
          <w:szCs w:val="24"/>
        </w:rPr>
        <w:t>是高等教育坚持内涵式发展的必然要求，</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7"/>
          <w:sz w:val="24"/>
          <w:szCs w:val="24"/>
        </w:rPr>
        <w:t>是全面提高人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才培养质量的必由之路，</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6"/>
          <w:sz w:val="24"/>
          <w:szCs w:val="24"/>
        </w:rPr>
        <w:t>是深化高等教育改革的重要举措。</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6"/>
          <w:sz w:val="24"/>
          <w:szCs w:val="24"/>
        </w:rPr>
        <w:t>推动大学生创新创业要以转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变教育思想和更新教育观念为先导，</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8"/>
          <w:sz w:val="24"/>
          <w:szCs w:val="24"/>
        </w:rPr>
        <w:t>以改革人才培养模式和教育教学模式为重点，</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8"/>
          <w:sz w:val="24"/>
          <w:szCs w:val="24"/>
        </w:rPr>
        <w:t>以增</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强大学生创新精神和实践能力，</w:t>
      </w:r>
      <w:r>
        <w:rPr>
          <w:rFonts w:ascii="方正书宋简体" w:hAnsi="方正书宋简体" w:eastAsia="方正书宋简体" w:cs="方正书宋简体"/>
          <w:spacing w:val="89"/>
          <w:sz w:val="24"/>
          <w:szCs w:val="24"/>
        </w:rPr>
        <w:t xml:space="preserve"> </w:t>
      </w:r>
      <w:r>
        <w:rPr>
          <w:rFonts w:ascii="方正书宋简体" w:hAnsi="方正书宋简体" w:eastAsia="方正书宋简体" w:cs="方正书宋简体"/>
          <w:spacing w:val="-17"/>
          <w:sz w:val="24"/>
          <w:szCs w:val="24"/>
        </w:rPr>
        <w:t>全面提高人才质量和办学水平为目标，</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7"/>
          <w:sz w:val="24"/>
          <w:szCs w:val="24"/>
        </w:rPr>
        <w:t>坚持课内和课外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相结合、校内和校外相结合、普及和提高相结合、训练和竞赛相结合、创新和创造相结</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4"/>
          <w:sz w:val="24"/>
          <w:szCs w:val="24"/>
        </w:rPr>
        <w:t>合、创业和就业相结合的原则。要着力构建我校大学生创新创业工作平台，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4"/>
          <w:sz w:val="24"/>
          <w:szCs w:val="24"/>
        </w:rPr>
        <w:t>形成科学合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理的规章制度，</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丰富功能互补的实践资源，</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1"/>
          <w:sz w:val="24"/>
          <w:szCs w:val="24"/>
        </w:rPr>
        <w:t>落实行之有效的保障机制，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1"/>
          <w:sz w:val="24"/>
          <w:szCs w:val="24"/>
        </w:rPr>
        <w:t>将大学生创新创</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业教育融入学校人才培养的全过程，</w:t>
      </w:r>
      <w:r>
        <w:rPr>
          <w:rFonts w:ascii="方正书宋简体" w:hAnsi="方正书宋简体" w:eastAsia="方正书宋简体" w:cs="方正书宋简体"/>
          <w:spacing w:val="86"/>
          <w:sz w:val="24"/>
          <w:szCs w:val="24"/>
        </w:rPr>
        <w:t xml:space="preserve"> </w:t>
      </w:r>
      <w:r>
        <w:rPr>
          <w:rFonts w:ascii="方正书宋简体" w:hAnsi="方正书宋简体" w:eastAsia="方正书宋简体" w:cs="方正书宋简体"/>
          <w:spacing w:val="-17"/>
          <w:sz w:val="24"/>
          <w:szCs w:val="24"/>
        </w:rPr>
        <w:t>并紧密结合我校立人教育，</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7"/>
          <w:sz w:val="24"/>
          <w:szCs w:val="24"/>
        </w:rPr>
        <w:t>进一步提高教育教学质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量和服务经济社会的能力，</w:t>
      </w:r>
      <w:r>
        <w:rPr>
          <w:rFonts w:ascii="方正书宋简体" w:hAnsi="方正书宋简体" w:eastAsia="方正书宋简体" w:cs="方正书宋简体"/>
          <w:spacing w:val="88"/>
          <w:sz w:val="24"/>
          <w:szCs w:val="24"/>
        </w:rPr>
        <w:t xml:space="preserve"> </w:t>
      </w:r>
      <w:r>
        <w:rPr>
          <w:rFonts w:ascii="方正书宋简体" w:hAnsi="方正书宋简体" w:eastAsia="方正书宋简体" w:cs="方正书宋简体"/>
          <w:spacing w:val="-14"/>
          <w:sz w:val="24"/>
          <w:szCs w:val="24"/>
        </w:rPr>
        <w:t>整体构建符合我校实际、彰显我校特色的大学生创新创业工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作体系。全面增强大学生的创新精神、创业意识，提高创新创业能力。</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二、总体目标</w:t>
      </w:r>
    </w:p>
    <w:p>
      <w:pPr>
        <w:spacing w:before="148" w:line="294" w:lineRule="auto"/>
        <w:ind w:left="2" w:right="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探索具有吉首大学特色的创新创业教育理念，</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培养和强化大学生的创新创业精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神，不断提高创新创业能力，建立健全大学生创新创业体制机制，实现创新创业教</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育的全过程、全覆盖，建成一批高水平的创新创业教育实践平台，打造一批有特色</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的创新创业教育精品项目，形成一批可复制、</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可推广的教育成果和项目品牌，树立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一批创新创业典型，</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力争成为湖南省首批创新创业示范高校，</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逐步形成集课程教学、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实践训练、培育孵化、社会服务、文化引领于一体的“五段式”创新创业教育体系，</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
          <w:sz w:val="24"/>
          <w:szCs w:val="24"/>
        </w:rPr>
        <w:t>全面提升大学生创新创业能力，进一步提高人才教育质量和整体办学水平。</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三、主要举措</w:t>
      </w:r>
    </w:p>
    <w:p>
      <w:pPr>
        <w:spacing w:before="148" w:line="184" w:lineRule="auto"/>
        <w:ind w:firstLine="359"/>
        <w:rPr>
          <w:rFonts w:ascii="楷体" w:hAnsi="楷体" w:eastAsia="楷体" w:cs="楷体"/>
          <w:sz w:val="24"/>
          <w:szCs w:val="24"/>
        </w:rPr>
      </w:pPr>
      <w:r>
        <w:rPr>
          <w:rFonts w:ascii="楷体" w:hAnsi="楷体" w:eastAsia="楷体" w:cs="楷体"/>
          <w:sz w:val="24"/>
          <w:szCs w:val="24"/>
          <w14:textOutline w14:w="3048" w14:cap="flat" w14:cmpd="sng">
            <w14:solidFill>
              <w14:srgbClr w14:val="000000"/>
            </w14:solidFill>
            <w14:prstDash w14:val="solid"/>
            <w14:miter w14:val="1"/>
          </w14:textOutline>
        </w:rPr>
        <w:t>（一）更新创新创业教育理念</w:t>
      </w:r>
    </w:p>
    <w:p>
      <w:pPr>
        <w:spacing w:before="215"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充分认识创新创业教育的重要性、必要性和紧迫性，牢固树立正确的创新创业</w:t>
      </w:r>
    </w:p>
    <w:p>
      <w:pPr>
        <w:sectPr>
          <w:footerReference r:id="rId13" w:type="default"/>
          <w:pgSz w:w="11905" w:h="16840"/>
          <w:pgMar w:top="1431" w:right="1490" w:bottom="1395" w:left="1590" w:header="0" w:footer="1250" w:gutter="0"/>
          <w:cols w:space="720" w:num="1"/>
        </w:sectPr>
      </w:pPr>
    </w:p>
    <w:p>
      <w:pPr>
        <w:spacing w:before="313" w:line="277" w:lineRule="auto"/>
        <w:ind w:left="1" w:right="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教育思想观念。创新创业教育是提高教育教学质量的根本要求，把深化创新创业教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育改革作为学校人才培养模式改革的突破口，</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4"/>
          <w:sz w:val="24"/>
          <w:szCs w:val="24"/>
        </w:rPr>
        <w:t>大力推进创新创业教育与专业教育、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立人教育的深度融合，切实将创新创业教育贯穿人才培养全过程，不断提高我校学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生创新创业能力和人才培养质量。</w:t>
      </w:r>
    </w:p>
    <w:p>
      <w:pPr>
        <w:spacing w:before="215" w:line="184" w:lineRule="auto"/>
        <w:ind w:firstLine="359"/>
        <w:rPr>
          <w:rFonts w:ascii="楷体" w:hAnsi="楷体" w:eastAsia="楷体" w:cs="楷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（二）制定新的人才培养质量标准</w:t>
      </w:r>
    </w:p>
    <w:p>
      <w:pPr>
        <w:spacing w:before="214" w:line="264" w:lineRule="auto"/>
        <w:ind w:right="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根据新的专业人才评价标准，立足学校自身办学定位与服务面向，牢固确定创</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新创业教育的教学理念，融入并贯穿于专业人才培养方案修订和实施的全过程，突</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出大学生创新精神、创业意识和创新创业能力培养。</w:t>
      </w:r>
    </w:p>
    <w:p>
      <w:pPr>
        <w:spacing w:before="216" w:line="184" w:lineRule="auto"/>
        <w:ind w:firstLine="359"/>
        <w:rPr>
          <w:rFonts w:ascii="楷体" w:hAnsi="楷体" w:eastAsia="楷体" w:cs="楷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（三）成立创新创业学院</w:t>
      </w:r>
    </w:p>
    <w:p>
      <w:pPr>
        <w:spacing w:before="214" w:line="277" w:lineRule="auto"/>
        <w:ind w:righ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创新创业学院作为全面整合校内校外优质创新创业资源，系统科学开展大学生</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创新创业工作的重要平台，主要负责全校学生创新创业活动指导、创业培训、创新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创业孵化基地管理、创新创业实验班管理、创新创业条件建设、制度机制建设以及</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创新创业的社会促进等。创新创业学院办公室挂靠教务处。</w:t>
      </w:r>
    </w:p>
    <w:p>
      <w:pPr>
        <w:spacing w:before="216" w:line="184" w:lineRule="auto"/>
        <w:ind w:firstLine="359"/>
        <w:rPr>
          <w:rFonts w:ascii="楷体" w:hAnsi="楷体" w:eastAsia="楷体" w:cs="楷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（四）启动课程建设改革</w:t>
      </w:r>
    </w:p>
    <w:p>
      <w:pPr>
        <w:spacing w:before="213" w:line="311" w:lineRule="auto"/>
        <w:ind w:right="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在课程体系设置中，根据学校实际情况，开设相关创新创业课程，并大力开展</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创新创业课程开发建设；在课堂教学中，创新课程内容和教学方法、手段，及时介</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绍创新创业教育教学、研究领域的最新成果；</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编写符合我校实际的大学生创新创业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教育教材，在专业教育教学中，要结合专业教育特点加强创新意识教育，培养创业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意识和能力，把创新创业教育贯穿于人才培养全过程。</w:t>
      </w:r>
    </w:p>
    <w:p>
      <w:pPr>
        <w:spacing w:before="29" w:line="184" w:lineRule="auto"/>
        <w:ind w:firstLine="359"/>
        <w:rPr>
          <w:rFonts w:ascii="楷体" w:hAnsi="楷体" w:eastAsia="楷体" w:cs="楷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（五）开展实践教学改革</w:t>
      </w:r>
    </w:p>
    <w:p>
      <w:pPr>
        <w:spacing w:before="212" w:line="29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在实践教学中，在综合性、设计性实验的基础上，开设创新创业性实验项目。</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校内所有基础实验室、实训基地，在完成正常教学、科研任务的前提下，对学生全</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面开放，鼓励学生利用第二课堂和业余时间从事创新创业实践，支持和鼓励学生积</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极开展发明创造等科技创新活动与科研课题研究，建设一批有影响力的创客空间。</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同时，根据工作需要，各学院可直接管理、使用或建设一定数量的大学生创新创业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3"/>
          <w:sz w:val="24"/>
          <w:szCs w:val="24"/>
        </w:rPr>
        <w:t>实验室（工作室）。</w:t>
      </w:r>
    </w:p>
    <w:p>
      <w:pPr>
        <w:spacing w:before="215" w:line="184" w:lineRule="auto"/>
        <w:ind w:firstLine="359"/>
        <w:rPr>
          <w:rFonts w:ascii="楷体" w:hAnsi="楷体" w:eastAsia="楷体" w:cs="楷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（六）建立创新创业导师库</w:t>
      </w:r>
    </w:p>
    <w:p>
      <w:pPr>
        <w:spacing w:before="211" w:line="311" w:lineRule="auto"/>
        <w:ind w:left="1" w:right="2"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学校利用选拔培养、人才引进等方式，在创新创业学院建设一支创新创业教育</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的专职师资力量；鼓励和支持有能力的教师参与创新创业教育课程建设；根据学校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有关规定，从今年开始，对指导创新创业工作的教师，给予课时辅导补助，认定其</w:t>
      </w:r>
    </w:p>
    <w:p>
      <w:pPr>
        <w:sectPr>
          <w:footerReference r:id="rId14" w:type="default"/>
          <w:pgSz w:w="11905" w:h="16840"/>
          <w:pgMar w:top="1431" w:right="1582" w:bottom="1395" w:left="1590" w:header="0" w:footer="1250" w:gutter="0"/>
          <w:cols w:space="720" w:num="1"/>
        </w:sectPr>
      </w:pPr>
    </w:p>
    <w:p>
      <w:pPr>
        <w:spacing w:before="313" w:line="315" w:lineRule="auto"/>
        <w:ind w:right="94"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教学工作量，计入年终量化考核，并在评优评先、职称评定等方面给予优先政策。</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创新创业成果纳入教学奖励。同时，采用“走出去、引进来”的方式，出台政策鼓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励支持从事创新创业教育的教师到企业、科研院所等单位挂职锻炼，参与社会相关</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行业的创新创业实践，聘请社会知名企业家、</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创业成功人士、校外专家学者和优秀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创业校友为兼职教师，建立一支专兼职结合的高水平创新创业导师队伍，并参照学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校相关标准给兼职教师一定的薪酬待遇。</w:t>
      </w:r>
    </w:p>
    <w:p>
      <w:pPr>
        <w:spacing w:line="202" w:lineRule="auto"/>
        <w:ind w:firstLine="359"/>
        <w:rPr>
          <w:rFonts w:ascii="楷体" w:hAnsi="楷体" w:eastAsia="楷体" w:cs="楷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（七）实施大学生创新创业引领计划</w:t>
      </w:r>
    </w:p>
    <w:p>
      <w:pPr>
        <w:spacing w:before="193" w:line="314" w:lineRule="auto"/>
        <w:ind w:right="1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学校加大投入，同时争取社会支持，积极资助学生创新创业活动。每年设立一</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8"/>
          <w:sz w:val="24"/>
          <w:szCs w:val="24"/>
        </w:rPr>
        <w:t>定数量的创新班（组</w:t>
      </w:r>
      <w:r>
        <w:rPr>
          <w:rFonts w:ascii="方正书宋简体" w:hAnsi="方正书宋简体" w:eastAsia="方正书宋简体" w:cs="方正书宋简体"/>
          <w:spacing w:val="-92"/>
          <w:sz w:val="24"/>
          <w:szCs w:val="24"/>
        </w:rPr>
        <w:t>），</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8"/>
          <w:sz w:val="24"/>
          <w:szCs w:val="24"/>
        </w:rPr>
        <w:t>组织开展一批创新创业能力提升项目，</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设立若干项创新创业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项目（活动</w:t>
      </w:r>
      <w:r>
        <w:rPr>
          <w:rFonts w:ascii="方正书宋简体" w:hAnsi="方正书宋简体" w:eastAsia="方正书宋简体" w:cs="方正书宋简体"/>
          <w:spacing w:val="-42"/>
          <w:sz w:val="24"/>
          <w:szCs w:val="24"/>
        </w:rPr>
        <w:t>），</w:t>
      </w:r>
      <w:r>
        <w:rPr>
          <w:rFonts w:ascii="方正书宋简体" w:hAnsi="方正书宋简体" w:eastAsia="方正书宋简体" w:cs="方正书宋简体"/>
          <w:spacing w:val="-9"/>
          <w:sz w:val="24"/>
          <w:szCs w:val="24"/>
        </w:rPr>
        <w:t>确保更多学生接受创新创业实践锻炼。扶持打造重点创新创业项目（活</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10"/>
          <w:sz w:val="24"/>
          <w:szCs w:val="24"/>
        </w:rPr>
        <w:t>动</w:t>
      </w:r>
      <w:r>
        <w:rPr>
          <w:rFonts w:ascii="方正书宋简体" w:hAnsi="方正书宋简体" w:eastAsia="方正书宋简体" w:cs="方正书宋简体"/>
          <w:spacing w:val="-105"/>
          <w:w w:val="97"/>
          <w:sz w:val="24"/>
          <w:szCs w:val="24"/>
        </w:rPr>
        <w:t>），</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0"/>
          <w:sz w:val="24"/>
          <w:szCs w:val="24"/>
        </w:rPr>
        <w:t>积极参加大学生创新创业项目（活动）</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0"/>
          <w:sz w:val="24"/>
          <w:szCs w:val="24"/>
        </w:rPr>
        <w:t>竞赛。设立大学生创新创业活动周，</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期举办大学生创新创业活动交流和成果展示，</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营造良好的学生创新创业氛围。同时，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不断创新大学生科技文化艺术节、大学生创新创业社团文化节等活动，进一步强化</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学生的创新创业实践训练。</w:t>
      </w:r>
    </w:p>
    <w:p>
      <w:pPr>
        <w:spacing w:before="6" w:line="197" w:lineRule="auto"/>
        <w:ind w:firstLine="359"/>
        <w:rPr>
          <w:rFonts w:ascii="楷体" w:hAnsi="楷体" w:eastAsia="楷体" w:cs="楷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（八）实行创新创业学分制</w:t>
      </w:r>
    </w:p>
    <w:p>
      <w:pPr>
        <w:spacing w:before="197" w:line="285" w:lineRule="auto"/>
        <w:ind w:firstLine="46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制定《吉首大学学生创新创业学分认定办法》，将创新创业教育统一纳入学校人才</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培养方案和教学计划，建立创新创业学分申请、认定、登录、查询与评价的长效机制。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学生修读创新创业理论课程和参加创新创业实践活动，可获得一定分值的创新创业学</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1"/>
          <w:sz w:val="24"/>
          <w:szCs w:val="24"/>
        </w:rPr>
        <w:t>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1"/>
          <w:sz w:val="24"/>
          <w:szCs w:val="24"/>
        </w:rPr>
        <w:t>统一计入学生总学分，</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1"/>
          <w:sz w:val="24"/>
          <w:szCs w:val="24"/>
        </w:rPr>
        <w:t>列入成绩单。争取实现本科生在校期间，</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1"/>
          <w:sz w:val="24"/>
          <w:szCs w:val="24"/>
        </w:rPr>
        <w:t>参加一定数量的创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7"/>
          <w:sz w:val="24"/>
          <w:szCs w:val="24"/>
        </w:rPr>
        <w:t>新创业实践，</w:t>
      </w:r>
      <w:r>
        <w:rPr>
          <w:rFonts w:ascii="方正书宋简体" w:hAnsi="方正书宋简体" w:eastAsia="方正书宋简体" w:cs="方正书宋简体"/>
          <w:spacing w:val="80"/>
          <w:sz w:val="24"/>
          <w:szCs w:val="24"/>
        </w:rPr>
        <w:t xml:space="preserve"> </w:t>
      </w:r>
      <w:r>
        <w:rPr>
          <w:rFonts w:ascii="方正书宋简体" w:hAnsi="方正书宋简体" w:eastAsia="方正书宋简体" w:cs="方正书宋简体"/>
          <w:spacing w:val="-17"/>
          <w:sz w:val="24"/>
          <w:szCs w:val="24"/>
        </w:rPr>
        <w:t>参加不少于一项的创新创业项目竞赛，</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7"/>
          <w:sz w:val="24"/>
          <w:szCs w:val="24"/>
        </w:rPr>
        <w:t>并获得至少</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7"/>
          <w:sz w:val="24"/>
          <w:szCs w:val="24"/>
        </w:rPr>
        <w:t>5—8</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7"/>
          <w:sz w:val="24"/>
          <w:szCs w:val="24"/>
        </w:rPr>
        <w:t>个创新创业学分。</w:t>
      </w:r>
    </w:p>
    <w:p>
      <w:pPr>
        <w:spacing w:before="214" w:line="184" w:lineRule="auto"/>
        <w:ind w:firstLine="359"/>
        <w:rPr>
          <w:rFonts w:ascii="楷体" w:hAnsi="楷体" w:eastAsia="楷体" w:cs="楷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（九）允许创业学生休学创业</w:t>
      </w:r>
    </w:p>
    <w:p>
      <w:pPr>
        <w:spacing w:before="213"/>
        <w:ind w:right="8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3"/>
          <w:w w:val="99"/>
          <w:sz w:val="24"/>
          <w:szCs w:val="24"/>
        </w:rPr>
        <w:t>出台政策，</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23"/>
          <w:w w:val="99"/>
          <w:sz w:val="24"/>
          <w:szCs w:val="24"/>
        </w:rPr>
        <w:t>对于部分正处于创业阶段的学生，</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3"/>
          <w:w w:val="99"/>
          <w:sz w:val="24"/>
          <w:szCs w:val="24"/>
        </w:rPr>
        <w:t>实行弹性学制，</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3"/>
          <w:w w:val="99"/>
          <w:sz w:val="24"/>
          <w:szCs w:val="24"/>
        </w:rPr>
        <w:t>放宽修业年限，</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3"/>
          <w:w w:val="99"/>
          <w:sz w:val="24"/>
          <w:szCs w:val="24"/>
        </w:rPr>
        <w:t>允许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适当调整学业进程，申请保留学籍休学创业，在规定时间内，可重返学校完成学业。</w:t>
      </w:r>
    </w:p>
    <w:p>
      <w:pPr>
        <w:spacing w:before="213" w:line="184" w:lineRule="auto"/>
        <w:ind w:firstLine="359"/>
        <w:rPr>
          <w:rFonts w:ascii="楷体" w:hAnsi="楷体" w:eastAsia="楷体" w:cs="楷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（十）进行评优激励表彰</w:t>
      </w:r>
    </w:p>
    <w:p>
      <w:pPr>
        <w:spacing w:before="215" w:line="264" w:lineRule="auto"/>
        <w:ind w:left="3" w:right="94"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定期组织专家对学生的创新创业成绩与成果进行评选、认定，定期组织开展大</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学生创新创业工作总结表彰活动，对于业绩突出、事迹典型的个人、团队及单位予</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以表彰奖励。</w:t>
      </w:r>
    </w:p>
    <w:p>
      <w:pPr>
        <w:spacing w:before="205"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四、组织管理</w:t>
      </w:r>
    </w:p>
    <w:p>
      <w:pPr>
        <w:spacing w:before="149" w:line="184" w:lineRule="auto"/>
        <w:ind w:firstLine="359"/>
        <w:rPr>
          <w:rFonts w:ascii="楷体" w:hAnsi="楷体" w:eastAsia="楷体" w:cs="楷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（一）加强领导</w:t>
      </w:r>
    </w:p>
    <w:p>
      <w:pPr>
        <w:spacing w:before="214" w:line="180"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为加强组织领导，成立吉首大学创新创业工作领导小组，由校长担任组长，分</w:t>
      </w:r>
    </w:p>
    <w:p>
      <w:pPr>
        <w:sectPr>
          <w:footerReference r:id="rId15" w:type="default"/>
          <w:pgSz w:w="11905" w:h="16840"/>
          <w:pgMar w:top="1431" w:right="1491" w:bottom="1395" w:left="1590" w:header="0" w:footer="1253" w:gutter="0"/>
          <w:cols w:space="720" w:num="1"/>
        </w:sectPr>
      </w:pPr>
    </w:p>
    <w:p>
      <w:pPr>
        <w:spacing w:before="312" w:line="315"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管教学和学生工作的校领导担任副组长，教务处牵头，招生就业处、校团委、学生</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工作部、研究生处、科技处、社科处、实验室与设备管理中心、信息网络中心、人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事处、宣传部、校友工作办、张家界校区教科办、张家界校区学工办、各学院主要</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负责人为成员。领导小组负责统筹协调大学生创新创业教育全局性工作，确保“机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构、人员、场地、经费、基地”五到位；负责对重大问题做出决策，指导和协调各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部门、各学院开展相关工作。在学校的统一领导下，各单位分工协作，积极开展创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新创业工作。各学院成立大学生创新创业工作小组，由院长任组长，分管教学和学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生工作副院长、副书记任副组长，负责本学院大学生创新创业工作的组织领导。学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校其他各单位要积极支持与配合、参与大学生创新创业教育工作，形成推动我校大</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学生创新创业教育工作的合力。</w:t>
      </w:r>
    </w:p>
    <w:p>
      <w:pPr>
        <w:spacing w:before="3" w:line="199" w:lineRule="auto"/>
        <w:ind w:firstLine="359"/>
        <w:rPr>
          <w:rFonts w:ascii="楷体" w:hAnsi="楷体" w:eastAsia="楷体" w:cs="楷体"/>
          <w:sz w:val="24"/>
          <w:szCs w:val="24"/>
        </w:rPr>
      </w:pPr>
      <w:r>
        <w:rPr>
          <w:rFonts w:ascii="楷体" w:hAnsi="楷体" w:eastAsia="楷体" w:cs="楷体"/>
          <w:sz w:val="24"/>
          <w:szCs w:val="24"/>
          <w14:textOutline w14:w="3048" w14:cap="flat" w14:cmpd="sng">
            <w14:solidFill>
              <w14:srgbClr w14:val="000000"/>
            </w14:solidFill>
            <w14:prstDash w14:val="solid"/>
            <w14:miter w14:val="1"/>
          </w14:textOutline>
        </w:rPr>
        <w:t>（二）完善工作制度</w:t>
      </w:r>
    </w:p>
    <w:p>
      <w:pPr>
        <w:spacing w:before="193" w:line="315"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出台《吉首大学大学生创新创业教育规划》《吉首大学创新创业工作考核实施办</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法》《吉首大学创新创业学院建设实施方案》《吉首大学创业实验班管理办法》《吉首</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大学创新创业学分认定实施细则》《吉首大学大学生创新创业基金管理办法》《吉首</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5"/>
          <w:sz w:val="24"/>
          <w:szCs w:val="24"/>
        </w:rPr>
        <w:t>大学大学生创业孵化基地管理办法》《吉首大学大学生创新工作室管理办法》《吉首</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大学大学生创业导师管理办法》等制度，从制度上鼓励和保障学生投入参与创新创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业活动。</w:t>
      </w:r>
    </w:p>
    <w:p>
      <w:pPr>
        <w:spacing w:before="1" w:line="201" w:lineRule="auto"/>
        <w:ind w:firstLine="359"/>
        <w:rPr>
          <w:rFonts w:ascii="楷体" w:hAnsi="楷体" w:eastAsia="楷体" w:cs="楷体"/>
          <w:sz w:val="24"/>
          <w:szCs w:val="24"/>
        </w:rPr>
      </w:pPr>
      <w:r>
        <w:rPr>
          <w:rFonts w:ascii="楷体" w:hAnsi="楷体" w:eastAsia="楷体" w:cs="楷体"/>
          <w:sz w:val="24"/>
          <w:szCs w:val="24"/>
          <w14:textOutline w14:w="3048" w14:cap="flat" w14:cmpd="sng">
            <w14:solidFill>
              <w14:srgbClr w14:val="000000"/>
            </w14:solidFill>
            <w14:prstDash w14:val="solid"/>
            <w14:miter w14:val="1"/>
          </w14:textOutline>
        </w:rPr>
        <w:t>（三）设立创新创业基金</w:t>
      </w:r>
    </w:p>
    <w:p>
      <w:pPr>
        <w:spacing w:before="193" w:line="264"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学校首批设立</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2"/>
          <w:sz w:val="24"/>
          <w:szCs w:val="24"/>
        </w:rPr>
        <w:t>100</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2"/>
          <w:sz w:val="24"/>
          <w:szCs w:val="24"/>
        </w:rPr>
        <w:t>万元大学生创新创业基金，用于创业学院的成立和全校创新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创业工作的启动。同时，积极争取成功校友、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知名企业和其他社会力量在学校设立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大学生创新创业奖学金，为大学生创新创业实践和成果孵化提供多渠道资金扶持。</w:t>
      </w:r>
    </w:p>
    <w:p>
      <w:pPr>
        <w:spacing w:before="214" w:line="184" w:lineRule="auto"/>
        <w:ind w:firstLine="359"/>
        <w:rPr>
          <w:rFonts w:ascii="楷体" w:hAnsi="楷体" w:eastAsia="楷体" w:cs="楷体"/>
          <w:sz w:val="24"/>
          <w:szCs w:val="24"/>
        </w:rPr>
      </w:pPr>
      <w:r>
        <w:rPr>
          <w:rFonts w:ascii="楷体" w:hAnsi="楷体" w:eastAsia="楷体" w:cs="楷体"/>
          <w:sz w:val="24"/>
          <w:szCs w:val="24"/>
          <w14:textOutline w14:w="3048" w14:cap="flat" w14:cmpd="sng">
            <w14:solidFill>
              <w14:srgbClr w14:val="000000"/>
            </w14:solidFill>
            <w14:prstDash w14:val="solid"/>
            <w14:miter w14:val="1"/>
          </w14:textOutline>
        </w:rPr>
        <w:t>（四）重视创新创业文化建设</w:t>
      </w:r>
    </w:p>
    <w:p>
      <w:pPr>
        <w:spacing w:before="214" w:line="284" w:lineRule="auto"/>
        <w:ind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营造校内创新创业工作氛围，提升师生对创新创业工作的关注度。积极邀请科</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技专家、知名学者、企业精英、创业先锋等来校作创新创业报告、讲座。通过宣讲</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解读创新创业形势，传授创新创业知识，分享交流创新创业先进经验等，激发大学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生创新创业意识，因势利导大学生创新创业热情，拓展创业就业途径。</w:t>
      </w:r>
    </w:p>
    <w:p>
      <w:pPr>
        <w:spacing w:before="178" w:line="316" w:lineRule="auto"/>
        <w:ind w:left="2" w:right="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树立创新创业先进典型，大力宣传报道创新创业典型事迹，充分发挥典型的引</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领作用，营造崇尚创新、支持创业的良好校园文化氛围。</w:t>
      </w:r>
    </w:p>
    <w:p>
      <w:pPr>
        <w:sectPr>
          <w:footerReference r:id="rId16" w:type="default"/>
          <w:pgSz w:w="11905" w:h="16840"/>
          <w:pgMar w:top="1431" w:right="1585" w:bottom="1395" w:left="1590" w:header="0" w:footer="1253" w:gutter="0"/>
          <w:cols w:space="720" w:num="1"/>
        </w:sectPr>
      </w:pPr>
    </w:p>
    <w:p>
      <w:pPr>
        <w:spacing w:before="235" w:line="180" w:lineRule="auto"/>
        <w:ind w:firstLine="517"/>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吉首大学本科教学质量与教学改革工程推进与实施方案</w:t>
      </w:r>
    </w:p>
    <w:p>
      <w:pPr>
        <w:spacing w:before="110" w:line="184" w:lineRule="auto"/>
        <w:ind w:firstLine="3412"/>
        <w:rPr>
          <w:rFonts w:ascii="楷体" w:hAnsi="楷体" w:eastAsia="楷体" w:cs="楷体"/>
          <w:sz w:val="24"/>
          <w:szCs w:val="24"/>
        </w:rPr>
      </w:pPr>
      <w:r>
        <w:rPr>
          <w:rFonts w:ascii="楷体" w:hAnsi="楷体" w:eastAsia="楷体" w:cs="楷体"/>
          <w:spacing w:val="-3"/>
          <w:sz w:val="24"/>
          <w:szCs w:val="24"/>
          <w14:textOutline w14:w="3048" w14:cap="flat" w14:cmpd="sng">
            <w14:solidFill>
              <w14:srgbClr w14:val="000000"/>
            </w14:solidFill>
            <w14:prstDash w14:val="solid"/>
            <w14:miter w14:val="1"/>
          </w14:textOutline>
        </w:rPr>
        <w:t>（2016</w:t>
      </w:r>
      <w:r>
        <w:rPr>
          <w:rFonts w:ascii="楷体" w:hAnsi="楷体" w:eastAsia="楷体" w:cs="楷体"/>
          <w:spacing w:val="-25"/>
          <w:sz w:val="24"/>
          <w:szCs w:val="24"/>
        </w:rPr>
        <w:t xml:space="preserve"> </w:t>
      </w:r>
      <w:r>
        <w:rPr>
          <w:rFonts w:ascii="楷体" w:hAnsi="楷体" w:eastAsia="楷体" w:cs="楷体"/>
          <w:spacing w:val="-3"/>
          <w:sz w:val="24"/>
          <w:szCs w:val="24"/>
          <w14:textOutline w14:w="3048" w14:cap="flat" w14:cmpd="sng">
            <w14:solidFill>
              <w14:srgbClr w14:val="000000"/>
            </w14:solidFill>
            <w14:prstDash w14:val="solid"/>
            <w14:miter w14:val="1"/>
          </w14:textOutline>
        </w:rPr>
        <w:t>年修订）</w:t>
      </w:r>
    </w:p>
    <w:p>
      <w:pPr>
        <w:spacing w:line="379" w:lineRule="auto"/>
        <w:rPr>
          <w:rFonts w:ascii="Malgun Gothic"/>
          <w:sz w:val="21"/>
        </w:rPr>
      </w:pPr>
    </w:p>
    <w:p>
      <w:pPr>
        <w:spacing w:before="85" w:line="313" w:lineRule="auto"/>
        <w:ind w:right="91"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为全面贯彻落实《国家中长期教育改革和发展规划纲要（2010-2020</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9"/>
          <w:sz w:val="24"/>
          <w:szCs w:val="24"/>
        </w:rPr>
        <w:t>年）》、教育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部财政部《关于“十二五”期间实施“高等学校本科教学质量与教学改革工程”的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1"/>
          <w:sz w:val="24"/>
          <w:szCs w:val="24"/>
        </w:rPr>
        <w:t>意见》（教高〔2011〕6</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11"/>
          <w:sz w:val="24"/>
          <w:szCs w:val="24"/>
        </w:rPr>
        <w:t>号）、教育部《关于全面提高高等教育质量的若干意见》</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w w:val="98"/>
          <w:sz w:val="24"/>
          <w:szCs w:val="24"/>
        </w:rPr>
        <w:t>高[2012]4</w:t>
      </w:r>
      <w:r>
        <w:rPr>
          <w:rFonts w:ascii="方正书宋简体" w:hAnsi="方正书宋简体" w:eastAsia="方正书宋简体" w:cs="方正书宋简体"/>
          <w:spacing w:val="109"/>
          <w:sz w:val="24"/>
          <w:szCs w:val="24"/>
        </w:rPr>
        <w:t xml:space="preserve"> </w:t>
      </w:r>
      <w:r>
        <w:rPr>
          <w:rFonts w:ascii="方正书宋简体" w:hAnsi="方正书宋简体" w:eastAsia="方正书宋简体" w:cs="方正书宋简体"/>
          <w:spacing w:val="-6"/>
          <w:w w:val="98"/>
          <w:sz w:val="24"/>
          <w:szCs w:val="24"/>
        </w:rPr>
        <w:t>号）》《湖南省建设教育强省规划纲要（2010－2020</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6"/>
          <w:w w:val="98"/>
          <w:sz w:val="24"/>
          <w:szCs w:val="24"/>
        </w:rPr>
        <w:t>年）》文件精神，切实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加强本科教学工作，不断提高我校本科教学水平和人才培养质量，特制定《吉首大</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0"/>
          <w:sz w:val="24"/>
          <w:szCs w:val="24"/>
        </w:rPr>
        <w:t>学本科教学质量与教学改革工程推进与实施方案》</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0"/>
          <w:sz w:val="24"/>
          <w:szCs w:val="24"/>
        </w:rPr>
        <w:t>（以下简称本科教学工程）。</w:t>
      </w:r>
    </w:p>
    <w:p>
      <w:pPr>
        <w:spacing w:before="11" w:line="197"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28" w:line="293" w:lineRule="auto"/>
        <w:ind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坚持以习近平治国理政重要思想为指导，深入贯彻落实科学发展观，全面贯彻</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党的教育方针，全面落实教育规划纲要，按照</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3"/>
          <w:sz w:val="24"/>
          <w:szCs w:val="24"/>
        </w:rPr>
        <w:t>“整体规划，分步建设，突出重点，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强化特色，注重创新，全面提高”的原则，牢固树立人才培养是高校的根本任务、</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质量是高校的生命线、教学是高校的中心工作的理念，正确处理好规模、结构、质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量和效益的关系，以推进教学改革和实现优质资源共享为手段，以提高本科教学质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量为目标，加强教学基本建设，改进教学管理，创新人才培养模式，把我校的本科</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教育水平和人才培养质量提高到一个新阶段。</w:t>
      </w:r>
    </w:p>
    <w:p>
      <w:pPr>
        <w:spacing w:before="205"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二、建设目标</w:t>
      </w:r>
    </w:p>
    <w:p>
      <w:pPr>
        <w:spacing w:before="152" w:line="30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通过推进与实施吉首大学“本科教学工程”，建立较为完善的可持续发展机制，</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7"/>
          <w:sz w:val="24"/>
          <w:szCs w:val="24"/>
        </w:rPr>
        <w:t>使我校本科教育的规模、结构、质量、效益协调发展，</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7"/>
          <w:sz w:val="24"/>
          <w:szCs w:val="24"/>
        </w:rPr>
        <w:t>教育教学质量得到全面提高。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专业办学定位更加明确，专业结构更加合理，</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专业办学水平在原有的基础上有显著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的提高，服务区域经济社会发展的能力进一步增强。课程资源进一步丰富，课程结</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构更加合理，课程教学方法更为有效，课程教育质量稳步提升。校本教材、特色教</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材建设成效明显，对专业办学的特色和优势的支撑进一步加强。实践教学体系更为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完善，实践教学基地和实验室建设成效显著，</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能够有效地支撑应用型本科人才的培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养，学科竞赛的成绩有明显的突破。基层教学组织运行有效，教师教学能力得到稳</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步提升，学生的创新创业能力得到明显提高，</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教学改革与教学研究稳步推进，能形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成一批有影响、成效突出、引领示范作用明显的教学改革与教学研究成果。</w:t>
      </w:r>
    </w:p>
    <w:p>
      <w:pPr>
        <w:spacing w:before="206"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三、建设内容</w:t>
      </w:r>
    </w:p>
    <w:p>
      <w:pPr>
        <w:spacing w:before="148" w:line="180" w:lineRule="auto"/>
        <w:ind w:firstLine="503"/>
        <w:rPr>
          <w:rFonts w:ascii="方正书宋简体" w:hAnsi="方正书宋简体" w:eastAsia="方正书宋简体" w:cs="方正书宋简体"/>
          <w:sz w:val="24"/>
          <w:szCs w:val="24"/>
        </w:rPr>
      </w:pPr>
      <w:r>
        <w:rPr>
          <w:rFonts w:ascii="楷体" w:hAnsi="楷体" w:eastAsia="楷体" w:cs="楷体"/>
          <w:spacing w:val="-11"/>
          <w:w w:val="98"/>
          <w:sz w:val="24"/>
          <w:szCs w:val="24"/>
          <w14:textOutline w14:w="3048" w14:cap="flat" w14:cmpd="sng">
            <w14:solidFill>
              <w14:srgbClr w14:val="000000"/>
            </w14:solidFill>
            <w14:prstDash w14:val="solid"/>
            <w14:miter w14:val="1"/>
          </w14:textOutline>
        </w:rPr>
        <w:t>1、专业建设工程。</w:t>
      </w:r>
      <w:r>
        <w:rPr>
          <w:rFonts w:ascii="楷体" w:hAnsi="楷体" w:eastAsia="楷体" w:cs="楷体"/>
          <w:spacing w:val="57"/>
          <w:sz w:val="24"/>
          <w:szCs w:val="24"/>
        </w:rPr>
        <w:t xml:space="preserve"> </w:t>
      </w:r>
      <w:r>
        <w:rPr>
          <w:rFonts w:ascii="方正书宋简体" w:hAnsi="方正书宋简体" w:eastAsia="方正书宋简体" w:cs="方正书宋简体"/>
          <w:spacing w:val="-11"/>
          <w:w w:val="98"/>
          <w:sz w:val="24"/>
          <w:szCs w:val="24"/>
        </w:rPr>
        <w:t>制定学校专业建设规划，</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8"/>
          <w:sz w:val="24"/>
          <w:szCs w:val="24"/>
        </w:rPr>
        <w:t>优化学科专业结构，</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推动专业分类</w:t>
      </w:r>
    </w:p>
    <w:p>
      <w:pPr>
        <w:sectPr>
          <w:footerReference r:id="rId17" w:type="default"/>
          <w:pgSz w:w="11905" w:h="16840"/>
          <w:pgMar w:top="1431" w:right="1494" w:bottom="1395" w:left="1591" w:header="0" w:footer="1250" w:gutter="0"/>
          <w:cols w:space="720" w:num="1"/>
        </w:sectPr>
      </w:pPr>
    </w:p>
    <w:p>
      <w:pPr>
        <w:spacing w:before="307" w:line="315" w:lineRule="auto"/>
        <w:ind w:left="1"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19"/>
          <w:sz w:val="24"/>
          <w:szCs w:val="24"/>
        </w:rPr>
        <w:t>分层发展，</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9"/>
          <w:sz w:val="24"/>
          <w:szCs w:val="24"/>
        </w:rPr>
        <w:t>强化专业办学内涵，</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9"/>
          <w:sz w:val="24"/>
          <w:szCs w:val="24"/>
        </w:rPr>
        <w:t>提升专业办学实力，</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9"/>
          <w:sz w:val="24"/>
          <w:szCs w:val="24"/>
        </w:rPr>
        <w:t>凝练专业办学特色，</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9"/>
          <w:sz w:val="24"/>
          <w:szCs w:val="24"/>
        </w:rPr>
        <w:t>培育专业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比较优势。投入</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0"/>
          <w:sz w:val="24"/>
          <w:szCs w:val="24"/>
        </w:rPr>
        <w:t>80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0"/>
          <w:sz w:val="24"/>
          <w:szCs w:val="24"/>
        </w:rPr>
        <w:t>万元，</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0"/>
          <w:sz w:val="24"/>
          <w:szCs w:val="24"/>
        </w:rPr>
        <w:t>按照国家卓越人才培养的目标与要求，</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积极推动学校医学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类、农林类、法律类、师范类、工程类专业的建设，通过建设争取</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1"/>
          <w:sz w:val="24"/>
          <w:szCs w:val="24"/>
        </w:rPr>
        <w:t>2-3</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
          <w:sz w:val="24"/>
          <w:szCs w:val="24"/>
        </w:rPr>
        <w:t>个专业成为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国家卓越人才培养计划专业；积极推动专业综合改革，打造品牌专业，提升专业核</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5"/>
          <w:sz w:val="24"/>
          <w:szCs w:val="24"/>
        </w:rPr>
        <w:t>心竞争力，</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5"/>
          <w:sz w:val="24"/>
          <w:szCs w:val="24"/>
        </w:rPr>
        <w:t>投入</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5"/>
          <w:sz w:val="24"/>
          <w:szCs w:val="24"/>
        </w:rPr>
        <w:t>200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5"/>
          <w:sz w:val="24"/>
          <w:szCs w:val="24"/>
        </w:rPr>
        <w:t>万元，</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5"/>
          <w:sz w:val="24"/>
          <w:szCs w:val="24"/>
        </w:rPr>
        <w:t>遴选</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5"/>
          <w:sz w:val="24"/>
          <w:szCs w:val="24"/>
        </w:rPr>
        <w:t>10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5"/>
          <w:sz w:val="24"/>
          <w:szCs w:val="24"/>
        </w:rPr>
        <w:t>个专业进专业综合改革试点，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5"/>
          <w:sz w:val="24"/>
          <w:szCs w:val="24"/>
        </w:rPr>
        <w:t>培育</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5"/>
          <w:sz w:val="24"/>
          <w:szCs w:val="24"/>
        </w:rPr>
        <w:t>3-5</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5"/>
          <w:sz w:val="24"/>
          <w:szCs w:val="24"/>
        </w:rPr>
        <w:t>个省级专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业综合改革试点专业。强化专业办学的社会适应性和专业间的协同发展，设立服务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武陵山区扶贫攻坚与区域经济社会发展特色专业群建设计划，投入</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1"/>
          <w:sz w:val="24"/>
          <w:szCs w:val="24"/>
        </w:rPr>
        <w:t>300</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万元，遴选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个左右直接服务武陵山片区行业、产业的专业组建城乡发展与基础设施建设特色专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业群、资源利用与特色产品加工特色专业群、旅游与民族文化产业特色专业群、公共服</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11"/>
          <w:w w:val="98"/>
          <w:sz w:val="24"/>
          <w:szCs w:val="24"/>
        </w:rPr>
        <w:t>务与社会管理特色专业群、</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8"/>
          <w:sz w:val="24"/>
          <w:szCs w:val="24"/>
        </w:rPr>
        <w:t>生态建设与环境保护特色专业群等</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8"/>
          <w:sz w:val="24"/>
          <w:szCs w:val="24"/>
        </w:rPr>
        <w:t>5</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8"/>
          <w:sz w:val="24"/>
          <w:szCs w:val="24"/>
        </w:rPr>
        <w:t>个特色专业群，</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1"/>
          <w:w w:val="98"/>
          <w:sz w:val="24"/>
          <w:szCs w:val="24"/>
        </w:rPr>
        <w:t>进一步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提升学校学科专业服务区域经济社会发展的能力与水平；</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16"/>
          <w:sz w:val="24"/>
          <w:szCs w:val="24"/>
        </w:rPr>
        <w:t>投入</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200</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6"/>
          <w:sz w:val="24"/>
          <w:szCs w:val="24"/>
        </w:rPr>
        <w:t>万元，</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6"/>
          <w:sz w:val="24"/>
          <w:szCs w:val="24"/>
        </w:rPr>
        <w:t>以提升师范生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专业技能为核心，构建师范生专业技能培养新体系，推动</w:t>
      </w:r>
      <w:r>
        <w:rPr>
          <w:rFonts w:ascii="方正书宋简体" w:hAnsi="方正书宋简体" w:eastAsia="方正书宋简体" w:cs="方正书宋简体"/>
          <w:spacing w:val="67"/>
          <w:w w:val="101"/>
          <w:sz w:val="24"/>
          <w:szCs w:val="24"/>
        </w:rPr>
        <w:t xml:space="preserve"> </w:t>
      </w:r>
      <w:r>
        <w:rPr>
          <w:rFonts w:ascii="方正书宋简体" w:hAnsi="方正书宋简体" w:eastAsia="方正书宋简体" w:cs="方正书宋简体"/>
          <w:spacing w:val="-9"/>
          <w:sz w:val="24"/>
          <w:szCs w:val="24"/>
        </w:rPr>
        <w:t>10</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个师范专业综合改革。以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新专业设置为契机，大力发展医学、工科、应用性文科和战略性新兴产业相关的专业，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使学校的学科专业结构能有力地支持学校的办学定位和区域经济社会发展的需要。</w:t>
      </w:r>
    </w:p>
    <w:p>
      <w:pPr>
        <w:spacing w:before="8" w:line="315" w:lineRule="auto"/>
        <w:ind w:right="34" w:firstLine="500"/>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2、课程建设工程。</w:t>
      </w:r>
      <w:r>
        <w:rPr>
          <w:rFonts w:ascii="楷体" w:hAnsi="楷体" w:eastAsia="楷体" w:cs="楷体"/>
          <w:spacing w:val="56"/>
          <w:sz w:val="24"/>
          <w:szCs w:val="24"/>
        </w:rPr>
        <w:t xml:space="preserve"> </w:t>
      </w:r>
      <w:r>
        <w:rPr>
          <w:rFonts w:ascii="方正书宋简体" w:hAnsi="方正书宋简体" w:eastAsia="方正书宋简体" w:cs="方正书宋简体"/>
          <w:spacing w:val="-6"/>
          <w:sz w:val="24"/>
          <w:szCs w:val="24"/>
        </w:rPr>
        <w:t>按照“丰富课程资源、优化课程结构、改革课程教学方法、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提高课程教学效果”的原则推进和实施课程建设工程。围绕人才培养方案修订，进</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一步凸显专业办学特色与个性，投入</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1"/>
          <w:sz w:val="24"/>
          <w:szCs w:val="24"/>
        </w:rPr>
        <w:t>400</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万元，设置新开课程建设项目，每年支持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40</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
          <w:sz w:val="24"/>
          <w:szCs w:val="24"/>
        </w:rPr>
        <w:t>门左右新开课程建设项目，强化课程教学内容改造，优化课程内容体系，规范课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程教学行为；为有效破解学院体制下教学资源共享性不强的问题，设置资源共享课</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程建设项目，投入</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2"/>
          <w:sz w:val="24"/>
          <w:szCs w:val="24"/>
        </w:rPr>
        <w:t>50</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万元，每年支持</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20</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2"/>
          <w:sz w:val="24"/>
          <w:szCs w:val="24"/>
        </w:rPr>
        <w:t>门左右资源共享课程，构建跨学院的师资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与课程资源的共享机制。设置专业核心课程建设项目，投入</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
          <w:sz w:val="24"/>
          <w:szCs w:val="24"/>
        </w:rPr>
        <w:t>400</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
          <w:sz w:val="24"/>
          <w:szCs w:val="24"/>
        </w:rPr>
        <w:t>万元，每年支持</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
          <w:sz w:val="24"/>
          <w:szCs w:val="24"/>
        </w:rPr>
        <w:t>50</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门专业核心课程建设，提升专业核心课程的教学质量，夯实专业办学基础。设立课</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程教学内容与教学方法改革专项，</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投入</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100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sz w:val="24"/>
          <w:szCs w:val="24"/>
        </w:rPr>
        <w:t>万，</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sz w:val="24"/>
          <w:szCs w:val="24"/>
        </w:rPr>
        <w:t>每年支持</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sz w:val="24"/>
          <w:szCs w:val="24"/>
        </w:rPr>
        <w:t>30</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门课程进行教学内容与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教学方法改革，</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7"/>
          <w:sz w:val="24"/>
          <w:szCs w:val="24"/>
        </w:rPr>
        <w:t>提高课程教学效果。支持建设</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50</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7"/>
          <w:sz w:val="24"/>
          <w:szCs w:val="24"/>
        </w:rPr>
        <w:t>门重点通识课程。推动信息技术与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课程教学的深度融合，</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5"/>
          <w:sz w:val="24"/>
          <w:szCs w:val="24"/>
        </w:rPr>
        <w:t>设置信息化课程建设项目，</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5"/>
          <w:sz w:val="24"/>
          <w:szCs w:val="24"/>
        </w:rPr>
        <w:t>每年支持建设慕课</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5"/>
          <w:sz w:val="24"/>
          <w:szCs w:val="24"/>
        </w:rPr>
        <w:t>10</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5"/>
          <w:sz w:val="24"/>
          <w:szCs w:val="24"/>
        </w:rPr>
        <w:t>门，</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5"/>
          <w:sz w:val="24"/>
          <w:szCs w:val="24"/>
        </w:rPr>
        <w:t>网络空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间课程</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3"/>
          <w:sz w:val="24"/>
          <w:szCs w:val="24"/>
        </w:rPr>
        <w:t>20</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3"/>
          <w:sz w:val="24"/>
          <w:szCs w:val="24"/>
        </w:rPr>
        <w:t>门，微课</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3"/>
          <w:sz w:val="24"/>
          <w:szCs w:val="24"/>
        </w:rPr>
        <w:t>30</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3"/>
          <w:sz w:val="24"/>
          <w:szCs w:val="24"/>
        </w:rPr>
        <w:t>门，每门课程支持经费不少于</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3"/>
          <w:sz w:val="24"/>
          <w:szCs w:val="24"/>
        </w:rPr>
        <w:t>万元，培育省级及以上信息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化课程</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3-5</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5"/>
          <w:sz w:val="24"/>
          <w:szCs w:val="24"/>
        </w:rPr>
        <w:t>门。</w:t>
      </w:r>
    </w:p>
    <w:p>
      <w:pPr>
        <w:spacing w:before="8" w:line="315" w:lineRule="auto"/>
        <w:ind w:left="4" w:right="51" w:firstLine="504"/>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3、精品教材建设工程。</w:t>
      </w:r>
      <w:r>
        <w:rPr>
          <w:rFonts w:ascii="楷体" w:hAnsi="楷体" w:eastAsia="楷体" w:cs="楷体"/>
          <w:spacing w:val="52"/>
          <w:sz w:val="24"/>
          <w:szCs w:val="24"/>
        </w:rPr>
        <w:t xml:space="preserve"> </w:t>
      </w:r>
      <w:r>
        <w:rPr>
          <w:rFonts w:ascii="方正书宋简体" w:hAnsi="方正书宋简体" w:eastAsia="方正书宋简体" w:cs="方正书宋简体"/>
          <w:spacing w:val="-11"/>
          <w:sz w:val="24"/>
          <w:szCs w:val="24"/>
        </w:rPr>
        <w:t>在做好高质量教材选用和新教材推广工作的基础上，</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照“先进性、科学性、创新性与适用性”的原则，加强特色教材、校本教材、数字</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化教材的建设工作，通过精品教材建设工程固化专业建设、课程建设成果，支撑专</w:t>
      </w:r>
    </w:p>
    <w:p>
      <w:pPr>
        <w:sectPr>
          <w:footerReference r:id="rId18" w:type="default"/>
          <w:pgSz w:w="11905" w:h="16840"/>
          <w:pgMar w:top="1431" w:right="1534" w:bottom="1395" w:left="1588" w:header="0" w:footer="1253" w:gutter="0"/>
          <w:cols w:space="720" w:num="1"/>
        </w:sectPr>
      </w:pPr>
    </w:p>
    <w:p>
      <w:pPr>
        <w:spacing w:before="311" w:line="315" w:lineRule="auto"/>
        <w:ind w:left="2" w:right="1" w:hanging="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业办学的特色与优势。每年立项支持</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6"/>
          <w:sz w:val="24"/>
          <w:szCs w:val="24"/>
        </w:rPr>
        <w:t>部左右的精品教材编写工作，</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每部教材支持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经费不少于</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2</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sz w:val="24"/>
          <w:szCs w:val="24"/>
        </w:rPr>
        <w:t>万元。从立项的校级精品教材中择优向省厅及教育部推荐，</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参加省级、</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国家级优秀教材，规划教材的评选，力争建成</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
          <w:sz w:val="24"/>
          <w:szCs w:val="24"/>
        </w:rPr>
        <w:t>8-10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
          <w:sz w:val="24"/>
          <w:szCs w:val="24"/>
        </w:rPr>
        <w:t>部省级规划教材、3-5</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
          <w:sz w:val="24"/>
          <w:szCs w:val="24"/>
        </w:rPr>
        <w:t>部国家级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规划教材，撰写的教材特色鲜明、能被同类高校广泛采纳使用。</w:t>
      </w:r>
    </w:p>
    <w:p>
      <w:pPr>
        <w:spacing w:before="17" w:line="314" w:lineRule="auto"/>
        <w:ind w:firstLine="497"/>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4、实践教学支撑体系建设工程。</w:t>
      </w:r>
      <w:r>
        <w:rPr>
          <w:rFonts w:ascii="楷体" w:hAnsi="楷体" w:eastAsia="楷体" w:cs="楷体"/>
          <w:spacing w:val="74"/>
          <w:sz w:val="24"/>
          <w:szCs w:val="24"/>
        </w:rPr>
        <w:t xml:space="preserve"> </w:t>
      </w:r>
      <w:r>
        <w:rPr>
          <w:rFonts w:ascii="方正书宋简体" w:hAnsi="方正书宋简体" w:eastAsia="方正书宋简体" w:cs="方正书宋简体"/>
          <w:spacing w:val="-12"/>
          <w:sz w:val="24"/>
          <w:szCs w:val="24"/>
        </w:rPr>
        <w:t>投入</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2"/>
          <w:sz w:val="24"/>
          <w:szCs w:val="24"/>
        </w:rPr>
        <w:t>1000</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sz w:val="24"/>
          <w:szCs w:val="24"/>
        </w:rPr>
        <w:t>万元，</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2"/>
          <w:sz w:val="24"/>
          <w:szCs w:val="24"/>
        </w:rPr>
        <w:t>按照“校内校外、课内课外、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教学科研”相结合的原则，以校产政企合作为着力点，分类推进实践基地建设，非</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师范类专业，支持每个专业建设</w:t>
      </w:r>
      <w:r>
        <w:rPr>
          <w:rFonts w:ascii="方正书宋简体" w:hAnsi="方正书宋简体" w:eastAsia="方正书宋简体" w:cs="方正书宋简体"/>
          <w:spacing w:val="76"/>
          <w:w w:val="101"/>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
          <w:sz w:val="24"/>
          <w:szCs w:val="24"/>
        </w:rPr>
        <w:t>个校外实践教学基地，师范类专业，以大湘西省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级重点中学为依托，建设</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2"/>
          <w:sz w:val="24"/>
          <w:szCs w:val="24"/>
        </w:rPr>
        <w:t>24</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个师范生实践教学基地，在此基础上力争建成</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2"/>
          <w:sz w:val="24"/>
          <w:szCs w:val="24"/>
        </w:rPr>
        <w:t>10</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2"/>
          <w:sz w:val="24"/>
          <w:szCs w:val="24"/>
        </w:rPr>
        <w:t>个左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右省级校企合作实践教学示范基地，</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2-3</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个国家级大学生校外实践教学基地。对实验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室进行统一规划和分类管理，加强实验室内涵建设和硬件设施投入，争取建成</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
          <w:sz w:val="24"/>
          <w:szCs w:val="24"/>
        </w:rPr>
        <w:t>2-3</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个省级重点实验室，获得省级虚拟仿真实验室建设项目</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1"/>
          <w:sz w:val="24"/>
          <w:szCs w:val="24"/>
        </w:rPr>
        <w:t>2-3</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
          <w:sz w:val="24"/>
          <w:szCs w:val="24"/>
        </w:rPr>
        <w:t>个，获得省级大学生创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新训练中心</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2"/>
          <w:sz w:val="24"/>
          <w:szCs w:val="24"/>
        </w:rPr>
        <w:t>3-5</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个，建设国家级实验教学示范中心</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2"/>
          <w:sz w:val="24"/>
          <w:szCs w:val="24"/>
        </w:rPr>
        <w:t>1-2</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个；建立大学生科技创新实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践中心，</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0"/>
          <w:sz w:val="24"/>
          <w:szCs w:val="24"/>
        </w:rPr>
        <w:t>根据学院和学科专业的特点设置相应的创新工作室，</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0"/>
          <w:sz w:val="24"/>
          <w:szCs w:val="24"/>
        </w:rPr>
        <w:t>重点支持</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20</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项左右教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育主管部门主办的学科竞赛。通过上述项目的建设提高我校实践教学水平和质量，</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更新实践教学观念、优化实践教学队伍、改善实践教学条件、推进实践教学内容、</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方法、技术及实践教学模式的改革与创新，实现优质实践教学资源开放、共享，在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全校范围内建立高效运行的实践教学管理和运行机制，提高实践教学水平，构建以</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能力培养为核心的实践教学体系，加强学生的实践能力、创新精神和创业能力的培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养，全面提高学生的综合素质。</w:t>
      </w:r>
    </w:p>
    <w:p>
      <w:pPr>
        <w:spacing w:before="15" w:line="315" w:lineRule="auto"/>
        <w:ind w:right="96" w:firstLine="501"/>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5、基层教学组织建设工程。</w:t>
      </w:r>
      <w:r>
        <w:rPr>
          <w:rFonts w:ascii="楷体" w:hAnsi="楷体" w:eastAsia="楷体" w:cs="楷体"/>
          <w:spacing w:val="65"/>
          <w:sz w:val="24"/>
          <w:szCs w:val="24"/>
        </w:rPr>
        <w:t xml:space="preserve"> </w:t>
      </w:r>
      <w:r>
        <w:rPr>
          <w:rFonts w:ascii="方正书宋简体" w:hAnsi="方正书宋简体" w:eastAsia="方正书宋简体" w:cs="方正书宋简体"/>
          <w:spacing w:val="-6"/>
          <w:sz w:val="24"/>
          <w:szCs w:val="24"/>
        </w:rPr>
        <w:t>遴选和建设</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6"/>
          <w:sz w:val="24"/>
          <w:szCs w:val="24"/>
        </w:rPr>
        <w:t>个校级示范性教学团队，培育</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6"/>
          <w:sz w:val="24"/>
          <w:szCs w:val="24"/>
        </w:rPr>
        <w:t>3-5</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个省级教学团队，争创国家级教学团队。通过建设教学团队，建立教学合作机制，</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整合教学资源，促进教学内容与方法改革，形成教学研讨与交流氛围，帮助中青年</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教师提升教学水平。进一步加强基层教学组织建设，充分发挥教研室在教育教学中</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的作用和功能，调动教研室在人才培养中的积极性，树立典型，鼓励先进，设立优</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0"/>
          <w:sz w:val="24"/>
          <w:szCs w:val="24"/>
        </w:rPr>
        <w:t>秀教研室建设项目，</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立项支持</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0"/>
          <w:sz w:val="24"/>
          <w:szCs w:val="24"/>
        </w:rPr>
        <w:t>40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0"/>
          <w:sz w:val="24"/>
          <w:szCs w:val="24"/>
        </w:rPr>
        <w:t>个教研室进行建设。设立优秀实验室建设项目，</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持建设</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4"/>
          <w:sz w:val="24"/>
          <w:szCs w:val="24"/>
        </w:rPr>
        <w:t>15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4"/>
          <w:sz w:val="24"/>
          <w:szCs w:val="24"/>
        </w:rPr>
        <w:t>个优秀实验室建设项目。</w:t>
      </w:r>
    </w:p>
    <w:p>
      <w:pPr>
        <w:spacing w:before="4" w:line="315" w:lineRule="auto"/>
        <w:ind w:right="96" w:firstLine="500"/>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6、大学生创新性实验计划项目建设工程。</w:t>
      </w:r>
      <w:r>
        <w:rPr>
          <w:rFonts w:ascii="楷体" w:hAnsi="楷体" w:eastAsia="楷体" w:cs="楷体"/>
          <w:spacing w:val="53"/>
          <w:sz w:val="24"/>
          <w:szCs w:val="24"/>
        </w:rPr>
        <w:t xml:space="preserve"> </w:t>
      </w:r>
      <w:r>
        <w:rPr>
          <w:rFonts w:ascii="方正书宋简体" w:hAnsi="方正书宋简体" w:eastAsia="方正书宋简体" w:cs="方正书宋简体"/>
          <w:spacing w:val="-7"/>
          <w:sz w:val="24"/>
          <w:szCs w:val="24"/>
        </w:rPr>
        <w:t>每年遴选和建设</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7"/>
          <w:sz w:val="24"/>
          <w:szCs w:val="24"/>
        </w:rPr>
        <w:t>100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7"/>
          <w:sz w:val="24"/>
          <w:szCs w:val="24"/>
        </w:rPr>
        <w:t>个由在校大学生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主持的校级创新性实验项目，力争</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15-20</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
          <w:sz w:val="24"/>
          <w:szCs w:val="24"/>
        </w:rPr>
        <w:t>个省级创新性实验资助项目。通过本项目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的实施，建立以问题和课题为核心的教学模式，鼓励学生自主学习，激发学生的创</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新思维和创新意识，引入研究性学习和个性化培养的教学方式，使学生在本科阶段</w:t>
      </w:r>
    </w:p>
    <w:p>
      <w:pPr>
        <w:sectPr>
          <w:footerReference r:id="rId19" w:type="default"/>
          <w:pgSz w:w="11905" w:h="16840"/>
          <w:pgMar w:top="1431" w:right="1489" w:bottom="1395" w:left="1590" w:header="0" w:footer="1250" w:gutter="0"/>
          <w:cols w:space="720" w:num="1"/>
        </w:sectPr>
      </w:pPr>
    </w:p>
    <w:p>
      <w:pPr>
        <w:spacing w:before="313" w:line="238" w:lineRule="auto"/>
        <w:ind w:left="35" w:right="92"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得到科学研究与发明创造的训练，培养学生独立分析问题和解决问题的能力、培养</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学生的实践能力和创新能力。</w:t>
      </w:r>
    </w:p>
    <w:p>
      <w:pPr>
        <w:spacing w:before="219" w:line="290" w:lineRule="auto"/>
        <w:ind w:left="32" w:right="92" w:firstLine="500"/>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7、教学研究与教学改革项目工程。</w:t>
      </w:r>
      <w:r>
        <w:rPr>
          <w:rFonts w:ascii="楷体" w:hAnsi="楷体" w:eastAsia="楷体" w:cs="楷体"/>
          <w:spacing w:val="54"/>
          <w:sz w:val="24"/>
          <w:szCs w:val="24"/>
        </w:rPr>
        <w:t xml:space="preserve"> </w:t>
      </w:r>
      <w:r>
        <w:rPr>
          <w:rFonts w:ascii="方正书宋简体" w:hAnsi="方正书宋简体" w:eastAsia="方正书宋简体" w:cs="方正书宋简体"/>
          <w:spacing w:val="-12"/>
          <w:sz w:val="24"/>
          <w:szCs w:val="24"/>
        </w:rPr>
        <w:t>围绕人才培养模式的创新，</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2"/>
          <w:sz w:val="24"/>
          <w:szCs w:val="24"/>
        </w:rPr>
        <w:t>每年立项资助</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2"/>
          <w:sz w:val="24"/>
          <w:szCs w:val="24"/>
        </w:rPr>
        <w:t>80</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项校级教育改革项目，每年力争</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
          <w:sz w:val="24"/>
          <w:szCs w:val="24"/>
        </w:rPr>
        <w:t>15-20</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
          <w:sz w:val="24"/>
          <w:szCs w:val="24"/>
        </w:rPr>
        <w:t>项省级高等教育改革项目。每两年评选一次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校级优秀教学成果奖，力争一批省级以上优秀教学成果奖。通过建设人才培养模式</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创新研究，促进教学内容、课程设置、实践环节、素质教育等方面的改革，改善创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新性人才培养模式，推进教学理念、管理机制的革新，培养国家、社会紧缺的复合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型创新人才和应用人才。</w:t>
      </w:r>
    </w:p>
    <w:p>
      <w:pPr>
        <w:spacing w:before="205" w:line="180" w:lineRule="auto"/>
        <w:ind w:firstLine="53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四、建设资金与组织管理</w:t>
      </w:r>
    </w:p>
    <w:p>
      <w:pPr>
        <w:spacing w:before="148" w:line="314" w:lineRule="auto"/>
        <w:ind w:left="30" w:firstLine="505"/>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1、设立本科教学工程建设专项资金</w:t>
      </w:r>
      <w:r>
        <w:rPr>
          <w:rFonts w:ascii="方正书宋简体" w:hAnsi="方正书宋简体" w:eastAsia="方正书宋简体" w:cs="方正书宋简体"/>
          <w:spacing w:val="-6"/>
          <w:sz w:val="24"/>
          <w:szCs w:val="24"/>
        </w:rPr>
        <w:t>。在学校教学经费年度预算中，</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按照本方案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设置的建设项目安排相关建设资金。本科教学工程建设专项资金按照统一规划、单</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6"/>
          <w:sz w:val="24"/>
          <w:szCs w:val="24"/>
        </w:rPr>
        <w:t>独核算、专款专用的原则，</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6"/>
          <w:sz w:val="24"/>
          <w:szCs w:val="24"/>
        </w:rPr>
        <w:t>实行项目管理。学校教务处负责项目经费的使用和管理。</w:t>
      </w:r>
    </w:p>
    <w:p>
      <w:pPr>
        <w:spacing w:before="5" w:line="278" w:lineRule="auto"/>
        <w:ind w:left="34" w:right="69" w:firstLine="496"/>
        <w:rPr>
          <w:rFonts w:ascii="方正书宋简体" w:hAnsi="方正书宋简体" w:eastAsia="方正书宋简体" w:cs="方正书宋简体"/>
          <w:sz w:val="24"/>
          <w:szCs w:val="24"/>
        </w:rPr>
      </w:pPr>
      <w:r>
        <w:rPr>
          <w:rFonts w:ascii="楷体" w:hAnsi="楷体" w:eastAsia="楷体" w:cs="楷体"/>
          <w:spacing w:val="-1"/>
          <w:sz w:val="24"/>
          <w:szCs w:val="24"/>
          <w14:textOutline w14:w="3048" w14:cap="flat" w14:cmpd="sng">
            <w14:solidFill>
              <w14:srgbClr w14:val="000000"/>
            </w14:solidFill>
            <w14:prstDash w14:val="solid"/>
            <w14:miter w14:val="1"/>
          </w14:textOutline>
        </w:rPr>
        <w:t>2、加强本科教学工程的组织领导</w:t>
      </w:r>
      <w:r>
        <w:rPr>
          <w:rFonts w:ascii="方正书宋简体" w:hAnsi="方正书宋简体" w:eastAsia="方正书宋简体" w:cs="方正书宋简体"/>
          <w:spacing w:val="-1"/>
          <w:sz w:val="24"/>
          <w:szCs w:val="24"/>
        </w:rPr>
        <w:t>。成立由校长任组长、主管副校长任副组长、</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相关职能部门负责人参加的本科教学工程领导小组。协商解决本科教学工程的重大</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方针政策和总体规划，制定经费项目管理办法。领导小组下设办公室，办公室设教</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务处，具体负责本科教学工程的日常工作。</w:t>
      </w:r>
    </w:p>
    <w:p>
      <w:pPr>
        <w:spacing w:before="217" w:line="315" w:lineRule="auto"/>
        <w:ind w:left="30" w:right="83" w:firstLine="509"/>
        <w:rPr>
          <w:rFonts w:ascii="方正书宋简体" w:hAnsi="方正书宋简体" w:eastAsia="方正书宋简体" w:cs="方正书宋简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3、强化本科教学工程项目的建设管理</w:t>
      </w:r>
      <w:r>
        <w:rPr>
          <w:rFonts w:ascii="方正书宋简体" w:hAnsi="方正书宋简体" w:eastAsia="方正书宋简体" w:cs="方正书宋简体"/>
          <w:spacing w:val="-2"/>
          <w:sz w:val="24"/>
          <w:szCs w:val="24"/>
        </w:rPr>
        <w:t>。项目承担学院和主持人要按照学校统一</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3"/>
          <w:sz w:val="24"/>
          <w:szCs w:val="24"/>
        </w:rPr>
        <w:t>部署，根据本科教学工程的总体目标和任务，</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3"/>
          <w:sz w:val="24"/>
          <w:szCs w:val="24"/>
        </w:rPr>
        <w:t>依据所承担项目的要求，确定项目建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设实施方案，组织项目实施，并保证项目建设达到预期成效。本科教学工程领导小</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7"/>
          <w:sz w:val="24"/>
          <w:szCs w:val="24"/>
        </w:rPr>
        <w:t>组办公室将加强对本科教学工程建设项目的检查和评估，</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7"/>
          <w:sz w:val="24"/>
          <w:szCs w:val="24"/>
        </w:rPr>
        <w:t>并根据检查、评估的结果，</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7"/>
          <w:sz w:val="24"/>
          <w:szCs w:val="24"/>
        </w:rPr>
        <w:t>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有关项目和资金进行调整。建设项目完成后，组织专家会同相关部门进行结项验收。</w:t>
      </w:r>
    </w:p>
    <w:p>
      <w:pPr>
        <w:sectPr>
          <w:footerReference r:id="rId20" w:type="default"/>
          <w:pgSz w:w="11905" w:h="16840"/>
          <w:pgMar w:top="1431" w:right="1493" w:bottom="1395" w:left="1557" w:header="0" w:footer="1250" w:gutter="0"/>
          <w:cols w:space="720" w:num="1"/>
        </w:sectPr>
      </w:pPr>
    </w:p>
    <w:p>
      <w:pPr>
        <w:spacing w:before="235" w:line="180" w:lineRule="auto"/>
        <w:ind w:firstLine="72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吉首大学关于推进校企合作人才培养模式改革的意见</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1" w:lineRule="auto"/>
        <w:rPr>
          <w:rFonts w:ascii="Malgun Gothic"/>
          <w:sz w:val="21"/>
        </w:rPr>
      </w:pPr>
    </w:p>
    <w:p>
      <w:pPr>
        <w:spacing w:before="86" w:line="314" w:lineRule="auto"/>
        <w:ind w:left="33" w:right="77"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为贯彻落实《国家中长期教育改革和发展规划纲要（2010-2020）》、教育部《关</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
          <w:sz w:val="24"/>
          <w:szCs w:val="24"/>
        </w:rPr>
        <w:t>于全面提高高等教育质量的若干意见》（教高[2012]4</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
          <w:sz w:val="24"/>
          <w:szCs w:val="24"/>
        </w:rPr>
        <w:t>号）、湖南省教育厅《关于启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动实施湖南省普通高校“十二五”专业综合改革试点项目的通知》</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8"/>
          <w:sz w:val="24"/>
          <w:szCs w:val="24"/>
        </w:rPr>
        <w:t>（湘教通[2012]112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号）文件精神，切实提高学校人才培养的社会适应性，构建高校与企业合作培养人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才的体制机制，强化学生的专业技能培养与企业岗位要求之间的无缝对接，实现学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生课程知识学习与实践创新能力培养的有机结合，进一步提高与区域内行业企业结</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合紧密的应用性本科专业的办学水平与人才培养质量，更好地为区域经济社会发展</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提供人才支持与社会服务，根据学校教育教学改革与人才培养的总体目标与要求，</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现就推进校企合作人才培养模式改革提出如下意见。</w:t>
      </w:r>
    </w:p>
    <w:p>
      <w:pPr>
        <w:spacing w:before="5" w:line="199"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一、校企合作人才培养模式改革的重要意义</w:t>
      </w:r>
    </w:p>
    <w:p>
      <w:pPr>
        <w:spacing w:before="117" w:line="315" w:lineRule="auto"/>
        <w:ind w:left="35" w:right="77"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1、校企合作人才培养模式改革体现了以需求为导向的办学宗旨，</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是主动适应经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济社会发展的重要体现。大力推行校企合作人才培养模式改革，能有效促进紧贴区</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域经济社会发展的应用性本科专业理清专业办学思路，主动调整专业办学定位，优</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化课程设置、推进教学内容和教学方法改革。</w:t>
      </w:r>
    </w:p>
    <w:p>
      <w:pPr>
        <w:spacing w:before="4" w:line="315" w:lineRule="auto"/>
        <w:ind w:left="36"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2、校企合作人才培养模式改革，</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11"/>
          <w:sz w:val="24"/>
          <w:szCs w:val="24"/>
        </w:rPr>
        <w:t>是学校实现开放办学的重要举措，</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是构建高校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与企业行业产业协同培养创新创业人才的重要平台，是解决学校应用性本科专业办</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学资源相对短缺的重要方法，是实现学校与区域经济社会发展良性互动，提高学校</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服务区域经济社会发展能力的重要路径。</w:t>
      </w:r>
    </w:p>
    <w:p>
      <w:pPr>
        <w:spacing w:before="3" w:line="277" w:lineRule="auto"/>
        <w:ind w:left="31" w:right="77"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3、校企合作人才培养模式改革是按照区域经济社会发展的人才需求和行业企业</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产业岗位职业技能的新变化与新发展，对应不同岗位的要求设置相应的人才培养环</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节与人才培养阶段，通过调整不同阶段的培养目标来满足不同岗位的需要，并以此</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
          <w:sz w:val="24"/>
          <w:szCs w:val="24"/>
        </w:rPr>
        <w:t>来提高人才培养的社会适应性，实现全面提高人才培养质量的目标与要求。</w:t>
      </w:r>
    </w:p>
    <w:p>
      <w:pPr>
        <w:spacing w:before="204"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二、校企合作人才培养模式改革的主要原则</w:t>
      </w:r>
    </w:p>
    <w:p>
      <w:pPr>
        <w:spacing w:before="147" w:line="316" w:lineRule="auto"/>
        <w:ind w:left="35" w:firstLine="501"/>
        <w:rPr>
          <w:rFonts w:ascii="方正书宋简体" w:hAnsi="方正书宋简体" w:eastAsia="方正书宋简体" w:cs="方正书宋简体"/>
          <w:sz w:val="24"/>
          <w:szCs w:val="24"/>
        </w:rPr>
      </w:pPr>
      <w:r>
        <w:rPr>
          <w:rFonts w:ascii="楷体" w:hAnsi="楷体" w:eastAsia="楷体" w:cs="楷体"/>
          <w:spacing w:val="-10"/>
          <w:sz w:val="24"/>
          <w:szCs w:val="24"/>
          <w14:textOutline w14:w="3048" w14:cap="flat" w14:cmpd="sng">
            <w14:solidFill>
              <w14:srgbClr w14:val="000000"/>
            </w14:solidFill>
            <w14:prstDash w14:val="solid"/>
            <w14:miter w14:val="1"/>
          </w14:textOutline>
        </w:rPr>
        <w:t>1、开放共享的原则</w:t>
      </w:r>
      <w:r>
        <w:rPr>
          <w:rFonts w:ascii="方正书宋简体" w:hAnsi="方正书宋简体" w:eastAsia="方正书宋简体" w:cs="方正书宋简体"/>
          <w:spacing w:val="-10"/>
          <w:sz w:val="24"/>
          <w:szCs w:val="24"/>
        </w:rPr>
        <w:t>。学校与合作培养人才的行业企业产业，</w:t>
      </w:r>
      <w:r>
        <w:rPr>
          <w:rFonts w:ascii="方正书宋简体" w:hAnsi="方正书宋简体" w:eastAsia="方正书宋简体" w:cs="方正书宋简体"/>
          <w:spacing w:val="83"/>
          <w:sz w:val="24"/>
          <w:szCs w:val="24"/>
        </w:rPr>
        <w:t xml:space="preserve"> </w:t>
      </w:r>
      <w:r>
        <w:rPr>
          <w:rFonts w:ascii="方正书宋简体" w:hAnsi="方正书宋简体" w:eastAsia="方正书宋简体" w:cs="方正书宋简体"/>
          <w:spacing w:val="-10"/>
          <w:sz w:val="24"/>
          <w:szCs w:val="24"/>
        </w:rPr>
        <w:t>通过签订合作协议，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在教学场地、教学仪器设备、实验室、实践基地、研发中心、生产车间、服务场所</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等方面向彼此开放，各种研究成果、技术创新，人力资源、生产资源、管理资源充</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分共享，通过开放共享，实现学校与企业行业产业资源的互补。</w:t>
      </w:r>
    </w:p>
    <w:p>
      <w:pPr>
        <w:sectPr>
          <w:footerReference r:id="rId21" w:type="default"/>
          <w:pgSz w:w="11905" w:h="16840"/>
          <w:pgMar w:top="1431" w:right="1507" w:bottom="1395" w:left="1557" w:header="0" w:footer="1250" w:gutter="0"/>
          <w:cols w:space="720" w:num="1"/>
        </w:sectPr>
      </w:pPr>
    </w:p>
    <w:p>
      <w:pPr>
        <w:spacing w:before="313" w:line="285" w:lineRule="auto"/>
        <w:ind w:left="32" w:right="94" w:firstLine="498"/>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2、互利共赢的原则。</w:t>
      </w:r>
      <w:r>
        <w:rPr>
          <w:rFonts w:ascii="楷体" w:hAnsi="楷体" w:eastAsia="楷体" w:cs="楷体"/>
          <w:spacing w:val="60"/>
          <w:sz w:val="24"/>
          <w:szCs w:val="24"/>
        </w:rPr>
        <w:t xml:space="preserve"> </w:t>
      </w:r>
      <w:r>
        <w:rPr>
          <w:rFonts w:ascii="方正书宋简体" w:hAnsi="方正书宋简体" w:eastAsia="方正书宋简体" w:cs="方正书宋简体"/>
          <w:spacing w:val="-11"/>
          <w:sz w:val="24"/>
          <w:szCs w:val="24"/>
        </w:rPr>
        <w:t>通过校企合作人才培养模式改革，</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有效解决学校实践教学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资源短缺，技能型师资不足，人才培养与企业行业产业岗位职业能力需求不适应的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状况，提高人才培养的岗位适应性。企业行业产业方面通过与学校合作培养人才，</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能够按照自己的需求来参与人才培养，缩短人才适应岗位的时间，降低企业行业产</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业人才培训和人才使用的成本，同时获得在学校优先选拔相应专业人才的权力。</w:t>
      </w:r>
    </w:p>
    <w:p>
      <w:pPr>
        <w:spacing w:before="217" w:line="290" w:lineRule="auto"/>
        <w:ind w:left="33" w:right="94" w:firstLine="506"/>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3、质量提升的原则。</w:t>
      </w:r>
      <w:r>
        <w:rPr>
          <w:rFonts w:ascii="楷体" w:hAnsi="楷体" w:eastAsia="楷体" w:cs="楷体"/>
          <w:spacing w:val="47"/>
          <w:sz w:val="24"/>
          <w:szCs w:val="24"/>
        </w:rPr>
        <w:t xml:space="preserve"> </w:t>
      </w:r>
      <w:r>
        <w:rPr>
          <w:rFonts w:ascii="方正书宋简体" w:hAnsi="方正书宋简体" w:eastAsia="方正书宋简体" w:cs="方正书宋简体"/>
          <w:spacing w:val="-11"/>
          <w:sz w:val="24"/>
          <w:szCs w:val="24"/>
        </w:rPr>
        <w:t>通过校企合作人才培养模式改革，</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提高学校专业人才培养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的社会适应性，优化学校的学科专业结构，调整人才培养的规格和内涵要求，强化</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学生职业技能和岗位技能的培养，使学生的实践动手能力、创新创业能力得到全面</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的提升，人才培养质量实现大幅的提高。企业行业产业方面，借助高校强大的科技</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与智力支持，推动企业行业产业转型升级、差异发展，提高企业的发展能力与发展</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水平，提高企业行业产业的核心竞争力。</w:t>
      </w:r>
    </w:p>
    <w:p>
      <w:pPr>
        <w:spacing w:before="204" w:line="18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三、校企合作人才培养模式改革的目标</w:t>
      </w:r>
    </w:p>
    <w:p>
      <w:pPr>
        <w:spacing w:before="155" w:line="296" w:lineRule="auto"/>
        <w:ind w:left="35"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以紧贴区域经济社会发展的工科类专业为先导、大力推进医学类、应用性理科、</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文科专业与相关的企业行业产业开展校企合作人才培养模式改革，通过四年的大力</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3"/>
          <w:sz w:val="24"/>
          <w:szCs w:val="24"/>
        </w:rPr>
        <w:t>推进，初步实现以岗位职业能力培养为核心，</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以分类分段培养为方式，以校企联合</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2"/>
          <w:sz w:val="24"/>
          <w:szCs w:val="24"/>
        </w:rPr>
        <w:t>培养为手段的校企合作人才培养模式的整体构建，形成适应校企合作人才培养的体</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制机制和支持保障体系，学生的岗位职业技能和职业素养得到大幅提升，学校的办</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学能力与办学水平进一步增强，面向企业产业产业的应用性专业群初步形成，专业</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1"/>
          <w:sz w:val="24"/>
          <w:szCs w:val="24"/>
        </w:rPr>
        <w:t>的办学特色更加鲜明，比较优势更加突出，形成</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10-15</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
          <w:sz w:val="24"/>
          <w:szCs w:val="24"/>
        </w:rPr>
        <w:t>个人才培养质量高、社会影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响力大、社会认可度高的优势品牌专业。</w:t>
      </w:r>
    </w:p>
    <w:p>
      <w:pPr>
        <w:spacing w:before="204" w:line="180" w:lineRule="auto"/>
        <w:ind w:firstLine="538"/>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w:t>
      </w:r>
      <w:r>
        <w:rPr>
          <w:rFonts w:ascii="Microsoft JhengHei" w:hAnsi="Microsoft JhengHei" w:eastAsia="Microsoft JhengHei" w:cs="Microsoft JhengHei"/>
          <w:spacing w:val="-21"/>
          <w:sz w:val="24"/>
          <w:szCs w:val="24"/>
        </w:rPr>
        <w:t xml:space="preserve"> </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50"/>
          <w:sz w:val="24"/>
          <w:szCs w:val="24"/>
        </w:rPr>
        <w:t xml:space="preserve"> </w:t>
      </w:r>
      <w:r>
        <w:rPr>
          <w:rFonts w:ascii="Microsoft JhengHei" w:hAnsi="Microsoft JhengHei" w:eastAsia="Microsoft JhengHei" w:cs="Microsoft JhengHei"/>
          <w:spacing w:val="-4"/>
          <w:sz w:val="24"/>
          <w:szCs w:val="24"/>
        </w:rPr>
        <w:t>校企合作人才培养模式改革的主要内容</w:t>
      </w:r>
    </w:p>
    <w:p>
      <w:pPr>
        <w:spacing w:before="145" w:line="315" w:lineRule="auto"/>
        <w:ind w:left="32" w:right="94" w:firstLine="504"/>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1、调整才培养目标，</w:t>
      </w:r>
      <w:r>
        <w:rPr>
          <w:rFonts w:ascii="楷体" w:hAnsi="楷体" w:eastAsia="楷体" w:cs="楷体"/>
          <w:spacing w:val="45"/>
          <w:sz w:val="24"/>
          <w:szCs w:val="24"/>
        </w:rPr>
        <w:t xml:space="preserve"> </w:t>
      </w:r>
      <w:r>
        <w:rPr>
          <w:rFonts w:ascii="楷体" w:hAnsi="楷体" w:eastAsia="楷体" w:cs="楷体"/>
          <w:spacing w:val="-11"/>
          <w:sz w:val="24"/>
          <w:szCs w:val="24"/>
          <w14:textOutline w14:w="3048" w14:cap="flat" w14:cmpd="sng">
            <w14:solidFill>
              <w14:srgbClr w14:val="000000"/>
            </w14:solidFill>
            <w14:prstDash w14:val="solid"/>
            <w14:miter w14:val="1"/>
          </w14:textOutline>
        </w:rPr>
        <w:t>修订人才培养方案</w:t>
      </w:r>
      <w:r>
        <w:rPr>
          <w:rFonts w:ascii="方正书宋简体" w:hAnsi="方正书宋简体" w:eastAsia="方正书宋简体" w:cs="方正书宋简体"/>
          <w:spacing w:val="-11"/>
          <w:sz w:val="24"/>
          <w:szCs w:val="24"/>
        </w:rPr>
        <w:t>。以专业为单位，</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与签约企业行业产业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共同研究，将企业行业产业典型工作岗位的要求提炼出来，明确相关岗位或岗位群</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需要的知识和技能点，共同研究并形成相关专业人才的培养目标。按照人才培养目</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标要求，结合企业实际生产过程和真实生产任务，科学构建人才培养的课程体系、</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合理设置人才培养的环节与阶段、制定相应专业的人才培养质量标准，努力把知识</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传授和技能培养紧密结合起来，增强课程的灵活性、适应性和实践性，并为学生适</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应相应的工作岗位奠定良好的基础。</w:t>
      </w:r>
    </w:p>
    <w:p>
      <w:pPr>
        <w:shd w:val="clear" w:fill="FFFFFF"/>
        <w:spacing w:before="6" w:line="327" w:lineRule="auto"/>
        <w:ind w:left="31" w:right="94" w:firstLine="499"/>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2、开发符合企业岗位技能需要的课程、教材体系。</w:t>
      </w:r>
      <w:r>
        <w:rPr>
          <w:rFonts w:ascii="楷体" w:hAnsi="楷体" w:eastAsia="楷体" w:cs="楷体"/>
          <w:spacing w:val="39"/>
          <w:sz w:val="24"/>
          <w:szCs w:val="24"/>
        </w:rPr>
        <w:t xml:space="preserve"> </w:t>
      </w:r>
      <w:r>
        <w:rPr>
          <w:rFonts w:ascii="方正书宋简体" w:hAnsi="方正书宋简体" w:eastAsia="方正书宋简体" w:cs="方正书宋简体"/>
          <w:spacing w:val="-6"/>
          <w:sz w:val="24"/>
          <w:szCs w:val="24"/>
        </w:rPr>
        <w:t>相应专业应根据区域经济社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会发展规划和行业企业产业人才需求特点设置课程与编写教材。课程与教材体系应</w:t>
      </w:r>
    </w:p>
    <w:p>
      <w:pPr>
        <w:sectPr>
          <w:footerReference r:id="rId22" w:type="default"/>
          <w:pgSz w:w="11905" w:h="16840"/>
          <w:pgMar w:top="1431" w:right="1491" w:bottom="1395" w:left="1557" w:header="0" w:footer="1250" w:gutter="0"/>
          <w:cols w:space="720" w:num="1"/>
        </w:sectPr>
      </w:pPr>
    </w:p>
    <w:p>
      <w:pPr>
        <w:spacing w:before="315" w:line="310" w:lineRule="auto"/>
        <w:ind w:left="33" w:right="29" w:firstLine="20"/>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以企业真实生产过程、生产工艺、工作任务为基础，按照技能型人才培养的要求，</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与企业专业技术人员合作开展专业技能课程开发，共同编写校本教材，通过校企合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作，开发能够代表企业行业产业技术发展和服务标准的课程和教材，为面向岗位的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技能型人才培养提供保障。</w:t>
      </w:r>
    </w:p>
    <w:p>
      <w:pPr>
        <w:spacing w:before="25" w:line="294" w:lineRule="auto"/>
        <w:ind w:left="33" w:right="29" w:firstLine="506"/>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3、加强师资交流，</w:t>
      </w:r>
      <w:r>
        <w:rPr>
          <w:rFonts w:ascii="楷体" w:hAnsi="楷体" w:eastAsia="楷体" w:cs="楷体"/>
          <w:spacing w:val="72"/>
          <w:sz w:val="24"/>
          <w:szCs w:val="24"/>
        </w:rPr>
        <w:t xml:space="preserve"> </w:t>
      </w:r>
      <w:r>
        <w:rPr>
          <w:rFonts w:ascii="楷体" w:hAnsi="楷体" w:eastAsia="楷体" w:cs="楷体"/>
          <w:spacing w:val="-12"/>
          <w:sz w:val="24"/>
          <w:szCs w:val="24"/>
          <w14:textOutline w14:w="3048" w14:cap="flat" w14:cmpd="sng">
            <w14:solidFill>
              <w14:srgbClr w14:val="000000"/>
            </w14:solidFill>
            <w14:prstDash w14:val="solid"/>
            <w14:miter w14:val="1"/>
          </w14:textOutline>
        </w:rPr>
        <w:t>建设“双师型”教师队伍。</w:t>
      </w:r>
      <w:r>
        <w:rPr>
          <w:rFonts w:ascii="楷体" w:hAnsi="楷体" w:eastAsia="楷体" w:cs="楷体"/>
          <w:spacing w:val="46"/>
          <w:sz w:val="24"/>
          <w:szCs w:val="24"/>
        </w:rPr>
        <w:t xml:space="preserve"> </w:t>
      </w:r>
      <w:r>
        <w:rPr>
          <w:rFonts w:ascii="方正书宋简体" w:hAnsi="方正书宋简体" w:eastAsia="方正书宋简体" w:cs="方正书宋简体"/>
          <w:spacing w:val="-12"/>
          <w:sz w:val="24"/>
          <w:szCs w:val="24"/>
        </w:rPr>
        <w:t>学校出台校企合作人才培养模式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改革专业教师到企业实习实践的制度与政策，</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协调合作企业行业产业提供教师到生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产一线见习和实践的机会，使专业教师更多地了解企业行业产业技术发展、装备现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状及未来学生工作岗位知识和技能需求。切实加强教师实践技能的培养，有计划地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派遣教师到对口企业生产第一线进行实践锻炼，深入生产实际，提高专业技能。合</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作企业行业产业的业务骨干可以积极申请作为实践教学教师指导学生开展实习实践</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技能的培养，提高校企合作专业的师资水平。</w:t>
      </w:r>
    </w:p>
    <w:p>
      <w:pPr>
        <w:spacing w:before="217" w:line="290" w:lineRule="auto"/>
        <w:ind w:left="34" w:right="29" w:firstLine="495"/>
        <w:rPr>
          <w:rFonts w:ascii="方正书宋简体" w:hAnsi="方正书宋简体" w:eastAsia="方正书宋简体" w:cs="方正书宋简体"/>
          <w:sz w:val="24"/>
          <w:szCs w:val="24"/>
        </w:rPr>
      </w:pPr>
      <w:r>
        <w:rPr>
          <w:rFonts w:ascii="楷体" w:hAnsi="楷体" w:eastAsia="楷体" w:cs="楷体"/>
          <w:spacing w:val="-2"/>
          <w:sz w:val="24"/>
          <w:szCs w:val="24"/>
          <w14:textOutline w14:w="3048" w14:cap="flat" w14:cmpd="sng">
            <w14:solidFill>
              <w14:srgbClr w14:val="000000"/>
            </w14:solidFill>
            <w14:prstDash w14:val="solid"/>
            <w14:miter w14:val="1"/>
          </w14:textOutline>
        </w:rPr>
        <w:t>4、专业与企业共建实践教学基地</w:t>
      </w:r>
      <w:r>
        <w:rPr>
          <w:rFonts w:ascii="方正书宋简体" w:hAnsi="方正书宋简体" w:eastAsia="方正书宋简体" w:cs="方正书宋简体"/>
          <w:spacing w:val="-2"/>
          <w:sz w:val="24"/>
          <w:szCs w:val="24"/>
        </w:rPr>
        <w:t>。校企合作人才培养模式改革专业应按照“功</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能完善、设施齐全、师资到位”的要求，与企业合作建设一批标准化校内外实践教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学基地。对企业在生产区投资设立的教学场所，以及企业在学校投资设立的生产性</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实训基地，给予一定比例的经费支持。通过共建实践教学基地，不断完善相关专业</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的技能教室和实训场地，提供学生“学中做，</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做中学”的教学实践环境，帮助学生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养成良好的职业操守和工作习惯，具备较强的工作技能。</w:t>
      </w:r>
    </w:p>
    <w:p>
      <w:pPr>
        <w:spacing w:before="214" w:line="290" w:lineRule="auto"/>
        <w:ind w:left="33" w:right="26" w:firstLine="500"/>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5、改革课程评价体系与考核方式。</w:t>
      </w:r>
      <w:r>
        <w:rPr>
          <w:rFonts w:ascii="楷体" w:hAnsi="楷体" w:eastAsia="楷体" w:cs="楷体"/>
          <w:spacing w:val="35"/>
          <w:sz w:val="24"/>
          <w:szCs w:val="24"/>
        </w:rPr>
        <w:t xml:space="preserve"> </w:t>
      </w:r>
      <w:r>
        <w:rPr>
          <w:rFonts w:ascii="方正书宋简体" w:hAnsi="方正书宋简体" w:eastAsia="方正书宋简体" w:cs="方正书宋简体"/>
          <w:spacing w:val="-6"/>
          <w:sz w:val="24"/>
          <w:szCs w:val="24"/>
        </w:rPr>
        <w:t>制定校企合作人才培养模式下的教学质量评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价体系、学生综合素质评价体系、实习实训评价与考核制度。各校企合作专业要积</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极探索多形式、多元化的考核方式，尤其对顶岗实习的考核，应根据两个不同实习</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阶段的主要目的分别考核，要加强对职业能力的测试与考核，要突出企业对学生的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考核。学生在顶岗实习，综合实训和生产实习阶段的考核按照课程考核进行管理和</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成绩评定。</w:t>
      </w:r>
    </w:p>
    <w:p>
      <w:pPr>
        <w:spacing w:before="217" w:line="285" w:lineRule="auto"/>
        <w:ind w:left="33" w:right="26" w:firstLine="499"/>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6、开展订单式合作培养人才。</w:t>
      </w:r>
      <w:r>
        <w:rPr>
          <w:rFonts w:ascii="楷体" w:hAnsi="楷体" w:eastAsia="楷体" w:cs="楷体"/>
          <w:spacing w:val="75"/>
          <w:sz w:val="24"/>
          <w:szCs w:val="24"/>
        </w:rPr>
        <w:t xml:space="preserve"> </w:t>
      </w:r>
      <w:r>
        <w:rPr>
          <w:rFonts w:ascii="方正书宋简体" w:hAnsi="方正书宋简体" w:eastAsia="方正书宋简体" w:cs="方正书宋简体"/>
          <w:spacing w:val="-7"/>
          <w:sz w:val="24"/>
          <w:szCs w:val="24"/>
        </w:rPr>
        <w:t>专业以企业行业产业用人协议（订单）为依据，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根据企业的用人要求组织人才培养工作，实现产销对接，对口培养。鼓励进入校企</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合作人才培养模式改革的专业与区域内龙头企业合作开展人才联合培养，对与区域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内龙头企业合作开展订单培养的专业在教学运行、教学管理与培养资源配置方面进</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行改革与探索。</w:t>
      </w:r>
    </w:p>
    <w:p>
      <w:pPr>
        <w:spacing w:before="216" w:line="315" w:lineRule="auto"/>
        <w:ind w:left="34" w:right="26" w:firstLine="498"/>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7、鼓励应用技术研究与开发。</w:t>
      </w:r>
      <w:r>
        <w:rPr>
          <w:rFonts w:ascii="楷体" w:hAnsi="楷体" w:eastAsia="楷体" w:cs="楷体"/>
          <w:spacing w:val="75"/>
          <w:sz w:val="24"/>
          <w:szCs w:val="24"/>
        </w:rPr>
        <w:t xml:space="preserve"> </w:t>
      </w:r>
      <w:r>
        <w:rPr>
          <w:rFonts w:ascii="方正书宋简体" w:hAnsi="方正书宋简体" w:eastAsia="方正书宋简体" w:cs="方正书宋简体"/>
          <w:spacing w:val="-7"/>
          <w:sz w:val="24"/>
          <w:szCs w:val="24"/>
        </w:rPr>
        <w:t>鼓励校企合作专业充分利用实验实训设备设施，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联合行业企业共同设立行业性技术研发机构，</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对共同成立研发平台的，根据投入与</w:t>
      </w:r>
    </w:p>
    <w:p>
      <w:pPr>
        <w:sectPr>
          <w:footerReference r:id="rId23" w:type="default"/>
          <w:pgSz w:w="11905" w:h="16840"/>
          <w:pgMar w:top="1431" w:right="1556" w:bottom="1395" w:left="1557" w:header="0" w:footer="1250" w:gutter="0"/>
          <w:cols w:space="720" w:num="1"/>
        </w:sectPr>
      </w:pPr>
    </w:p>
    <w:p>
      <w:pPr>
        <w:spacing w:before="313" w:line="264" w:lineRule="auto"/>
        <w:ind w:left="33" w:right="2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绩效，给予专业相应的经费补助和项目支持。</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鼓励专业教师与行业企业产业专业技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术人员共同组建技术攻关团队，带领相关专业学生开展应用技术开发与推广，对取</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得了研究成果按照学校教学与科研成果的奖励标准进行奖励。</w:t>
      </w:r>
    </w:p>
    <w:p>
      <w:pPr>
        <w:spacing w:before="206" w:line="180" w:lineRule="auto"/>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五、校企合作人才培养改革的保障措施</w:t>
      </w:r>
    </w:p>
    <w:p>
      <w:pPr>
        <w:spacing w:before="150" w:line="315" w:lineRule="auto"/>
        <w:ind w:left="33" w:right="28" w:firstLine="503"/>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1、加强组织领导。</w:t>
      </w:r>
      <w:r>
        <w:rPr>
          <w:rFonts w:ascii="楷体" w:hAnsi="楷体" w:eastAsia="楷体" w:cs="楷体"/>
          <w:spacing w:val="46"/>
          <w:sz w:val="24"/>
          <w:szCs w:val="24"/>
        </w:rPr>
        <w:t xml:space="preserve"> </w:t>
      </w:r>
      <w:r>
        <w:rPr>
          <w:rFonts w:ascii="方正书宋简体" w:hAnsi="方正书宋简体" w:eastAsia="方正书宋简体" w:cs="方正书宋简体"/>
          <w:spacing w:val="-11"/>
          <w:sz w:val="24"/>
          <w:szCs w:val="24"/>
        </w:rPr>
        <w:t>学校专门成立校企合作人才培养模式改革领导小组，</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主管校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长担任领导小组组长，教务处、实验室与设备管理中心、人事处、财务处、校地合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作办公室、科技处等职能部门的主要负责人任领导小组成员，办公室设教务处，教</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务处长任办公室主任。领导小组负责学校校企合作人才培养模式改革的顶层设计、</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统筹规划，政策制定，支持体系改革等任务。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教务处负责校企合作人才培养模式改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革的具体推进和实施。</w:t>
      </w:r>
    </w:p>
    <w:p>
      <w:pPr>
        <w:spacing w:before="2" w:line="315" w:lineRule="auto"/>
        <w:ind w:left="31" w:right="28" w:firstLine="499"/>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2、安排改革专项经费。</w:t>
      </w:r>
      <w:r>
        <w:rPr>
          <w:rFonts w:ascii="楷体" w:hAnsi="楷体" w:eastAsia="楷体" w:cs="楷体"/>
          <w:spacing w:val="59"/>
          <w:sz w:val="24"/>
          <w:szCs w:val="24"/>
        </w:rPr>
        <w:t xml:space="preserve"> </w:t>
      </w:r>
      <w:r>
        <w:rPr>
          <w:rFonts w:ascii="方正书宋简体" w:hAnsi="方正书宋简体" w:eastAsia="方正书宋简体" w:cs="方正书宋简体"/>
          <w:spacing w:val="-11"/>
          <w:sz w:val="24"/>
          <w:szCs w:val="24"/>
        </w:rPr>
        <w:t>根据推进校企合作人才培养模式改革的任务与要求，</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校将校企合作人才培养模式改革纳入学校本科教学工程建设项目，安排专门的经费</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支持进入改革范围内的专业进行改革。支持专业带头人、骨干教师和企业管理人员</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和技术骨干开展校企合作人才培养改革的教学研究，为有效推行校企合作人才培养</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模式改革，提高人才培养质量，提供经费保障。</w:t>
      </w:r>
    </w:p>
    <w:p>
      <w:pPr>
        <w:spacing w:before="1" w:line="278" w:lineRule="auto"/>
        <w:ind w:left="32" w:right="28" w:firstLine="507"/>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3、推进配套制度改革。</w:t>
      </w:r>
      <w:r>
        <w:rPr>
          <w:rFonts w:ascii="楷体" w:hAnsi="楷体" w:eastAsia="楷体" w:cs="楷体"/>
          <w:spacing w:val="50"/>
          <w:sz w:val="24"/>
          <w:szCs w:val="24"/>
        </w:rPr>
        <w:t xml:space="preserve"> </w:t>
      </w:r>
      <w:r>
        <w:rPr>
          <w:rFonts w:ascii="方正书宋简体" w:hAnsi="方正书宋简体" w:eastAsia="方正书宋简体" w:cs="方正书宋简体"/>
          <w:spacing w:val="-11"/>
          <w:sz w:val="24"/>
          <w:szCs w:val="24"/>
        </w:rPr>
        <w:t>进入学校校企合作人才培养模式改革的专业，</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学校在专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业建设、专业招生、学费定价、师资聘用、教师工资待遇和绩效津贴方面给予更加</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充分的自主权，制定相应的配套政策与措施保障校企合作人才培养模式改革专业相</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应改革任务和人才培养任务的实施和落实。</w:t>
      </w:r>
    </w:p>
    <w:p>
      <w:pPr>
        <w:spacing w:before="211" w:line="315" w:lineRule="auto"/>
        <w:ind w:left="32" w:right="29" w:firstLine="497"/>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4、强化过程管理。</w:t>
      </w:r>
      <w:r>
        <w:rPr>
          <w:rFonts w:ascii="楷体" w:hAnsi="楷体" w:eastAsia="楷体" w:cs="楷体"/>
          <w:spacing w:val="39"/>
          <w:sz w:val="24"/>
          <w:szCs w:val="24"/>
        </w:rPr>
        <w:t xml:space="preserve"> </w:t>
      </w:r>
      <w:r>
        <w:rPr>
          <w:rFonts w:ascii="方正书宋简体" w:hAnsi="方正书宋简体" w:eastAsia="方正书宋简体" w:cs="方正书宋简体"/>
          <w:spacing w:val="-6"/>
          <w:sz w:val="24"/>
          <w:szCs w:val="24"/>
        </w:rPr>
        <w:t>校企合作人才培养模式改革采用项目立项的方式进行推进和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管理。学校教学委员会按照学校教育教学改革的总体要求结合本意见，遴选一批专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业进行校企合作人才培养模式改革试点，按照学校校企合作人才培养模式改革的要</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求，立项建设专业自主设计改革的目标与任务，提出具体的改革内容和实施方案，</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学校组织专家定期对校企合作人才培养模式改革专业的改革工作和建设任务进行督</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促、检查和评估，确保校企合作人才培养模式改革项目实现预期目标，切实提高人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才培养的质量与水平。</w:t>
      </w:r>
    </w:p>
    <w:p>
      <w:pPr>
        <w:sectPr>
          <w:footerReference r:id="rId24" w:type="default"/>
          <w:pgSz w:w="11905" w:h="16840"/>
          <w:pgMar w:top="1431" w:right="1556" w:bottom="1395" w:left="1557" w:header="0" w:footer="1250" w:gutter="0"/>
          <w:cols w:space="720" w:num="1"/>
        </w:sectPr>
      </w:pPr>
    </w:p>
    <w:p>
      <w:pPr>
        <w:spacing w:before="235" w:line="180" w:lineRule="auto"/>
        <w:ind w:firstLine="5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吉首大学关于进一步加强教学管理队伍建设的实施意见</w:t>
      </w:r>
    </w:p>
    <w:p>
      <w:pPr>
        <w:spacing w:before="110" w:line="184" w:lineRule="auto"/>
        <w:ind w:firstLine="3431"/>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年制订）</w:t>
      </w:r>
    </w:p>
    <w:p>
      <w:pPr>
        <w:spacing w:line="381" w:lineRule="auto"/>
        <w:rPr>
          <w:rFonts w:ascii="Malgun Gothic"/>
          <w:sz w:val="21"/>
        </w:rPr>
      </w:pPr>
    </w:p>
    <w:p>
      <w:pPr>
        <w:spacing w:before="86" w:line="265" w:lineRule="auto"/>
        <w:ind w:left="3" w:right="9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教学管理是学校管理工作的重要组成部分，教学管理队伍建设直接影响着教学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质量的提高。为进一步加强我校教学管理队伍建设，提升教学管理水平，增强教学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
          <w:sz w:val="24"/>
          <w:szCs w:val="24"/>
        </w:rPr>
        <w:t>管理队伍的整体素质，根据上级有关文件精神，结合学校实际，提出如下意见。</w:t>
      </w:r>
    </w:p>
    <w:p>
      <w:pPr>
        <w:spacing w:before="204"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一、指导思想和建设目标</w:t>
      </w:r>
    </w:p>
    <w:p>
      <w:pPr>
        <w:spacing w:before="153" w:line="296" w:lineRule="auto"/>
        <w:ind w:left="1" w:right="8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加强教学管理队伍，对保障和提高教学质量具有重要意义，要坚持以“创新、</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协调、绿色、开放、共享”为指导，坚持以人为本的原则，以教学管理人员的能力</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素质建设为核心，以建立健全促进教学管理队伍建设的体制和机制为保障，以提高</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教学管理质量为目标，不断优化教学管理队伍，配齐配强教学管理人员，加强教学管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理人员的培养培训，</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8"/>
          <w:sz w:val="24"/>
          <w:szCs w:val="24"/>
        </w:rPr>
        <w:t>不断促进教学管理人员创新管理方法，</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8"/>
          <w:sz w:val="24"/>
          <w:szCs w:val="24"/>
        </w:rPr>
        <w:t>提高管理水平。全校上下要</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充分认识到加强教学管理队伍建设的重要性，</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13"/>
          <w:sz w:val="24"/>
          <w:szCs w:val="24"/>
        </w:rPr>
        <w:t>把加强教学管理队伍建设作为一项战略性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w w:val="99"/>
          <w:sz w:val="24"/>
          <w:szCs w:val="24"/>
        </w:rPr>
        <w:t>工作，</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24"/>
          <w:w w:val="99"/>
          <w:sz w:val="24"/>
          <w:szCs w:val="24"/>
        </w:rPr>
        <w:t>高度重视，</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4"/>
          <w:w w:val="99"/>
          <w:sz w:val="24"/>
          <w:szCs w:val="24"/>
        </w:rPr>
        <w:t>统筹规划，</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4"/>
          <w:w w:val="99"/>
          <w:sz w:val="24"/>
          <w:szCs w:val="24"/>
        </w:rPr>
        <w:t>为各级教学管理人员创造良好的政策环境，</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4"/>
          <w:w w:val="99"/>
          <w:sz w:val="24"/>
          <w:szCs w:val="24"/>
        </w:rPr>
        <w:t>努力建设一支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结构合理、数量足够、业务精湛、素质较高、相对稳定的教学管理队伍。</w:t>
      </w:r>
    </w:p>
    <w:p>
      <w:pPr>
        <w:spacing w:before="205"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二、组织管理与选拔聘用</w:t>
      </w:r>
    </w:p>
    <w:p>
      <w:pPr>
        <w:spacing w:before="152" w:line="290" w:lineRule="auto"/>
        <w:ind w:right="58"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1、校、院（部）两级管理。教学管理人员包括学校分管教学校长、学院（部）</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5"/>
          <w:sz w:val="24"/>
          <w:szCs w:val="24"/>
        </w:rPr>
        <w:t>教学院长（主任）、教学秘书以及教务处、实验室与设备管理中心、教学质量监控与</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评估中心、张家界校区教学科研管理办公室等专职教学管理人员。学校人事处、教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务处、组织部等部门负责做好教学管理队伍的定编、定岗、聘任、晋级等工作，教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务处代表学校负责管理教学秘书队伍建设，其它党政部门应积极参与并大力支持教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学管理队伍建设，各教学单位对本单位教学管理人员负有直接管理和领导责任。</w:t>
      </w:r>
    </w:p>
    <w:p>
      <w:pPr>
        <w:spacing w:before="211" w:line="298"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2、配齐配强队伍。学校将教学管理队伍作为人才队伍建设的重点，</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9"/>
          <w:sz w:val="24"/>
          <w:szCs w:val="24"/>
        </w:rPr>
        <w:t>在人员编制、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管理人员职数、岗位设置、选拔任用等方面重点保证教学管理人员的发展，配齐配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强教学管理人员。学院（部）教学院长（主任）和教学管理职能部门主要负责人应</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掌握高等教育理论知识和教育规律，熟悉高校教学工作，并达到学校规定的干部选</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拔条件；其它教学管理人员原则上应具有全日制硕士研究生及以上学历，具备一定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的组织协调能力和语言文字表达能力，熟悉教学管理规章制度和工作程序，具有良</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好的计算机应用能力，热爱教学管理工作。</w:t>
      </w:r>
    </w:p>
    <w:p>
      <w:pPr>
        <w:spacing w:before="178"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3、人员选拔聘用。科级以上干部，</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7"/>
          <w:sz w:val="24"/>
          <w:szCs w:val="24"/>
        </w:rPr>
        <w:t>由组织部按干部选拔任用相关规定组织选拔</w:t>
      </w:r>
    </w:p>
    <w:p>
      <w:pPr>
        <w:sectPr>
          <w:footerReference r:id="rId25" w:type="default"/>
          <w:pgSz w:w="11905" w:h="16840"/>
          <w:pgMar w:top="1431" w:right="1489" w:bottom="1395" w:left="1590" w:header="0" w:footer="1253" w:gutter="0"/>
          <w:cols w:space="720" w:num="1"/>
        </w:sectPr>
      </w:pPr>
    </w:p>
    <w:p>
      <w:pPr>
        <w:spacing w:before="310" w:line="278" w:lineRule="auto"/>
        <w:ind w:right="100"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任用；其它教学管理人员由教务处会同人事处和相关部门组织公开招聘。教学管理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人员一经聘任，按照学校有关规定享受相应待遇，并应保持工作的相对稳定性，原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则上工作年限不能少于</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
          <w:sz w:val="24"/>
          <w:szCs w:val="24"/>
        </w:rPr>
        <w:t>年，专职教学秘书须连续工作任职两届，如因特殊情况教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学秘书需要调整工作岗位者，须报教务处批准。</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三、加强教学管理队伍建设具体措施</w:t>
      </w:r>
    </w:p>
    <w:p>
      <w:pPr>
        <w:spacing w:before="155" w:line="314"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1、完善考核、奖励机制。严格教学管理人员年度考核工作，中层干部的考核由学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校统一组织，教学秘书考核由教务处牵头组织，其它教学管理人员考核由所在单位组织，</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21"/>
          <w:sz w:val="24"/>
          <w:szCs w:val="24"/>
        </w:rPr>
        <w:t>考核的内容包括德、能、勤、绩四个方面，</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1"/>
          <w:sz w:val="24"/>
          <w:szCs w:val="24"/>
        </w:rPr>
        <w:t>重点是工作实绩，</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1"/>
          <w:sz w:val="24"/>
          <w:szCs w:val="24"/>
        </w:rPr>
        <w:t>考核结果分为优秀、称职、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sz w:val="24"/>
          <w:szCs w:val="24"/>
        </w:rPr>
        <w:t>基本称职、不称职四个等级，</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3"/>
          <w:sz w:val="24"/>
          <w:szCs w:val="24"/>
        </w:rPr>
        <w:t>报组织人事部门备案，</w:t>
      </w:r>
      <w:r>
        <w:rPr>
          <w:rFonts w:ascii="方正书宋简体" w:hAnsi="方正书宋简体" w:eastAsia="方正书宋简体" w:cs="方正书宋简体"/>
          <w:spacing w:val="59"/>
          <w:w w:val="101"/>
          <w:sz w:val="24"/>
          <w:szCs w:val="24"/>
        </w:rPr>
        <w:t xml:space="preserve"> </w:t>
      </w:r>
      <w:r>
        <w:rPr>
          <w:rFonts w:ascii="方正书宋简体" w:hAnsi="方正书宋简体" w:eastAsia="方正书宋简体" w:cs="方正书宋简体"/>
          <w:spacing w:val="-23"/>
          <w:sz w:val="24"/>
          <w:szCs w:val="24"/>
        </w:rPr>
        <w:t>作为评优、</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23"/>
          <w:sz w:val="24"/>
          <w:szCs w:val="24"/>
        </w:rPr>
        <w:t>提职、晋级的重要依据。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学校每年评选一次教学管理工作先进个人，对于从事教学管理工作成绩突出者给予表</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彰，对优秀教学管理人员在评优、评先和晋升中给予优先考虑。</w:t>
      </w:r>
    </w:p>
    <w:p>
      <w:pPr>
        <w:spacing w:before="7" w:line="315" w:lineRule="auto"/>
        <w:ind w:right="2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2、保证队伍稳定。学校从政策、待遇、晋级、工作等方面创造良好的环境，</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使</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教学管理人员安心工作，确保教学管理队伍的相对稳定。各相关部门和各教学单位</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应制定政策，鼓励优秀中青年骨干教师从事教学管理工作，逐步优化教学管理队伍</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的学历、年龄结构，提升队伍整体素质和管理水平。学校在教学管理岗位职务和职</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6"/>
          <w:sz w:val="24"/>
          <w:szCs w:val="24"/>
        </w:rPr>
        <w:t>称晋升中向优秀专职教学管理人员倾斜，</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6"/>
          <w:sz w:val="24"/>
          <w:szCs w:val="24"/>
        </w:rPr>
        <w:t>学院教学副院长岗位异动须报教务处备案，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教务秘书岗位异动要报教务处审批。</w:t>
      </w:r>
    </w:p>
    <w:p>
      <w:pPr>
        <w:spacing w:before="3" w:line="315" w:lineRule="auto"/>
        <w:ind w:right="100"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3、加强业务培训。学校人事部门要将教学管理人员的培训工作列入师资培训计</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划，有计划地安排脱产、半脱产或在职进修，</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鼓励攻读更高层次的学位，以切实提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高教学管理人员的理论素质和工作能力。各有关部门和各学院（部）要制订年度培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训计划，利用各种培训方式（考察访问、参加学术会议、在职进修、挂职锻炼、培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训班、攻读学位等）加强教学管理人员培训，</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落实培训经费，确保培训经费不低于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专业教师培训费。</w:t>
      </w:r>
    </w:p>
    <w:p>
      <w:pPr>
        <w:spacing w:before="2" w:line="314" w:lineRule="auto"/>
        <w:ind w:right="10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4、加强教学管理研究。开展教学管理研究是管理人员的基本职责，</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学校积极鼓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励各级教学管理人员研究高等教育发展及教学管理工作中的新情况和新问题，提出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新思路、新方法和新举措，并有计划、有目的、有重点地组织教学管理人员积极申</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报教学研究与教学改革课题，开展校内外的广泛交流，以研究促改革，以研究促管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理，以研究促发展，不断提高教学管理人员科研能力和管理水平；同时，每年安排</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一定经费，资助教学管理人员的教学管理论文发表版面费，对公开发表的高等教育</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研究论文，学校根据有关规定予以奖励。</w:t>
      </w:r>
    </w:p>
    <w:p>
      <w:pPr>
        <w:sectPr>
          <w:footerReference r:id="rId26" w:type="default"/>
          <w:pgSz w:w="11905" w:h="16840"/>
          <w:pgMar w:top="1431" w:right="1485" w:bottom="1395" w:left="1590" w:header="0" w:footer="1253" w:gutter="0"/>
          <w:cols w:space="720" w:num="1"/>
        </w:sectPr>
      </w:pPr>
    </w:p>
    <w:p>
      <w:pPr>
        <w:spacing w:before="202" w:line="180" w:lineRule="auto"/>
        <w:ind w:firstLine="232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吉首大学教学委员会工作规程</w:t>
      </w:r>
    </w:p>
    <w:p>
      <w:pPr>
        <w:spacing w:before="71" w:line="184" w:lineRule="auto"/>
        <w:ind w:firstLine="346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07" w:lineRule="auto"/>
        <w:rPr>
          <w:rFonts w:ascii="Malgun Gothic"/>
          <w:sz w:val="21"/>
        </w:rPr>
      </w:pPr>
    </w:p>
    <w:p>
      <w:pPr>
        <w:spacing w:before="104" w:line="264" w:lineRule="auto"/>
        <w:ind w:left="33"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为保证学校教学工作中心地位，加强对教学工作指导，提高教学工作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决策的科学性，</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sz w:val="24"/>
          <w:szCs w:val="24"/>
        </w:rPr>
        <w:t>根据《吉首大学学术委员会章程》（吉大发[2014]29</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号</w:t>
      </w:r>
      <w:r>
        <w:rPr>
          <w:rFonts w:ascii="方正书宋简体" w:hAnsi="方正书宋简体" w:eastAsia="方正书宋简体" w:cs="方正书宋简体"/>
          <w:spacing w:val="-97"/>
          <w:sz w:val="24"/>
          <w:szCs w:val="24"/>
        </w:rPr>
        <w:t>），</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sz w:val="24"/>
          <w:szCs w:val="24"/>
        </w:rPr>
        <w:t>成立吉首大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学教学委员会。</w:t>
      </w:r>
    </w:p>
    <w:p>
      <w:pPr>
        <w:spacing w:before="21" w:line="257" w:lineRule="auto"/>
        <w:ind w:left="38"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第二条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6"/>
          <w:sz w:val="24"/>
          <w:szCs w:val="24"/>
        </w:rPr>
        <w:t>教学委员会是学校学术委员会设立的专门委员会，</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6"/>
          <w:sz w:val="24"/>
          <w:szCs w:val="24"/>
        </w:rPr>
        <w:t>对学校教学工作和人才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培养重大事项进行研究、决策、审议评定和咨询。为更好开展工作，</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8"/>
          <w:sz w:val="24"/>
          <w:szCs w:val="24"/>
        </w:rPr>
        <w:t>特制定本工作规程。</w:t>
      </w:r>
    </w:p>
    <w:p>
      <w:pPr>
        <w:spacing w:before="10" w:line="256" w:lineRule="auto"/>
        <w:ind w:left="41" w:right="140"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教学委员会委员设主任委员</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3"/>
          <w:sz w:val="24"/>
          <w:szCs w:val="24"/>
        </w:rPr>
        <w:t>人，由学校分管教学工作校领导兼任，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副主任委员若干，办公室主任１人。</w:t>
      </w:r>
    </w:p>
    <w:p>
      <w:pPr>
        <w:spacing w:before="12" w:line="252" w:lineRule="auto"/>
        <w:ind w:left="36" w:right="99"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教学委员会办公室设在教务处，教务处处长兼任办公室主任，负责教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学委员会日常工作，包括联络服务委员、组织安排会议、督办检查有关事项等。</w:t>
      </w:r>
    </w:p>
    <w:p>
      <w:pPr>
        <w:spacing w:before="22" w:line="19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第五条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5"/>
          <w:sz w:val="24"/>
          <w:szCs w:val="24"/>
        </w:rPr>
        <w:t>教学委员会主要职责是：</w:t>
      </w:r>
    </w:p>
    <w:p>
      <w:pPr>
        <w:spacing w:before="91"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（一）审议人才培养方案并指导实施；</w:t>
      </w:r>
    </w:p>
    <w:p>
      <w:pPr>
        <w:spacing w:before="135"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（二）审议教育教学、基本建设和教学管理改革的重大方案；</w:t>
      </w:r>
    </w:p>
    <w:p>
      <w:pPr>
        <w:spacing w:before="134"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（三）审议教育教学发展规划和专业建设计划；</w:t>
      </w:r>
    </w:p>
    <w:p>
      <w:pPr>
        <w:spacing w:before="135"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（四）指导学科专业评估和教学评估；</w:t>
      </w:r>
    </w:p>
    <w:p>
      <w:pPr>
        <w:spacing w:before="140" w:line="238" w:lineRule="auto"/>
        <w:ind w:left="33" w:right="96"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（五）</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4"/>
          <w:sz w:val="24"/>
          <w:szCs w:val="24"/>
        </w:rPr>
        <w:t>审议各类教学奖、教学成果奖评定标准和办法。指导各类教学奖、教学成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果奖的评审工作，以及推荐评审各类有关教学教改方面项目；</w:t>
      </w:r>
    </w:p>
    <w:p>
      <w:pPr>
        <w:spacing w:before="135"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（六）审议学校关于教师岗位任职和教师岗位职称申报的教学工作规定；</w:t>
      </w:r>
    </w:p>
    <w:p>
      <w:pPr>
        <w:spacing w:before="138" w:line="239" w:lineRule="auto"/>
        <w:ind w:left="32" w:right="99"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（七）</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指导建立教育教学质量标准和监控体系，</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对影响教学质量的问题进行专题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研讨，提出解决方案；</w:t>
      </w:r>
    </w:p>
    <w:p>
      <w:pPr>
        <w:spacing w:before="135"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（八）裁定有关教学责任事故、教学工作考核及教学评估中的争议；</w:t>
      </w:r>
    </w:p>
    <w:p>
      <w:pPr>
        <w:spacing w:before="140"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（九）其它需要教学委员会审议或决策的重大事项。</w:t>
      </w:r>
    </w:p>
    <w:p>
      <w:pPr>
        <w:spacing w:before="138" w:line="233" w:lineRule="auto"/>
        <w:ind w:left="37" w:right="96"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教学委员会可就本科教学、研究生教育等教学具体工作设立若干专门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委员会，各专门委员会在教学委员会领导下工作，根据教学委员会授权相对独立地</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开展业务，并向教学委员会汇报工作。</w:t>
      </w:r>
    </w:p>
    <w:p>
      <w:pPr>
        <w:spacing w:before="162" w:line="233" w:lineRule="auto"/>
        <w:ind w:left="34" w:right="20"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根据工作需要，经教学委员会主任委员同意，教学委员会办公室负责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组织教学委员会专门委员会会议、教学评审与推荐等工作。教学委员会举行会议时，</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可以根据需要，邀请有关部门、学院负责人列席。</w:t>
      </w:r>
    </w:p>
    <w:p>
      <w:pPr>
        <w:spacing w:before="163"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2"/>
          <w:sz w:val="24"/>
          <w:szCs w:val="24"/>
        </w:rPr>
        <w:t>第八条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2"/>
          <w:sz w:val="24"/>
          <w:szCs w:val="24"/>
        </w:rPr>
        <w:t>各学院学术委员会设置教学分委员会，在学校教学委员会指导下开展工作。</w:t>
      </w:r>
    </w:p>
    <w:p>
      <w:pPr>
        <w:spacing w:before="9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本工作规程由教学委员会办公室负责解释。</w:t>
      </w:r>
    </w:p>
    <w:p>
      <w:pPr>
        <w:sectPr>
          <w:footerReference r:id="rId27" w:type="default"/>
          <w:pgSz w:w="11905" w:h="16840"/>
          <w:pgMar w:top="1431" w:right="1488" w:bottom="1395" w:left="1557" w:header="0" w:footer="1250" w:gutter="0"/>
          <w:cols w:space="720" w:num="1"/>
        </w:sectPr>
      </w:pPr>
    </w:p>
    <w:p>
      <w:pPr>
        <w:spacing w:before="227" w:line="189" w:lineRule="auto"/>
        <w:ind w:left="3862" w:right="1116" w:hanging="2717"/>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吉首大学“十三五”本科专业综合改革试点项目</w:t>
      </w:r>
      <w:r>
        <w:rPr>
          <w:rFonts w:ascii="Microsoft JhengHei" w:hAnsi="Microsoft JhengHei" w:eastAsia="Microsoft JhengHei" w:cs="Microsoft JhengHei"/>
          <w:spacing w:val="11"/>
          <w:sz w:val="32"/>
          <w:szCs w:val="32"/>
        </w:rPr>
        <w:t xml:space="preserve"> </w:t>
      </w:r>
      <w:r>
        <w:rPr>
          <w:rFonts w:ascii="Microsoft JhengHei" w:hAnsi="Microsoft JhengHei" w:eastAsia="Microsoft JhengHei" w:cs="Microsoft JhengHei"/>
          <w:spacing w:val="-2"/>
          <w:sz w:val="32"/>
          <w:szCs w:val="32"/>
        </w:rPr>
        <w:t>实施方案</w:t>
      </w:r>
    </w:p>
    <w:p>
      <w:pPr>
        <w:spacing w:before="73" w:line="184" w:lineRule="auto"/>
        <w:ind w:firstLine="35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年制订）</w:t>
      </w:r>
    </w:p>
    <w:p>
      <w:pPr>
        <w:spacing w:line="363" w:lineRule="auto"/>
        <w:rPr>
          <w:rFonts w:ascii="Malgun Gothic"/>
          <w:sz w:val="21"/>
        </w:rPr>
      </w:pPr>
    </w:p>
    <w:p>
      <w:pPr>
        <w:spacing w:before="85" w:line="303" w:lineRule="auto"/>
        <w:ind w:right="111" w:firstLine="741"/>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为深入贯彻落实《国家中长期教育改革与发展规划纲要（2010-2020）》《教育</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4"/>
          <w:sz w:val="24"/>
          <w:szCs w:val="24"/>
        </w:rPr>
        <w:t>部关于全面提高高等教育质量的若干意见》</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24"/>
          <w:sz w:val="24"/>
          <w:szCs w:val="24"/>
        </w:rPr>
        <w:t>《湖南省建设教育强省规划纲要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（2010-2020</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1"/>
          <w:sz w:val="24"/>
          <w:szCs w:val="24"/>
        </w:rPr>
        <w:t>年）》《湖南省教育综合改革方案（2015－2020</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1"/>
          <w:sz w:val="24"/>
          <w:szCs w:val="24"/>
        </w:rPr>
        <w:t>年）》《关于印发&lt;湖南省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普通高校“十三五”专业综合改革试点实施方案&gt;并启动项目申报工作的通知》《关</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
          <w:sz w:val="24"/>
          <w:szCs w:val="24"/>
        </w:rPr>
        <w:t>于开展普通高校全面深化校地校企合作试点工作的通知》《中共吉首大学委员会关于</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5"/>
          <w:sz w:val="24"/>
          <w:szCs w:val="24"/>
        </w:rPr>
        <w:t>全面深化学校综合改革的若干意见》文件精神，切实做好学校“十三五”专业综合</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6"/>
          <w:sz w:val="24"/>
          <w:szCs w:val="24"/>
        </w:rPr>
        <w:t>改革试点工作，提升专业办学实力，强化专业办学特色，增强专业办学活力，打造</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品牌专业，全面提高学校本科教育教学质量，特制定本实施方案。</w:t>
      </w:r>
    </w:p>
    <w:p>
      <w:pPr>
        <w:spacing w:before="15" w:line="195" w:lineRule="auto"/>
        <w:ind w:firstLine="625"/>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一、专业综合改革试点的重要意义</w:t>
      </w:r>
    </w:p>
    <w:p>
      <w:pPr>
        <w:spacing w:before="107" w:line="305" w:lineRule="auto"/>
        <w:ind w:left="133"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专业是高等学校办学的重要载体，是人才培养的基本平台，是教育主管部门</w:t>
      </w:r>
      <w:r>
        <w:rPr>
          <w:rFonts w:ascii="方正书宋简体" w:hAnsi="方正书宋简体" w:eastAsia="方正书宋简体" w:cs="方正书宋简体"/>
          <w:spacing w:val="1"/>
          <w:w w:val="102"/>
          <w:sz w:val="24"/>
          <w:szCs w:val="24"/>
        </w:rPr>
        <w:t xml:space="preserve">   </w:t>
      </w:r>
      <w:r>
        <w:rPr>
          <w:rFonts w:ascii="方正书宋简体" w:hAnsi="方正书宋简体" w:eastAsia="方正书宋简体" w:cs="方正书宋简体"/>
          <w:spacing w:val="9"/>
          <w:sz w:val="24"/>
          <w:szCs w:val="24"/>
        </w:rPr>
        <w:t>和社会各界了解和评估学校办学水平、办学实力和办学特色的主要观测点。专业</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9"/>
          <w:sz w:val="24"/>
          <w:szCs w:val="24"/>
        </w:rPr>
        <w:t>建设在学校的各项建设中处于基础性、全局性和战略性的地位。专业的办学水平</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9"/>
          <w:sz w:val="24"/>
          <w:szCs w:val="24"/>
        </w:rPr>
        <w:t>直接影响学校人才培养的质量、科学研究的水平、服务社会和文化传承创新的能</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2"/>
          <w:sz w:val="24"/>
          <w:szCs w:val="24"/>
        </w:rPr>
        <w:t>力。按照上级主管部门推动教育教学改革的主要精神和学校实际，在“十三五”</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期间实施专业综合改革试点工作，是落实教学工作中心地位和本科教育基础地位</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9"/>
          <w:sz w:val="24"/>
          <w:szCs w:val="24"/>
        </w:rPr>
        <w:t>的重要体现，是充实专业内涵，形成专业特色，打造品牌专业，引领学校其他专</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9"/>
          <w:sz w:val="24"/>
          <w:szCs w:val="24"/>
        </w:rPr>
        <w:t>业创新发展，提高办学水平的重要举措，有利于进一步提升学校的办学实力、扩</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8"/>
          <w:sz w:val="24"/>
          <w:szCs w:val="24"/>
        </w:rPr>
        <w:t>大学校的办学影响、提高学校的核心竞争力，实现学校的转型发展、内涵发展、</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z w:val="24"/>
          <w:szCs w:val="24"/>
        </w:rPr>
        <w:t>特色发展。</w:t>
      </w:r>
    </w:p>
    <w:p>
      <w:pPr>
        <w:spacing w:line="202" w:lineRule="auto"/>
        <w:ind w:firstLine="624"/>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二、专业综合改革试点的总体目标</w:t>
      </w:r>
    </w:p>
    <w:p>
      <w:pPr>
        <w:spacing w:before="92" w:line="304" w:lineRule="auto"/>
        <w:ind w:left="133" w:right="111" w:firstLine="35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“十三五”期间，学校遴选</w:t>
      </w:r>
      <w:r>
        <w:rPr>
          <w:rFonts w:ascii="方正书宋简体" w:hAnsi="方正书宋简体" w:eastAsia="方正书宋简体" w:cs="方正书宋简体"/>
          <w:spacing w:val="83"/>
          <w:sz w:val="24"/>
          <w:szCs w:val="24"/>
        </w:rPr>
        <w:t xml:space="preserve"> </w:t>
      </w:r>
      <w:r>
        <w:rPr>
          <w:rFonts w:ascii="方正书宋简体" w:hAnsi="方正书宋简体" w:eastAsia="方正书宋简体" w:cs="方正书宋简体"/>
          <w:spacing w:val="-2"/>
          <w:sz w:val="24"/>
          <w:szCs w:val="24"/>
        </w:rPr>
        <w:t>10</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个左右专业开展专业综合改革试点，通过</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4</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年的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改革与建设，使得各综合改革试点专业办学定位更科学，办学思路更清晰，结合专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业特点探索出符合学校办学实际的人才培养模式，通过体制与机制的创新，能够汇</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聚区域内各种办学资源支持专业办学和人才培养，专业内涵明显增强，专业特色日</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渐凸显，学生的创新创业能力大幅提升，人才培养质量显著提高，示范作用明显，</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能引领学校同类专业的创新发展，同省内外同类专业相比办学优势明显，毕业生具</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有较高的美誉度和较大的社会影响力。</w:t>
      </w:r>
    </w:p>
    <w:p>
      <w:pPr>
        <w:sectPr>
          <w:footerReference r:id="rId28" w:type="default"/>
          <w:pgSz w:w="11905" w:h="16840"/>
          <w:pgMar w:top="1431" w:right="1474" w:bottom="1395" w:left="1457" w:header="0" w:footer="1253" w:gutter="0"/>
          <w:cols w:space="720" w:num="1"/>
        </w:sectPr>
      </w:pPr>
    </w:p>
    <w:p>
      <w:pPr>
        <w:spacing w:before="290" w:line="180" w:lineRule="auto"/>
        <w:ind w:firstLine="49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三、专业综合改革试点的基本原则</w:t>
      </w:r>
    </w:p>
    <w:p>
      <w:pPr>
        <w:spacing w:before="136" w:line="282" w:lineRule="auto"/>
        <w:ind w:right="85" w:firstLine="471"/>
        <w:rPr>
          <w:rFonts w:ascii="方正书宋简体" w:hAnsi="方正书宋简体" w:eastAsia="方正书宋简体" w:cs="方正书宋简体"/>
          <w:sz w:val="24"/>
          <w:szCs w:val="24"/>
        </w:rPr>
      </w:pPr>
      <w:r>
        <w:rPr>
          <w:rFonts w:ascii="楷体" w:hAnsi="楷体" w:eastAsia="楷体" w:cs="楷体"/>
          <w:spacing w:val="-11"/>
          <w:w w:val="97"/>
          <w:sz w:val="24"/>
          <w:szCs w:val="24"/>
          <w14:textOutline w14:w="3048" w14:cap="flat" w14:cmpd="sng">
            <w14:solidFill>
              <w14:srgbClr w14:val="000000"/>
            </w14:solidFill>
            <w14:prstDash w14:val="solid"/>
            <w14:miter w14:val="1"/>
          </w14:textOutline>
        </w:rPr>
        <w:t>1、充实内涵、强化特色的原则。</w:t>
      </w:r>
      <w:r>
        <w:rPr>
          <w:rFonts w:ascii="楷体" w:hAnsi="楷体" w:eastAsia="楷体" w:cs="楷体"/>
          <w:spacing w:val="13"/>
          <w:sz w:val="24"/>
          <w:szCs w:val="24"/>
        </w:rPr>
        <w:t xml:space="preserve">   </w:t>
      </w:r>
      <w:r>
        <w:rPr>
          <w:rFonts w:ascii="方正书宋简体" w:hAnsi="方正书宋简体" w:eastAsia="方正书宋简体" w:cs="方正书宋简体"/>
          <w:spacing w:val="-11"/>
          <w:w w:val="97"/>
          <w:sz w:val="24"/>
          <w:szCs w:val="24"/>
        </w:rPr>
        <w:t>“十三五”期间，学校将按照“控制数量、优化</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4"/>
          <w:sz w:val="24"/>
          <w:szCs w:val="24"/>
        </w:rPr>
        <w:t>结构、加强内涵、打造特色、</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4"/>
          <w:sz w:val="24"/>
          <w:szCs w:val="24"/>
        </w:rPr>
        <w:t>提升质量”的思路加强专业建设。专业综合改革主要集中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于专业的内涵建设，引导专业合理定位，加强师资队伍建设、提升课程教学水平，增大</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办学经费投入，改善专业办学条件，切实提高专业办学水平。鼓励各个专业在人才培养</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模式上出特色，在课程设置上出特色，在教学内容上出特色，在教学方式和手段上出特</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3"/>
          <w:sz w:val="24"/>
          <w:szCs w:val="24"/>
        </w:rPr>
        <w:t>色，在创新与创业教育上出特色，从而形成合力有力地支撑和强化专业的办学特色。</w:t>
      </w:r>
    </w:p>
    <w:p>
      <w:pPr>
        <w:spacing w:before="197" w:line="302" w:lineRule="auto"/>
        <w:ind w:firstLine="464"/>
        <w:rPr>
          <w:rFonts w:ascii="方正书宋简体" w:hAnsi="方正书宋简体" w:eastAsia="方正书宋简体" w:cs="方正书宋简体"/>
          <w:sz w:val="24"/>
          <w:szCs w:val="24"/>
        </w:rPr>
      </w:pPr>
      <w:r>
        <w:rPr>
          <w:rFonts w:ascii="楷体" w:hAnsi="楷体" w:eastAsia="楷体" w:cs="楷体"/>
          <w:spacing w:val="-11"/>
          <w:w w:val="97"/>
          <w:sz w:val="24"/>
          <w:szCs w:val="24"/>
          <w14:textOutline w14:w="3048" w14:cap="flat" w14:cmpd="sng">
            <w14:solidFill>
              <w14:srgbClr w14:val="000000"/>
            </w14:solidFill>
            <w14:prstDash w14:val="solid"/>
            <w14:miter w14:val="1"/>
          </w14:textOutline>
        </w:rPr>
        <w:t>2、强化需求、提高质量的原则。</w:t>
      </w:r>
      <w:r>
        <w:rPr>
          <w:rFonts w:ascii="楷体" w:hAnsi="楷体" w:eastAsia="楷体" w:cs="楷体"/>
          <w:spacing w:val="65"/>
          <w:sz w:val="24"/>
          <w:szCs w:val="24"/>
        </w:rPr>
        <w:t xml:space="preserve"> </w:t>
      </w:r>
      <w:r>
        <w:rPr>
          <w:rFonts w:ascii="方正书宋简体" w:hAnsi="方正书宋简体" w:eastAsia="方正书宋简体" w:cs="方正书宋简体"/>
          <w:spacing w:val="-11"/>
          <w:w w:val="97"/>
          <w:sz w:val="24"/>
          <w:szCs w:val="24"/>
        </w:rPr>
        <w:t>引导综合改革试点专业主动适应区域经济社会发展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的需要，主动对接地方行业产业转型升级人才需求的新特点和新要求，科学确定专业人</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11"/>
          <w:sz w:val="24"/>
          <w:szCs w:val="24"/>
        </w:rPr>
        <w:t>才培养定位，优化人才培养方案和人才培养环节，提高人才培养的社会适应性。试点专</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11"/>
          <w:sz w:val="24"/>
          <w:szCs w:val="24"/>
        </w:rPr>
        <w:t>业通过深化综合改革、充实专业内涵，理顺人才培养中各种错综复杂的关系，使学生的</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18"/>
          <w:sz w:val="24"/>
          <w:szCs w:val="24"/>
        </w:rPr>
        <w:t>知识获得、能力培养和素质提高有一个明显的提升，</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8"/>
          <w:sz w:val="24"/>
          <w:szCs w:val="24"/>
        </w:rPr>
        <w:t>学生的创新创业能力不断得到加强。</w:t>
      </w:r>
    </w:p>
    <w:p>
      <w:pPr>
        <w:spacing w:before="28" w:line="304" w:lineRule="auto"/>
        <w:ind w:left="2" w:right="6" w:firstLine="494"/>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3、分类推进、突出重点的原则。</w:t>
      </w:r>
      <w:r>
        <w:rPr>
          <w:rFonts w:ascii="楷体" w:hAnsi="楷体" w:eastAsia="楷体" w:cs="楷体"/>
          <w:spacing w:val="75"/>
          <w:sz w:val="24"/>
          <w:szCs w:val="24"/>
        </w:rPr>
        <w:t xml:space="preserve"> </w:t>
      </w:r>
      <w:r>
        <w:rPr>
          <w:rFonts w:ascii="方正书宋简体" w:hAnsi="方正书宋简体" w:eastAsia="方正书宋简体" w:cs="方正书宋简体"/>
          <w:spacing w:val="-7"/>
          <w:sz w:val="24"/>
          <w:szCs w:val="24"/>
        </w:rPr>
        <w:t>学校“十三五”专业综合改革按照专业群分类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推进的原则实施，从各大学科专业类别中，选择建设基础好、改革意愿强、改革方</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案科学、改革任务明确的专业进行试点，综合改革试点专业原则上能覆盖学校的主</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体专业门类，根据各种不同类型的专业特点、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属性和办学规律，制定差异化的综合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改革方案，</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7"/>
          <w:sz w:val="24"/>
          <w:szCs w:val="24"/>
        </w:rPr>
        <w:t>重点支持大数据、工科、医学、师范、应用性文科等人才培养模式改革。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sz w:val="24"/>
          <w:szCs w:val="24"/>
        </w:rPr>
        <w:t>根据综合改革的任务与要求，</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2"/>
          <w:sz w:val="24"/>
          <w:szCs w:val="24"/>
        </w:rPr>
        <w:t>按照创新、协调、绿色、开放、共享的发展理念，</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2"/>
          <w:sz w:val="24"/>
          <w:szCs w:val="24"/>
        </w:rPr>
        <w:t>“十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三五”专业综合改革试点主要通过专业办学体制机制的改革、人才培养模式的创新，</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着力解决专业内涵不足、资源共享不充分、特色不鲜明、人才培养社会适应性不强</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等核心问题，大力提升专业办学的社会影响力和美誉度。</w:t>
      </w:r>
    </w:p>
    <w:p>
      <w:pPr>
        <w:spacing w:before="21" w:line="289" w:lineRule="auto"/>
        <w:ind w:left="1" w:right="46" w:firstLine="471"/>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4、稳定规模、动态调整的原则。</w:t>
      </w:r>
      <w:r>
        <w:rPr>
          <w:rFonts w:ascii="楷体" w:hAnsi="楷体" w:eastAsia="楷体" w:cs="楷体"/>
          <w:spacing w:val="54"/>
          <w:sz w:val="24"/>
          <w:szCs w:val="24"/>
        </w:rPr>
        <w:t xml:space="preserve"> </w:t>
      </w:r>
      <w:r>
        <w:rPr>
          <w:rFonts w:ascii="方正书宋简体" w:hAnsi="方正书宋简体" w:eastAsia="方正书宋简体" w:cs="方正书宋简体"/>
          <w:spacing w:val="-12"/>
          <w:sz w:val="24"/>
          <w:szCs w:val="24"/>
        </w:rPr>
        <w:t>在“十三五”期间，学校遴选的专业综合改革试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点专业总量控制在</w:t>
      </w:r>
      <w:r>
        <w:rPr>
          <w:rFonts w:ascii="方正书宋简体" w:hAnsi="方正书宋简体" w:eastAsia="方正书宋简体" w:cs="方正书宋简体"/>
          <w:spacing w:val="67"/>
          <w:sz w:val="24"/>
          <w:szCs w:val="24"/>
        </w:rPr>
        <w:t xml:space="preserve"> </w:t>
      </w:r>
      <w:r>
        <w:rPr>
          <w:rFonts w:ascii="方正书宋简体" w:hAnsi="方正书宋简体" w:eastAsia="方正书宋简体" w:cs="方正书宋简体"/>
          <w:spacing w:val="-9"/>
          <w:sz w:val="24"/>
          <w:szCs w:val="24"/>
        </w:rPr>
        <w:t>10</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个以内，加强对综合改革试点专业的宏观指导和建设管理。对综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合改革试点专业的改革与建设任务实行年度验收制，</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3"/>
          <w:sz w:val="24"/>
          <w:szCs w:val="24"/>
        </w:rPr>
        <w:t>对照各专业综合改革方案和建设任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w w:val="99"/>
          <w:sz w:val="24"/>
          <w:szCs w:val="24"/>
        </w:rPr>
        <w:t>务书，</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24"/>
          <w:w w:val="99"/>
          <w:sz w:val="24"/>
          <w:szCs w:val="24"/>
        </w:rPr>
        <w:t>对没有达到改革与建设任务的专业，</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4"/>
          <w:w w:val="99"/>
          <w:sz w:val="24"/>
          <w:szCs w:val="24"/>
        </w:rPr>
        <w:t>停止经费支持，</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4"/>
          <w:w w:val="99"/>
          <w:sz w:val="24"/>
          <w:szCs w:val="24"/>
        </w:rPr>
        <w:t>限期整改，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4"/>
          <w:w w:val="99"/>
          <w:sz w:val="24"/>
          <w:szCs w:val="24"/>
        </w:rPr>
        <w:t>整改合格后继续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支持。试点满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2</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9"/>
          <w:sz w:val="24"/>
          <w:szCs w:val="24"/>
        </w:rPr>
        <w:t>年后将组织中期考核，考核不合格的予以淘汰，并通过滚动替补机制，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遴选新的综合改革试点专业进行资助和建设，</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3"/>
          <w:sz w:val="24"/>
          <w:szCs w:val="24"/>
        </w:rPr>
        <w:t>中期考核和结项验收按照试点专业项目任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务书和《吉首大学“十三五”专业综合改革试点项目目标任务指标》进行。</w:t>
      </w:r>
    </w:p>
    <w:p>
      <w:pPr>
        <w:spacing w:before="153" w:line="180"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四、专业综合改革试点的主要内容</w:t>
      </w:r>
    </w:p>
    <w:p>
      <w:pPr>
        <w:spacing w:before="134" w:line="317" w:lineRule="auto"/>
        <w:ind w:left="5" w:right="96" w:firstLine="499"/>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1、系统修订专业人才培养方案。</w:t>
      </w:r>
      <w:r>
        <w:rPr>
          <w:rFonts w:ascii="楷体" w:hAnsi="楷体" w:eastAsia="楷体" w:cs="楷体"/>
          <w:spacing w:val="71"/>
          <w:sz w:val="24"/>
          <w:szCs w:val="24"/>
        </w:rPr>
        <w:t xml:space="preserve"> </w:t>
      </w:r>
      <w:r>
        <w:rPr>
          <w:rFonts w:ascii="方正书宋简体" w:hAnsi="方正书宋简体" w:eastAsia="方正书宋简体" w:cs="方正书宋简体"/>
          <w:spacing w:val="-12"/>
          <w:sz w:val="24"/>
          <w:szCs w:val="24"/>
        </w:rPr>
        <w:t>进一步认真细致研究专业办学定位，</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2"/>
          <w:sz w:val="24"/>
          <w:szCs w:val="24"/>
        </w:rPr>
        <w:t>明确专业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办学方向，科学合理优化人才培养方案。各试点专业要结合国内同类专业的办学情</w:t>
      </w:r>
    </w:p>
    <w:p>
      <w:pPr>
        <w:sectPr>
          <w:footerReference r:id="rId29" w:type="default"/>
          <w:pgSz w:w="11905" w:h="16840"/>
          <w:pgMar w:top="1431" w:right="1488" w:bottom="1395" w:left="1589" w:header="0" w:footer="1250" w:gutter="0"/>
          <w:cols w:space="720" w:num="1"/>
        </w:sectPr>
      </w:pPr>
    </w:p>
    <w:p>
      <w:pPr>
        <w:spacing w:before="303" w:line="270" w:lineRule="auto"/>
        <w:ind w:left="1" w:right="9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况和当下经济社会发展对人才需求的新变化与新要求以及学校专业办学的实际，确</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立差异化与特色化发展路子，科学设置专业人才培养的知识、能力和素质体系，合</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理设置人才培养环节，强化学生的创新创业能力培养，凸显人才培养方案的个性化</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和创新性特色，满足学生全面成长多样成才的需求。</w:t>
      </w:r>
    </w:p>
    <w:p>
      <w:pPr>
        <w:spacing w:before="200" w:line="305" w:lineRule="auto"/>
        <w:ind w:right="17" w:firstLine="498"/>
        <w:rPr>
          <w:rFonts w:ascii="方正书宋简体" w:hAnsi="方正书宋简体" w:eastAsia="方正书宋简体" w:cs="方正书宋简体"/>
          <w:sz w:val="24"/>
          <w:szCs w:val="24"/>
        </w:rPr>
      </w:pPr>
      <w:r>
        <w:rPr>
          <w:rFonts w:ascii="楷体" w:hAnsi="楷体" w:eastAsia="楷体" w:cs="楷体"/>
          <w:spacing w:val="-11"/>
          <w:w w:val="98"/>
          <w:sz w:val="24"/>
          <w:szCs w:val="24"/>
          <w14:textOutline w14:w="3048" w14:cap="flat" w14:cmpd="sng">
            <w14:solidFill>
              <w14:srgbClr w14:val="000000"/>
            </w14:solidFill>
            <w14:prstDash w14:val="solid"/>
            <w14:miter w14:val="1"/>
          </w14:textOutline>
        </w:rPr>
        <w:t>2、强化课程体系与教学内容的改革。</w:t>
      </w:r>
      <w:r>
        <w:rPr>
          <w:rFonts w:ascii="楷体" w:hAnsi="楷体" w:eastAsia="楷体" w:cs="楷体"/>
          <w:spacing w:val="67"/>
          <w:sz w:val="24"/>
          <w:szCs w:val="24"/>
        </w:rPr>
        <w:t xml:space="preserve"> </w:t>
      </w:r>
      <w:r>
        <w:rPr>
          <w:rFonts w:ascii="方正书宋简体" w:hAnsi="方正书宋简体" w:eastAsia="方正书宋简体" w:cs="方正书宋简体"/>
          <w:spacing w:val="-11"/>
          <w:w w:val="98"/>
          <w:sz w:val="24"/>
          <w:szCs w:val="24"/>
        </w:rPr>
        <w:t>本着重视基础课程，</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w w:val="98"/>
          <w:sz w:val="24"/>
          <w:szCs w:val="24"/>
        </w:rPr>
        <w:t>加强主干课程，</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w w:val="98"/>
          <w:sz w:val="24"/>
          <w:szCs w:val="24"/>
        </w:rPr>
        <w:t>扩大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选修课程的原则，</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1"/>
          <w:sz w:val="24"/>
          <w:szCs w:val="24"/>
        </w:rPr>
        <w:t>突出专业人才培养定位与特色，</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建立科学的专业课程体系。同时，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开展与各有关课程配套的教学基本资料建设、</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教材建设工作，根据学科发展趋势与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专业定位，及时修订教学大纲，调整教学基本内容，在教学内容上充分体现专业特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色与人才培养特色，将教学内容与学科专业发展趋势紧密结合，充分反映学科前沿</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及专业发展动态。建立教学内容动态调整机制，推动科研成果向课程资源与教学内</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容的及时转化，丰富专业的课程资源，强化专业的办学特色。</w:t>
      </w:r>
    </w:p>
    <w:p>
      <w:pPr>
        <w:spacing w:before="8" w:line="291" w:lineRule="auto"/>
        <w:ind w:left="1" w:firstLine="505"/>
        <w:rPr>
          <w:rFonts w:ascii="方正书宋简体" w:hAnsi="方正书宋简体" w:eastAsia="方正书宋简体" w:cs="方正书宋简体"/>
          <w:sz w:val="24"/>
          <w:szCs w:val="24"/>
        </w:rPr>
      </w:pPr>
      <w:r>
        <w:rPr>
          <w:rFonts w:ascii="楷体" w:hAnsi="楷体" w:eastAsia="楷体" w:cs="楷体"/>
          <w:spacing w:val="-11"/>
          <w:w w:val="97"/>
          <w:sz w:val="24"/>
          <w:szCs w:val="24"/>
          <w14:textOutline w14:w="3048" w14:cap="flat" w14:cmpd="sng">
            <w14:solidFill>
              <w14:srgbClr w14:val="000000"/>
            </w14:solidFill>
            <w14:prstDash w14:val="solid"/>
            <w14:miter w14:val="1"/>
          </w14:textOutline>
        </w:rPr>
        <w:t>3、改进教学方法与教学手段。</w:t>
      </w:r>
      <w:r>
        <w:rPr>
          <w:rFonts w:ascii="楷体" w:hAnsi="楷体" w:eastAsia="楷体" w:cs="楷体"/>
          <w:spacing w:val="102"/>
          <w:sz w:val="24"/>
          <w:szCs w:val="24"/>
        </w:rPr>
        <w:t xml:space="preserve"> </w:t>
      </w:r>
      <w:r>
        <w:rPr>
          <w:rFonts w:ascii="方正书宋简体" w:hAnsi="方正书宋简体" w:eastAsia="方正书宋简体" w:cs="方正书宋简体"/>
          <w:spacing w:val="-11"/>
          <w:w w:val="97"/>
          <w:sz w:val="24"/>
          <w:szCs w:val="24"/>
        </w:rPr>
        <w:t>与时俱进，</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7"/>
          <w:sz w:val="24"/>
          <w:szCs w:val="24"/>
        </w:rPr>
        <w:t>更新教育教学观念，充分尊重学生的主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体性与主动性，</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7"/>
          <w:sz w:val="24"/>
          <w:szCs w:val="24"/>
        </w:rPr>
        <w:t>根据专业的特点和培养对象的特点，</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7"/>
          <w:sz w:val="24"/>
          <w:szCs w:val="24"/>
        </w:rPr>
        <w:t>采取科学合理、行之有效的教学方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法因材施教。改革课堂教学以讲授为主的教学方法，</w:t>
      </w:r>
      <w:r>
        <w:rPr>
          <w:rFonts w:ascii="方正书宋简体" w:hAnsi="方正书宋简体" w:eastAsia="方正书宋简体" w:cs="方正书宋简体"/>
          <w:spacing w:val="86"/>
          <w:sz w:val="24"/>
          <w:szCs w:val="24"/>
        </w:rPr>
        <w:t xml:space="preserve"> </w:t>
      </w:r>
      <w:r>
        <w:rPr>
          <w:rFonts w:ascii="方正书宋简体" w:hAnsi="方正书宋简体" w:eastAsia="方正书宋简体" w:cs="方正书宋简体"/>
          <w:spacing w:val="-14"/>
          <w:sz w:val="24"/>
          <w:szCs w:val="24"/>
        </w:rPr>
        <w:t>根据教学内容的特点广泛开展启发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式、讨论式、参与式、案例式、情景式和项目化的教学方法的改革和探索，</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4"/>
          <w:sz w:val="24"/>
          <w:szCs w:val="24"/>
        </w:rPr>
        <w:t>提高课堂教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学效果。试点专业积极开设讨论课建设，教学计划中讨论课总学时应达到</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4"/>
          <w:sz w:val="24"/>
          <w:szCs w:val="24"/>
        </w:rPr>
        <w:t>120</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4"/>
          <w:sz w:val="24"/>
          <w:szCs w:val="24"/>
        </w:rPr>
        <w:t>学时以上。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推动信息技术与教育教学的深度融合，</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4"/>
          <w:sz w:val="24"/>
          <w:szCs w:val="24"/>
        </w:rPr>
        <w:t>充分利用慕课、微课、视频公开课、资源共享课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8"/>
          <w:sz w:val="24"/>
          <w:szCs w:val="24"/>
        </w:rPr>
        <w:t>等网络课程资源服务课程教学，</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8"/>
          <w:sz w:val="24"/>
          <w:szCs w:val="24"/>
        </w:rPr>
        <w:t>改革课程教学的组织形式，</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8"/>
          <w:sz w:val="24"/>
          <w:szCs w:val="24"/>
        </w:rPr>
        <w:t>构建混合式课程教学模式，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提高课程教学质量。综合改革试点专业在建设期间应至少建设一门高质量的慕课课程。</w:t>
      </w:r>
    </w:p>
    <w:p>
      <w:pPr>
        <w:spacing w:before="160" w:line="305" w:lineRule="auto"/>
        <w:ind w:right="95" w:firstLine="497"/>
        <w:rPr>
          <w:rFonts w:ascii="方正书宋简体" w:hAnsi="方正书宋简体" w:eastAsia="方正书宋简体" w:cs="方正书宋简体"/>
          <w:sz w:val="24"/>
          <w:szCs w:val="24"/>
        </w:rPr>
      </w:pPr>
      <w:r>
        <w:rPr>
          <w:rFonts w:ascii="楷体" w:hAnsi="楷体" w:eastAsia="楷体" w:cs="楷体"/>
          <w:spacing w:val="-12"/>
          <w:sz w:val="24"/>
          <w:szCs w:val="24"/>
          <w14:textOutline w14:w="3048" w14:cap="flat" w14:cmpd="sng">
            <w14:solidFill>
              <w14:srgbClr w14:val="000000"/>
            </w14:solidFill>
            <w14:prstDash w14:val="solid"/>
            <w14:miter w14:val="1"/>
          </w14:textOutline>
        </w:rPr>
        <w:t>4、创新人才培养模式，</w:t>
      </w:r>
      <w:r>
        <w:rPr>
          <w:rFonts w:ascii="楷体" w:hAnsi="楷体" w:eastAsia="楷体" w:cs="楷体"/>
          <w:spacing w:val="89"/>
          <w:sz w:val="24"/>
          <w:szCs w:val="24"/>
        </w:rPr>
        <w:t xml:space="preserve"> </w:t>
      </w:r>
      <w:r>
        <w:rPr>
          <w:rFonts w:ascii="楷体" w:hAnsi="楷体" w:eastAsia="楷体" w:cs="楷体"/>
          <w:spacing w:val="-12"/>
          <w:sz w:val="24"/>
          <w:szCs w:val="24"/>
          <w14:textOutline w14:w="3048" w14:cap="flat" w14:cmpd="sng">
            <w14:solidFill>
              <w14:srgbClr w14:val="000000"/>
            </w14:solidFill>
            <w14:prstDash w14:val="solid"/>
            <w14:miter w14:val="1"/>
          </w14:textOutline>
        </w:rPr>
        <w:t>强化创新创业教育。</w:t>
      </w:r>
      <w:r>
        <w:rPr>
          <w:rFonts w:ascii="楷体" w:hAnsi="楷体" w:eastAsia="楷体" w:cs="楷体"/>
          <w:spacing w:val="40"/>
          <w:sz w:val="24"/>
          <w:szCs w:val="24"/>
        </w:rPr>
        <w:t xml:space="preserve"> </w:t>
      </w:r>
      <w:r>
        <w:rPr>
          <w:rFonts w:ascii="方正书宋简体" w:hAnsi="方正书宋简体" w:eastAsia="方正书宋简体" w:cs="方正书宋简体"/>
          <w:spacing w:val="-12"/>
          <w:sz w:val="24"/>
          <w:szCs w:val="24"/>
        </w:rPr>
        <w:t>充分抓住国家实施卓越工程师、卓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越农林人才、卓越法律人才、卓越医生、卓越新闻传播人才、卓越教师等教育培养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计划实施的机遇，以提高学生实践能力为切入点，探索与有关部门、科研院所、行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业企业联合培养人才模式，推进校企合作、产教融合。充分利用实践教学、课外实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践活动和学科竞赛活动提高学生实践动手能力，切实有效地开展学生的创新创业教</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育，传授学生创新创业知识、锻炼学生创新创业能力、培养学生创新创业精神。</w:t>
      </w:r>
    </w:p>
    <w:p>
      <w:pPr>
        <w:spacing w:before="6" w:line="305" w:lineRule="auto"/>
        <w:ind w:left="1" w:right="95" w:firstLine="499"/>
        <w:rPr>
          <w:rFonts w:ascii="方正书宋简体" w:hAnsi="方正书宋简体" w:eastAsia="方正书宋简体" w:cs="方正书宋简体"/>
          <w:sz w:val="24"/>
          <w:szCs w:val="24"/>
        </w:rPr>
      </w:pPr>
      <w:r>
        <w:rPr>
          <w:rFonts w:ascii="楷体" w:hAnsi="楷体" w:eastAsia="楷体" w:cs="楷体"/>
          <w:spacing w:val="-11"/>
          <w:sz w:val="24"/>
          <w:szCs w:val="24"/>
          <w14:textOutline w14:w="3048" w14:cap="flat" w14:cmpd="sng">
            <w14:solidFill>
              <w14:srgbClr w14:val="000000"/>
            </w14:solidFill>
            <w14:prstDash w14:val="solid"/>
            <w14:miter w14:val="1"/>
          </w14:textOutline>
        </w:rPr>
        <w:t>5、探索协同育人体制机制。</w:t>
      </w:r>
      <w:r>
        <w:rPr>
          <w:rFonts w:ascii="楷体" w:hAnsi="楷体" w:eastAsia="楷体" w:cs="楷体"/>
          <w:spacing w:val="57"/>
          <w:sz w:val="24"/>
          <w:szCs w:val="24"/>
        </w:rPr>
        <w:t xml:space="preserve"> </w:t>
      </w:r>
      <w:r>
        <w:rPr>
          <w:rFonts w:ascii="方正书宋简体" w:hAnsi="方正书宋简体" w:eastAsia="方正书宋简体" w:cs="方正书宋简体"/>
          <w:spacing w:val="-11"/>
          <w:sz w:val="24"/>
          <w:szCs w:val="24"/>
        </w:rPr>
        <w:t>按照产教融合的原则，</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试点专业积极探索校校、校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企、校政、校院、校所等实务部门合作的协同育人新机制。充分利用实物部门提供</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的人力资源、场地资源、生产资源、实训资源进行人才培养，充分吸收实务部门的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管理骨干、技术骨干深度参与人才培养方案的制定、课程教学质量标准的设置、课</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程教学内容的审定，充分对接行业产业等实务部门对专业人才在知识、能力和素质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上的新要求。探索校内各专业人才培养的协同机制，推动优势教学资源的共享，探</w:t>
      </w:r>
    </w:p>
    <w:p>
      <w:pPr>
        <w:sectPr>
          <w:footerReference r:id="rId30" w:type="default"/>
          <w:pgSz w:w="11905" w:h="16840"/>
          <w:pgMar w:top="1431" w:right="1490" w:bottom="1395" w:left="1590" w:header="0" w:footer="1250" w:gutter="0"/>
          <w:cols w:space="720" w:num="1"/>
        </w:sectPr>
      </w:pPr>
    </w:p>
    <w:p>
      <w:pPr>
        <w:spacing w:before="300" w:line="301" w:lineRule="auto"/>
        <w:ind w:right="101" w:firstLine="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索跨院系、跨学科、跨专业交叉培养学生的新机制，根据学生个性发展和经济社会</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发展需要，培养高素质复合型应用型本科人才。推动试点专业参与专业评估和专业</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认证，探索专业办学国家化的新体制机制，开阔学生的国际视野。</w:t>
      </w:r>
    </w:p>
    <w:p>
      <w:pPr>
        <w:spacing w:before="23" w:line="305" w:lineRule="auto"/>
        <w:ind w:left="2" w:right="94" w:firstLine="473"/>
        <w:rPr>
          <w:rFonts w:ascii="方正书宋简体" w:hAnsi="方正书宋简体" w:eastAsia="方正书宋简体" w:cs="方正书宋简体"/>
          <w:sz w:val="24"/>
          <w:szCs w:val="24"/>
        </w:rPr>
      </w:pPr>
      <w:r>
        <w:rPr>
          <w:rFonts w:ascii="楷体" w:hAnsi="楷体" w:eastAsia="楷体" w:cs="楷体"/>
          <w:spacing w:val="-11"/>
          <w:w w:val="96"/>
          <w:sz w:val="24"/>
          <w:szCs w:val="24"/>
          <w14:textOutline w14:w="3048" w14:cap="flat" w14:cmpd="sng">
            <w14:solidFill>
              <w14:srgbClr w14:val="000000"/>
            </w14:solidFill>
            <w14:prstDash w14:val="solid"/>
            <w14:miter w14:val="1"/>
          </w14:textOutline>
        </w:rPr>
        <w:t>6、优化师资队伍结构，</w:t>
      </w:r>
      <w:r>
        <w:rPr>
          <w:rFonts w:ascii="楷体" w:hAnsi="楷体" w:eastAsia="楷体" w:cs="楷体"/>
          <w:spacing w:val="146"/>
          <w:sz w:val="24"/>
          <w:szCs w:val="24"/>
        </w:rPr>
        <w:t xml:space="preserve"> </w:t>
      </w:r>
      <w:r>
        <w:rPr>
          <w:rFonts w:ascii="楷体" w:hAnsi="楷体" w:eastAsia="楷体" w:cs="楷体"/>
          <w:spacing w:val="-11"/>
          <w:w w:val="96"/>
          <w:sz w:val="24"/>
          <w:szCs w:val="24"/>
          <w14:textOutline w14:w="3048" w14:cap="flat" w14:cmpd="sng">
            <w14:solidFill>
              <w14:srgbClr w14:val="000000"/>
            </w14:solidFill>
            <w14:prstDash w14:val="solid"/>
            <w14:miter w14:val="1"/>
          </w14:textOutline>
        </w:rPr>
        <w:t>强化教师教学能力建设。</w:t>
      </w:r>
      <w:r>
        <w:rPr>
          <w:rFonts w:ascii="楷体" w:hAnsi="楷体" w:eastAsia="楷体" w:cs="楷体"/>
          <w:spacing w:val="48"/>
          <w:sz w:val="24"/>
          <w:szCs w:val="24"/>
        </w:rPr>
        <w:t xml:space="preserve"> </w:t>
      </w:r>
      <w:r>
        <w:rPr>
          <w:rFonts w:ascii="方正书宋简体" w:hAnsi="方正书宋简体" w:eastAsia="方正书宋简体" w:cs="方正书宋简体"/>
          <w:spacing w:val="-11"/>
          <w:w w:val="96"/>
          <w:sz w:val="24"/>
          <w:szCs w:val="24"/>
        </w:rPr>
        <w:t>采用引进与培养相结合的方式，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提升改革专业师资队伍的学历层次和职称层次。落实专业负责人制度，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sz w:val="24"/>
          <w:szCs w:val="24"/>
        </w:rPr>
        <w:t>以形成知识结构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合理、梯队明显，</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7"/>
          <w:sz w:val="24"/>
          <w:szCs w:val="24"/>
        </w:rPr>
        <w:t>具有发展潜力的师资队伍为目标，</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7"/>
          <w:sz w:val="24"/>
          <w:szCs w:val="24"/>
        </w:rPr>
        <w:t>鼓励教师努力提高教学能力与教学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8"/>
          <w:sz w:val="24"/>
          <w:szCs w:val="24"/>
        </w:rPr>
        <w:t>水平。建立教师继续教育、定期培训、挂职锻炼、</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8"/>
          <w:sz w:val="24"/>
          <w:szCs w:val="24"/>
        </w:rPr>
        <w:t>参加教学会议的专门制度，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8"/>
          <w:sz w:val="24"/>
          <w:szCs w:val="24"/>
        </w:rPr>
        <w:t>确保一线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教师有进一步提高自身业务素质与业务能力的学习机会。对新引进的青年教师，</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sz w:val="24"/>
          <w:szCs w:val="24"/>
        </w:rPr>
        <w:t>配备专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门指导教师，</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sz w:val="24"/>
          <w:szCs w:val="24"/>
        </w:rPr>
        <w:t>帮助其站稳讲台、过好教学关。落实教授为本科生低年级学生上课的重要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制度，安排教授为本科生上基础课和主干课，使课堂教学质量有保障。</w:t>
      </w:r>
    </w:p>
    <w:p>
      <w:pPr>
        <w:spacing w:before="2" w:line="304" w:lineRule="auto"/>
        <w:ind w:firstLine="485"/>
        <w:rPr>
          <w:rFonts w:ascii="方正书宋简体" w:hAnsi="方正书宋简体" w:eastAsia="方正书宋简体" w:cs="方正书宋简体"/>
          <w:sz w:val="24"/>
          <w:szCs w:val="24"/>
        </w:rPr>
      </w:pPr>
      <w:r>
        <w:rPr>
          <w:rFonts w:ascii="楷体" w:hAnsi="楷体" w:eastAsia="楷体" w:cs="楷体"/>
          <w:spacing w:val="-12"/>
          <w:w w:val="99"/>
          <w:sz w:val="24"/>
          <w:szCs w:val="24"/>
          <w14:textOutline w14:w="3048" w14:cap="flat" w14:cmpd="sng">
            <w14:solidFill>
              <w14:srgbClr w14:val="000000"/>
            </w14:solidFill>
            <w14:prstDash w14:val="solid"/>
            <w14:miter w14:val="1"/>
          </w14:textOutline>
        </w:rPr>
        <w:t>7、加强实验室和校内外实践实训基地建设。</w:t>
      </w:r>
      <w:r>
        <w:rPr>
          <w:rFonts w:ascii="楷体" w:hAnsi="楷体" w:eastAsia="楷体" w:cs="楷体"/>
          <w:spacing w:val="130"/>
          <w:sz w:val="24"/>
          <w:szCs w:val="24"/>
        </w:rPr>
        <w:t xml:space="preserve"> </w:t>
      </w:r>
      <w:r>
        <w:rPr>
          <w:rFonts w:ascii="方正书宋简体" w:hAnsi="方正书宋简体" w:eastAsia="方正书宋简体" w:cs="方正书宋简体"/>
          <w:spacing w:val="-12"/>
          <w:w w:val="99"/>
          <w:sz w:val="24"/>
          <w:szCs w:val="24"/>
        </w:rPr>
        <w:t>加大实验室建设投入，提高实验室建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设水平。改革实验室管理体制，</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8"/>
          <w:sz w:val="24"/>
          <w:szCs w:val="24"/>
        </w:rPr>
        <w:t>更新实验教学内容，</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8"/>
          <w:sz w:val="24"/>
          <w:szCs w:val="24"/>
        </w:rPr>
        <w:t>增加综合性、设计性、创新性实验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项目。</w:t>
      </w:r>
      <w:r>
        <w:rPr>
          <w:rFonts w:ascii="方正书宋简体" w:hAnsi="方正书宋简体" w:eastAsia="方正书宋简体" w:cs="方正书宋简体"/>
          <w:spacing w:val="42"/>
          <w:w w:val="101"/>
          <w:sz w:val="24"/>
          <w:szCs w:val="24"/>
        </w:rPr>
        <w:t xml:space="preserve"> </w:t>
      </w:r>
      <w:r>
        <w:rPr>
          <w:rFonts w:ascii="方正书宋简体" w:hAnsi="方正书宋简体" w:eastAsia="方正书宋简体" w:cs="方正书宋简体"/>
          <w:spacing w:val="-15"/>
          <w:sz w:val="24"/>
          <w:szCs w:val="24"/>
        </w:rPr>
        <w:t>实训实习的课时占专业教学总课时的比例应达到</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5"/>
          <w:sz w:val="24"/>
          <w:szCs w:val="24"/>
        </w:rPr>
        <w:t>30%以上。</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5"/>
          <w:sz w:val="24"/>
          <w:szCs w:val="24"/>
        </w:rPr>
        <w:t>加强各专业实践实训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基地建设，</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21"/>
          <w:sz w:val="24"/>
          <w:szCs w:val="24"/>
        </w:rPr>
        <w:t>引导各专业既要重视基地的教学功能，</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21"/>
          <w:sz w:val="24"/>
          <w:szCs w:val="24"/>
        </w:rPr>
        <w:t>又要考虑基地的科研功能，</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1"/>
          <w:sz w:val="24"/>
          <w:szCs w:val="24"/>
        </w:rPr>
        <w:t>建立教学、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科研、生产三结合的教学模式，切实提高学生的实践能力与创新能力。</w:t>
      </w:r>
    </w:p>
    <w:p>
      <w:pPr>
        <w:spacing w:before="8" w:line="293" w:lineRule="auto"/>
        <w:ind w:left="1" w:right="6" w:firstLine="500"/>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8、推动学生学业成绩评价改革</w:t>
      </w:r>
      <w:r>
        <w:rPr>
          <w:rFonts w:ascii="方正书宋简体" w:hAnsi="方正书宋简体" w:eastAsia="方正书宋简体" w:cs="方正书宋简体"/>
          <w:spacing w:val="-6"/>
          <w:sz w:val="24"/>
          <w:szCs w:val="24"/>
        </w:rPr>
        <w:t>。改革学生学业成绩评价方式，</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6"/>
          <w:sz w:val="24"/>
          <w:szCs w:val="24"/>
        </w:rPr>
        <w:t>将结果性评价与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形成性评价有机结合，大力推进考试考核内容和方法改革，在注重基础理论知识考</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核的同时，加强专业技能、创新创业能力的考核。积极探索非标准答案考试，注重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考查学生运用知识分析、解决问题的能力，专业核心课程中非标准答案考试课程达</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到</w:t>
      </w:r>
      <w:r>
        <w:rPr>
          <w:rFonts w:ascii="方正书宋简体" w:hAnsi="方正书宋简体" w:eastAsia="方正书宋简体" w:cs="方正书宋简体"/>
          <w:spacing w:val="88"/>
          <w:sz w:val="24"/>
          <w:szCs w:val="24"/>
        </w:rPr>
        <w:t xml:space="preserve"> </w:t>
      </w:r>
      <w:r>
        <w:rPr>
          <w:rFonts w:ascii="方正书宋简体" w:hAnsi="方正书宋简体" w:eastAsia="方正书宋简体" w:cs="方正书宋简体"/>
          <w:spacing w:val="-2"/>
          <w:sz w:val="24"/>
          <w:szCs w:val="24"/>
        </w:rPr>
        <w:t>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门以上。尝试将学生在实践环节中创作发表、出版的各类与课程教学相关的作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品，参与学科竞赛取得的成绩作为学生学业总成绩的重要组成部分。将学生课堂讨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论、课程论文、读书心得、实践方案、创意设计、课题研究、专利产品、活动策划、</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社团管理、社会服务等方面纳入学生学业成绩评价范围。推动考试改革，结合专业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特点，设置相应的考试方式与考试形式。</w:t>
      </w:r>
    </w:p>
    <w:p>
      <w:pPr>
        <w:spacing w:before="159" w:line="305" w:lineRule="auto"/>
        <w:ind w:right="97" w:firstLine="501"/>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9、强化学科对专业的支撑力度。</w:t>
      </w:r>
      <w:r>
        <w:rPr>
          <w:rFonts w:ascii="楷体" w:hAnsi="楷体" w:eastAsia="楷体" w:cs="楷体"/>
          <w:spacing w:val="76"/>
          <w:sz w:val="24"/>
          <w:szCs w:val="24"/>
        </w:rPr>
        <w:t xml:space="preserve"> </w:t>
      </w:r>
      <w:r>
        <w:rPr>
          <w:rFonts w:ascii="方正书宋简体" w:hAnsi="方正书宋简体" w:eastAsia="方正书宋简体" w:cs="方正书宋简体"/>
          <w:spacing w:val="-7"/>
          <w:sz w:val="24"/>
          <w:szCs w:val="24"/>
        </w:rPr>
        <w:t>综合改革试点专业要统筹学科与专业的发展，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巩固本科教学的基础地位，科学研究、社会服务与文化传承创新都要围绕人才培养</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来展开。学科的发展始终要为专业办学水平的提高服务，切实改变学科发展与专业</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建设的错位现象，改革激励措施和政策杠杠引导教师围绕人才培养和专业建设来开</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展科学研究工作，实现学科与专业的相互促进、协调发展。</w:t>
      </w:r>
    </w:p>
    <w:p>
      <w:pPr>
        <w:spacing w:before="5" w:line="293" w:lineRule="auto"/>
        <w:ind w:left="2" w:right="100" w:firstLine="482"/>
        <w:rPr>
          <w:rFonts w:ascii="方正书宋简体" w:hAnsi="方正书宋简体" w:eastAsia="方正书宋简体" w:cs="方正书宋简体"/>
          <w:sz w:val="24"/>
          <w:szCs w:val="24"/>
        </w:rPr>
      </w:pPr>
      <w:r>
        <w:rPr>
          <w:rFonts w:ascii="楷体" w:hAnsi="楷体" w:eastAsia="楷体" w:cs="楷体"/>
          <w:spacing w:val="-9"/>
          <w:sz w:val="24"/>
          <w:szCs w:val="24"/>
          <w14:textOutline w14:w="3048" w14:cap="flat" w14:cmpd="sng">
            <w14:solidFill>
              <w14:srgbClr w14:val="000000"/>
            </w14:solidFill>
            <w14:prstDash w14:val="solid"/>
            <w14:miter w14:val="1"/>
          </w14:textOutline>
        </w:rPr>
        <w:t>10、健全教学质量监控与保障体系。</w:t>
      </w:r>
      <w:r>
        <w:rPr>
          <w:rFonts w:ascii="楷体" w:hAnsi="楷体" w:eastAsia="楷体" w:cs="楷体"/>
          <w:spacing w:val="49"/>
          <w:sz w:val="24"/>
          <w:szCs w:val="24"/>
        </w:rPr>
        <w:t xml:space="preserve"> </w:t>
      </w:r>
      <w:r>
        <w:rPr>
          <w:rFonts w:ascii="方正书宋简体" w:hAnsi="方正书宋简体" w:eastAsia="方正书宋简体" w:cs="方正书宋简体"/>
          <w:spacing w:val="-9"/>
          <w:sz w:val="24"/>
          <w:szCs w:val="24"/>
        </w:rPr>
        <w:t>各改革试点专业要认真探索高等教育进入大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众化阶段的质量标准，结合学校实际，</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构建专业人才培养的质量监控和保障体系：改</w:t>
      </w:r>
    </w:p>
    <w:p>
      <w:pPr>
        <w:sectPr>
          <w:footerReference r:id="rId31" w:type="default"/>
          <w:pgSz w:w="11905" w:h="16840"/>
          <w:pgMar w:top="1431" w:right="1484" w:bottom="1395" w:left="1588" w:header="0" w:footer="1250" w:gutter="0"/>
          <w:cols w:space="720" w:num="1"/>
        </w:sectPr>
      </w:pPr>
    </w:p>
    <w:p>
      <w:pPr>
        <w:spacing w:before="295" w:line="302" w:lineRule="auto"/>
        <w:ind w:left="1" w:right="76"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革专业要准确把握专业人才培养总体目标和规格，负责各教学环节的质量标准建设；</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5"/>
          <w:sz w:val="24"/>
          <w:szCs w:val="24"/>
        </w:rPr>
        <w:t>教师负责课程质量，执行教学环节的质量标准。各改革试点专业要主动适应经济社会</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发展对多样化人才的需求，建立人才培养要求的动态调整机制，根据人才市场变化，</w:t>
      </w:r>
      <w:r>
        <w:rPr>
          <w:rFonts w:ascii="方正书宋简体" w:hAnsi="方正书宋简体" w:eastAsia="方正书宋简体" w:cs="方正书宋简体"/>
          <w:spacing w:val="15"/>
          <w:w w:val="102"/>
          <w:sz w:val="24"/>
          <w:szCs w:val="24"/>
        </w:rPr>
        <w:t xml:space="preserve">  </w:t>
      </w:r>
      <w:r>
        <w:rPr>
          <w:rFonts w:ascii="方正书宋简体" w:hAnsi="方正书宋简体" w:eastAsia="方正书宋简体" w:cs="方正书宋简体"/>
          <w:spacing w:val="-5"/>
          <w:sz w:val="24"/>
          <w:szCs w:val="24"/>
        </w:rPr>
        <w:t>及时调整已有专业的方向和人才培养计划，确保人才培养的社会适应性和质量标准。</w:t>
      </w:r>
    </w:p>
    <w:p>
      <w:pPr>
        <w:spacing w:before="25" w:line="277" w:lineRule="auto"/>
        <w:ind w:left="2" w:right="77" w:firstLine="491"/>
        <w:rPr>
          <w:rFonts w:ascii="方正书宋简体" w:hAnsi="方正书宋简体" w:eastAsia="方正书宋简体" w:cs="方正书宋简体"/>
          <w:sz w:val="24"/>
          <w:szCs w:val="24"/>
        </w:rPr>
      </w:pPr>
      <w:r>
        <w:rPr>
          <w:rFonts w:ascii="楷体" w:hAnsi="楷体" w:eastAsia="楷体" w:cs="楷体"/>
          <w:spacing w:val="-3"/>
          <w:sz w:val="24"/>
          <w:szCs w:val="24"/>
          <w14:textOutline w14:w="3048" w14:cap="flat" w14:cmpd="sng">
            <w14:solidFill>
              <w14:srgbClr w14:val="000000"/>
            </w14:solidFill>
            <w14:prstDash w14:val="solid"/>
            <w14:miter w14:val="1"/>
          </w14:textOutline>
        </w:rPr>
        <w:t>11、推进教育教学与人才培养国际化。</w:t>
      </w:r>
      <w:r>
        <w:rPr>
          <w:rFonts w:ascii="楷体" w:hAnsi="楷体" w:eastAsia="楷体" w:cs="楷体"/>
          <w:spacing w:val="58"/>
          <w:sz w:val="24"/>
          <w:szCs w:val="24"/>
        </w:rPr>
        <w:t xml:space="preserve"> </w:t>
      </w:r>
      <w:r>
        <w:rPr>
          <w:rFonts w:ascii="方正书宋简体" w:hAnsi="方正书宋简体" w:eastAsia="方正书宋简体" w:cs="方正书宋简体"/>
          <w:spacing w:val="-3"/>
          <w:sz w:val="24"/>
          <w:szCs w:val="24"/>
        </w:rPr>
        <w:t>树立开放的、国际化的办学理念，鼓励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有条件的专业积极开展师资队伍海外访学，优秀学生双向交流和联合培养，引进海</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外名师授课，引进国际学术前沿课程和原版教材，推动任课教师双语教学，鼓励试</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点专业参与国际教育教学与评估。</w:t>
      </w:r>
    </w:p>
    <w:p>
      <w:pPr>
        <w:spacing w:before="151" w:line="180" w:lineRule="auto"/>
        <w:ind w:firstLine="479"/>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五、专业综合改革试点的保障措施</w:t>
      </w:r>
    </w:p>
    <w:p>
      <w:pPr>
        <w:spacing w:before="136" w:line="302" w:lineRule="auto"/>
        <w:ind w:left="2" w:firstLine="491"/>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1、加强组织领导</w:t>
      </w:r>
      <w:r>
        <w:rPr>
          <w:rFonts w:ascii="方正书宋简体" w:hAnsi="方正书宋简体" w:eastAsia="方正书宋简体" w:cs="方正书宋简体"/>
          <w:spacing w:val="-6"/>
          <w:sz w:val="24"/>
          <w:szCs w:val="24"/>
        </w:rPr>
        <w:t>。学校成立专业综合改革试点领导小组，</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6"/>
          <w:sz w:val="24"/>
          <w:szCs w:val="24"/>
        </w:rPr>
        <w:t>负责确定学校专业综</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合改革的方向、任务和目标，负责专业综合改革试点的宏观指导和各项重大工作的</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统筹与决策。试点专业实施项目主持人负责制，学院要遴选教学水平高、管理经验</w:t>
      </w:r>
      <w:r>
        <w:rPr>
          <w:rFonts w:ascii="方正书宋简体" w:hAnsi="方正书宋简体" w:eastAsia="方正书宋简体" w:cs="方正书宋简体"/>
          <w:spacing w:val="4"/>
          <w:w w:val="102"/>
          <w:sz w:val="24"/>
          <w:szCs w:val="24"/>
        </w:rPr>
        <w:t xml:space="preserve">  </w:t>
      </w:r>
      <w:r>
        <w:rPr>
          <w:rFonts w:ascii="方正书宋简体" w:hAnsi="方正书宋简体" w:eastAsia="方正书宋简体" w:cs="方正书宋简体"/>
          <w:spacing w:val="-13"/>
          <w:sz w:val="24"/>
          <w:szCs w:val="24"/>
        </w:rPr>
        <w:t>丰富、组织协调能力强的教师担任项目主持人，</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自主设计改革方案，</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3"/>
          <w:sz w:val="24"/>
          <w:szCs w:val="24"/>
        </w:rPr>
        <w:t>明确改革任务，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抓好改革任务落实。学院要加强综合改革试点专业的管理与指导，确保改革试点工</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作有序推进，取得实效。</w:t>
      </w:r>
    </w:p>
    <w:p>
      <w:pPr>
        <w:spacing w:before="25" w:line="303" w:lineRule="auto"/>
        <w:ind w:right="74" w:firstLine="479"/>
        <w:rPr>
          <w:rFonts w:ascii="方正书宋简体" w:hAnsi="方正书宋简体" w:eastAsia="方正书宋简体" w:cs="方正书宋简体"/>
          <w:sz w:val="24"/>
          <w:szCs w:val="24"/>
        </w:rPr>
      </w:pPr>
      <w:r>
        <w:rPr>
          <w:rFonts w:ascii="楷体" w:hAnsi="楷体" w:eastAsia="楷体" w:cs="楷体"/>
          <w:spacing w:val="-6"/>
          <w:sz w:val="24"/>
          <w:szCs w:val="24"/>
          <w14:textOutline w14:w="3048" w14:cap="flat" w14:cmpd="sng">
            <w14:solidFill>
              <w14:srgbClr w14:val="000000"/>
            </w14:solidFill>
            <w14:prstDash w14:val="solid"/>
            <w14:miter w14:val="1"/>
          </w14:textOutline>
        </w:rPr>
        <w:t>2、强化制度保障。</w:t>
      </w:r>
      <w:r>
        <w:rPr>
          <w:rFonts w:ascii="楷体" w:hAnsi="楷体" w:eastAsia="楷体" w:cs="楷体"/>
          <w:spacing w:val="64"/>
          <w:sz w:val="24"/>
          <w:szCs w:val="24"/>
        </w:rPr>
        <w:t xml:space="preserve"> </w:t>
      </w:r>
      <w:r>
        <w:rPr>
          <w:rFonts w:ascii="方正书宋简体" w:hAnsi="方正书宋简体" w:eastAsia="方正书宋简体" w:cs="方正书宋简体"/>
          <w:spacing w:val="-6"/>
          <w:sz w:val="24"/>
          <w:szCs w:val="24"/>
        </w:rPr>
        <w:t>在学校以及省级以上的各类教学建设项目遴选与推荐时，加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大对综合改革试点专业的支持力度，</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9"/>
          <w:sz w:val="24"/>
          <w:szCs w:val="24"/>
        </w:rPr>
        <w:t>优先遴选与推荐有力支撑专业综合改革试点专业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建设的项目。在教学业绩考核、学院教学管理考核、教师专业技术职务晋升等方面认</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9"/>
          <w:sz w:val="24"/>
          <w:szCs w:val="24"/>
        </w:rPr>
        <w:t>可教师在专业综合改革试点工作中取得的成绩，</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9"/>
          <w:sz w:val="24"/>
          <w:szCs w:val="24"/>
        </w:rPr>
        <w:t>激发专业教师参与教学改革和教学建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设的主动性和积极性。确保综合改革试点专业在课程体系设计、课程教学内容安排、</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双师双能型教师培养、兼职教师的聘任的自主权，建立协同育人的长效机制与体制。</w:t>
      </w:r>
    </w:p>
    <w:p>
      <w:pPr>
        <w:spacing w:before="24" w:line="302" w:lineRule="auto"/>
        <w:ind w:left="5" w:right="22" w:firstLine="561"/>
        <w:rPr>
          <w:rFonts w:ascii="方正书宋简体" w:hAnsi="方正书宋简体" w:eastAsia="方正书宋简体" w:cs="方正书宋简体"/>
          <w:sz w:val="24"/>
          <w:szCs w:val="24"/>
        </w:rPr>
      </w:pPr>
      <w:r>
        <w:rPr>
          <w:rFonts w:ascii="楷体" w:hAnsi="楷体" w:eastAsia="楷体" w:cs="楷体"/>
          <w:spacing w:val="-7"/>
          <w:sz w:val="24"/>
          <w:szCs w:val="24"/>
          <w14:textOutline w14:w="3048" w14:cap="flat" w14:cmpd="sng">
            <w14:solidFill>
              <w14:srgbClr w14:val="000000"/>
            </w14:solidFill>
            <w14:prstDash w14:val="solid"/>
            <w14:miter w14:val="1"/>
          </w14:textOutline>
        </w:rPr>
        <w:t>3、增加经费投入。</w:t>
      </w:r>
      <w:r>
        <w:rPr>
          <w:rFonts w:ascii="楷体" w:hAnsi="楷体" w:eastAsia="楷体" w:cs="楷体"/>
          <w:spacing w:val="63"/>
          <w:sz w:val="24"/>
          <w:szCs w:val="24"/>
        </w:rPr>
        <w:t xml:space="preserve"> </w:t>
      </w:r>
      <w:r>
        <w:rPr>
          <w:rFonts w:ascii="方正书宋简体" w:hAnsi="方正书宋简体" w:eastAsia="方正书宋简体" w:cs="方正书宋简体"/>
          <w:spacing w:val="-7"/>
          <w:sz w:val="24"/>
          <w:szCs w:val="24"/>
        </w:rPr>
        <w:t>学校进一步加大对本级专业综合改革试点专业的经费投入，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在试点期间，</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被遴选进入综合改革试点的专业每年支持经费不少于</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10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sz w:val="24"/>
          <w:szCs w:val="24"/>
        </w:rPr>
        <w:t>万元。支持试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点专业开展综合改革的各项合理支出得到应有的保障。学校制定试点专业项目经费</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管理办法，严格项目经费管理，教务处和学院负责专项经费统筹使用的宏观管理，</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确保经费使用规范，提高经费使用效益。</w:t>
      </w:r>
    </w:p>
    <w:p>
      <w:pPr>
        <w:spacing w:before="27" w:line="303" w:lineRule="auto"/>
        <w:ind w:left="1" w:right="2" w:firstLine="554"/>
        <w:rPr>
          <w:rFonts w:ascii="方正书宋简体" w:hAnsi="方正书宋简体" w:eastAsia="方正书宋简体" w:cs="方正书宋简体"/>
          <w:sz w:val="24"/>
          <w:szCs w:val="24"/>
        </w:rPr>
      </w:pPr>
      <w:r>
        <w:rPr>
          <w:rFonts w:ascii="楷体" w:hAnsi="楷体" w:eastAsia="楷体" w:cs="楷体"/>
          <w:spacing w:val="-4"/>
          <w:sz w:val="24"/>
          <w:szCs w:val="24"/>
          <w14:textOutline w14:w="3048" w14:cap="flat" w14:cmpd="sng">
            <w14:solidFill>
              <w14:srgbClr w14:val="000000"/>
            </w14:solidFill>
            <w14:prstDash w14:val="solid"/>
            <w14:miter w14:val="1"/>
          </w14:textOutline>
        </w:rPr>
        <w:t>4、加强过程管理</w:t>
      </w:r>
      <w:r>
        <w:rPr>
          <w:rFonts w:ascii="方正书宋简体" w:hAnsi="方正书宋简体" w:eastAsia="方正书宋简体" w:cs="方正书宋简体"/>
          <w:spacing w:val="-4"/>
          <w:sz w:val="24"/>
          <w:szCs w:val="24"/>
        </w:rPr>
        <w:t>。定期通报综合改革试点专业建设状况。根据学校专业综合改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革的总体目标和改革试点专业的具体改革任务。学校和学院对专业综合改革试点专</w:t>
      </w:r>
      <w:r>
        <w:rPr>
          <w:rFonts w:ascii="方正书宋简体" w:hAnsi="方正书宋简体" w:eastAsia="方正书宋简体" w:cs="方正书宋简体"/>
          <w:spacing w:val="1"/>
          <w:w w:val="103"/>
          <w:sz w:val="24"/>
          <w:szCs w:val="24"/>
        </w:rPr>
        <w:t xml:space="preserve">  </w:t>
      </w:r>
      <w:r>
        <w:rPr>
          <w:rFonts w:ascii="方正书宋简体" w:hAnsi="方正书宋简体" w:eastAsia="方正书宋简体" w:cs="方正书宋简体"/>
          <w:spacing w:val="-7"/>
          <w:sz w:val="24"/>
          <w:szCs w:val="24"/>
        </w:rPr>
        <w:t>业进行集中年度督查、评估和考核，</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协助各专业查找制约专业综合改革的瓶颈问题，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建立专业综合改革任务完成情况的动态数据库和专业综合改革成果奖励的激励机</w:t>
      </w:r>
      <w:r>
        <w:rPr>
          <w:rFonts w:ascii="方正书宋简体" w:hAnsi="方正书宋简体" w:eastAsia="方正书宋简体" w:cs="方正书宋简体"/>
          <w:spacing w:val="5"/>
          <w:w w:val="103"/>
          <w:sz w:val="24"/>
          <w:szCs w:val="24"/>
        </w:rPr>
        <w:t xml:space="preserve">  </w:t>
      </w:r>
      <w:r>
        <w:rPr>
          <w:rFonts w:ascii="方正书宋简体" w:hAnsi="方正书宋简体" w:eastAsia="方正书宋简体" w:cs="方正书宋简体"/>
          <w:spacing w:val="-2"/>
          <w:sz w:val="24"/>
          <w:szCs w:val="24"/>
        </w:rPr>
        <w:t>制，促进专业提高办学水平，实现改革的目标。</w:t>
      </w:r>
    </w:p>
    <w:p>
      <w:pPr>
        <w:sectPr>
          <w:footerReference r:id="rId32" w:type="default"/>
          <w:pgSz w:w="11905" w:h="16840"/>
          <w:pgMar w:top="1431" w:right="1507" w:bottom="1395" w:left="1588" w:header="0" w:footer="1250" w:gutter="0"/>
          <w:cols w:space="720" w:num="1"/>
        </w:sectPr>
      </w:pPr>
    </w:p>
    <w:p>
      <w:pPr>
        <w:spacing w:before="315" w:line="180" w:lineRule="auto"/>
        <w:ind w:firstLine="1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附件：</w:t>
      </w:r>
    </w:p>
    <w:p>
      <w:pPr>
        <w:spacing w:before="124" w:line="182" w:lineRule="auto"/>
        <w:ind w:left="3641" w:right="1339" w:hanging="2285"/>
        <w:rPr>
          <w:rFonts w:ascii="Microsoft JhengHei" w:hAnsi="Microsoft JhengHei" w:eastAsia="Microsoft JhengHei" w:cs="Microsoft JhengHei"/>
          <w:sz w:val="30"/>
          <w:szCs w:val="30"/>
        </w:rPr>
      </w:pPr>
      <w:r>
        <w:rPr>
          <w:rFonts w:ascii="Microsoft JhengHei" w:hAnsi="Microsoft JhengHei" w:eastAsia="Microsoft JhengHei" w:cs="Microsoft JhengHei"/>
          <w:spacing w:val="-1"/>
          <w:sz w:val="30"/>
          <w:szCs w:val="30"/>
        </w:rPr>
        <w:t>吉首大学“十三五”本科专业综合改革试点项目</w:t>
      </w:r>
      <w:r>
        <w:rPr>
          <w:rFonts w:ascii="Microsoft JhengHei" w:hAnsi="Microsoft JhengHei" w:eastAsia="Microsoft JhengHei" w:cs="Microsoft JhengHei"/>
          <w:spacing w:val="3"/>
          <w:sz w:val="30"/>
          <w:szCs w:val="30"/>
        </w:rPr>
        <w:t xml:space="preserve"> </w:t>
      </w:r>
      <w:r>
        <w:rPr>
          <w:rFonts w:ascii="Microsoft JhengHei" w:hAnsi="Microsoft JhengHei" w:eastAsia="Microsoft JhengHei" w:cs="Microsoft JhengHei"/>
          <w:spacing w:val="-8"/>
          <w:sz w:val="30"/>
          <w:szCs w:val="30"/>
        </w:rPr>
        <w:t>目标任务指标</w:t>
      </w:r>
    </w:p>
    <w:p>
      <w:pPr>
        <w:spacing w:line="21" w:lineRule="exact"/>
      </w:pPr>
    </w:p>
    <w:tbl>
      <w:tblPr>
        <w:tblStyle w:val="4"/>
        <w:tblW w:w="896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2028"/>
        <w:gridCol w:w="5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284" w:type="dxa"/>
            <w:tcBorders>
              <w:top w:val="single" w:color="000000" w:sz="6" w:space="0"/>
              <w:left w:val="single" w:color="000000" w:sz="6" w:space="0"/>
            </w:tcBorders>
            <w:vAlign w:val="top"/>
          </w:tcPr>
          <w:p>
            <w:pPr>
              <w:spacing w:before="95" w:line="180" w:lineRule="auto"/>
              <w:ind w:firstLine="2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一级指标</w:t>
            </w:r>
          </w:p>
        </w:tc>
        <w:tc>
          <w:tcPr>
            <w:tcW w:w="2028" w:type="dxa"/>
            <w:tcBorders>
              <w:top w:val="single" w:color="000000" w:sz="6" w:space="0"/>
            </w:tcBorders>
            <w:vAlign w:val="top"/>
          </w:tcPr>
          <w:p>
            <w:pPr>
              <w:spacing w:before="95"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二级指标</w:t>
            </w:r>
          </w:p>
        </w:tc>
        <w:tc>
          <w:tcPr>
            <w:tcW w:w="5651" w:type="dxa"/>
            <w:tcBorders>
              <w:top w:val="single" w:color="000000" w:sz="6" w:space="0"/>
              <w:right w:val="single" w:color="000000" w:sz="6" w:space="0"/>
            </w:tcBorders>
            <w:vAlign w:val="top"/>
          </w:tcPr>
          <w:p>
            <w:pPr>
              <w:spacing w:before="94" w:line="180" w:lineRule="auto"/>
              <w:ind w:firstLine="2440"/>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14:textOutline w14:w="2667" w14:cap="flat" w14:cmpd="sng">
                  <w14:solidFill>
                    <w14:srgbClr w14:val="000000"/>
                  </w14:solidFill>
                  <w14:prstDash w14:val="solid"/>
                  <w14:miter w14:val="1"/>
                </w14:textOutline>
              </w:rPr>
              <w:t>目标任务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284" w:type="dxa"/>
            <w:vMerge w:val="restart"/>
            <w:tcBorders>
              <w:left w:val="single" w:color="000000" w:sz="6" w:space="0"/>
              <w:bottom w:val="nil"/>
            </w:tcBorders>
            <w:vAlign w:val="top"/>
          </w:tcPr>
          <w:p>
            <w:pPr>
              <w:spacing w:line="251" w:lineRule="auto"/>
              <w:rPr>
                <w:rFonts w:ascii="Malgun Gothic"/>
                <w:sz w:val="21"/>
              </w:rPr>
            </w:pPr>
          </w:p>
          <w:p>
            <w:pPr>
              <w:spacing w:before="75" w:line="329" w:lineRule="exact"/>
              <w:ind w:firstLine="57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6"/>
                <w:position w:val="12"/>
                <w:sz w:val="21"/>
                <w:szCs w:val="21"/>
              </w:rPr>
              <w:t>1.</w:t>
            </w:r>
          </w:p>
          <w:p>
            <w:pPr>
              <w:spacing w:line="204"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培养</w:t>
            </w:r>
          </w:p>
          <w:p>
            <w:pPr>
              <w:spacing w:before="106" w:line="180" w:lineRule="auto"/>
              <w:ind w:firstLine="42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方案</w:t>
            </w:r>
          </w:p>
        </w:tc>
        <w:tc>
          <w:tcPr>
            <w:tcW w:w="2028" w:type="dxa"/>
            <w:vAlign w:val="top"/>
          </w:tcPr>
          <w:p>
            <w:pPr>
              <w:spacing w:before="423"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w w:val="92"/>
                <w:sz w:val="21"/>
                <w:szCs w:val="21"/>
              </w:rPr>
              <w:t>1.1</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w w:val="92"/>
                <w:sz w:val="21"/>
                <w:szCs w:val="21"/>
              </w:rPr>
              <w:t>人才培养方案修订</w:t>
            </w:r>
          </w:p>
        </w:tc>
        <w:tc>
          <w:tcPr>
            <w:tcW w:w="5651" w:type="dxa"/>
            <w:tcBorders>
              <w:right w:val="single" w:color="000000" w:sz="6" w:space="0"/>
            </w:tcBorders>
            <w:vAlign w:val="top"/>
          </w:tcPr>
          <w:p>
            <w:pPr>
              <w:spacing w:before="81" w:line="208" w:lineRule="auto"/>
              <w:ind w:left="105" w:right="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①明确专业办学定位，</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8"/>
                <w:sz w:val="21"/>
                <w:szCs w:val="21"/>
              </w:rPr>
              <w:t>校企合作全面修订人才培养方案，</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8"/>
                <w:sz w:val="21"/>
                <w:szCs w:val="21"/>
              </w:rPr>
              <w:t>在修</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sz w:val="21"/>
                <w:szCs w:val="21"/>
              </w:rPr>
              <w:t>订过程中注重吸收企业（实务部门）</w:t>
            </w:r>
            <w:r>
              <w:rPr>
                <w:rFonts w:ascii="方正书宋简体" w:hAnsi="方正书宋简体" w:eastAsia="方正书宋简体" w:cs="方正书宋简体"/>
                <w:spacing w:val="62"/>
                <w:sz w:val="21"/>
                <w:szCs w:val="21"/>
              </w:rPr>
              <w:t xml:space="preserve"> </w:t>
            </w:r>
            <w:r>
              <w:rPr>
                <w:rFonts w:ascii="方正书宋简体" w:hAnsi="方正书宋简体" w:eastAsia="方正书宋简体" w:cs="方正书宋简体"/>
                <w:spacing w:val="-13"/>
                <w:sz w:val="21"/>
                <w:szCs w:val="21"/>
              </w:rPr>
              <w:t>等相关行业人员等参与。</w:t>
            </w:r>
          </w:p>
          <w:p>
            <w:pPr>
              <w:spacing w:before="155"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②改革教学内容和课程体系。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before="244"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6"/>
                <w:sz w:val="21"/>
                <w:szCs w:val="21"/>
              </w:rPr>
              <w:t>1.2人才培养模式改革</w:t>
            </w:r>
          </w:p>
        </w:tc>
        <w:tc>
          <w:tcPr>
            <w:tcW w:w="5651" w:type="dxa"/>
            <w:tcBorders>
              <w:right w:val="single" w:color="000000" w:sz="6" w:space="0"/>
            </w:tcBorders>
            <w:vAlign w:val="top"/>
          </w:tcPr>
          <w:p>
            <w:pPr>
              <w:spacing w:before="84" w:line="253" w:lineRule="auto"/>
              <w:ind w:left="105" w:right="102"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积极探索并具体实施与办学定位相适应的人才培养模式改</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革，推进产教融合，协同育人。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284" w:type="dxa"/>
            <w:vMerge w:val="restart"/>
            <w:tcBorders>
              <w:left w:val="single" w:color="000000" w:sz="6" w:space="0"/>
              <w:bottom w:val="nil"/>
            </w:tcBorders>
            <w:vAlign w:val="top"/>
          </w:tcPr>
          <w:p>
            <w:pPr>
              <w:spacing w:line="477" w:lineRule="auto"/>
              <w:rPr>
                <w:rFonts w:ascii="Malgun Gothic"/>
                <w:sz w:val="21"/>
              </w:rPr>
            </w:pPr>
          </w:p>
          <w:p>
            <w:pPr>
              <w:spacing w:before="75" w:line="329" w:lineRule="exact"/>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2.</w:t>
            </w:r>
          </w:p>
          <w:p>
            <w:pPr>
              <w:spacing w:line="204"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师资</w:t>
            </w:r>
          </w:p>
          <w:p>
            <w:pPr>
              <w:spacing w:before="10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队伍</w:t>
            </w:r>
          </w:p>
        </w:tc>
        <w:tc>
          <w:tcPr>
            <w:tcW w:w="2028" w:type="dxa"/>
            <w:vAlign w:val="top"/>
          </w:tcPr>
          <w:p>
            <w:pPr>
              <w:spacing w:before="428"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2"/>
                <w:sz w:val="21"/>
                <w:szCs w:val="21"/>
              </w:rPr>
              <w:t>教学团队优化</w:t>
            </w:r>
          </w:p>
        </w:tc>
        <w:tc>
          <w:tcPr>
            <w:tcW w:w="5651" w:type="dxa"/>
            <w:tcBorders>
              <w:right w:val="single" w:color="000000" w:sz="6" w:space="0"/>
            </w:tcBorders>
            <w:vAlign w:val="top"/>
          </w:tcPr>
          <w:p>
            <w:pPr>
              <w:spacing w:before="86" w:line="208" w:lineRule="auto"/>
              <w:ind w:left="122" w:right="100" w:hanging="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①形成鼓励教学的团队运行机制，</w:t>
            </w:r>
            <w:r>
              <w:rPr>
                <w:rFonts w:ascii="方正书宋简体" w:hAnsi="方正书宋简体" w:eastAsia="方正书宋简体" w:cs="方正书宋简体"/>
                <w:spacing w:val="36"/>
                <w:sz w:val="21"/>
                <w:szCs w:val="21"/>
              </w:rPr>
              <w:t xml:space="preserve">  </w:t>
            </w:r>
            <w:r>
              <w:rPr>
                <w:rFonts w:ascii="方正书宋简体" w:hAnsi="方正书宋简体" w:eastAsia="方正书宋简体" w:cs="方正书宋简体"/>
                <w:spacing w:val="-13"/>
                <w:sz w:val="21"/>
                <w:szCs w:val="21"/>
              </w:rPr>
              <w:t>团队结构优化，</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3"/>
                <w:sz w:val="21"/>
                <w:szCs w:val="21"/>
              </w:rPr>
              <w:t>专业师资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队伍整体水平得到提升。</w:t>
            </w:r>
          </w:p>
          <w:p>
            <w:pPr>
              <w:spacing w:before="154"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②教师培训、访学制度健全，组织实施好。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line="336" w:lineRule="auto"/>
              <w:rPr>
                <w:rFonts w:ascii="Malgun Gothic"/>
                <w:sz w:val="21"/>
              </w:rPr>
            </w:pPr>
          </w:p>
          <w:p>
            <w:pPr>
              <w:spacing w:before="7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2"/>
                <w:sz w:val="21"/>
                <w:szCs w:val="21"/>
              </w:rPr>
              <w:t>双师队伍建设</w:t>
            </w:r>
          </w:p>
        </w:tc>
        <w:tc>
          <w:tcPr>
            <w:tcW w:w="5651" w:type="dxa"/>
            <w:tcBorders>
              <w:right w:val="single" w:color="000000" w:sz="6" w:space="0"/>
            </w:tcBorders>
            <w:vAlign w:val="top"/>
          </w:tcPr>
          <w:p>
            <w:pPr>
              <w:spacing w:before="90" w:line="238" w:lineRule="auto"/>
              <w:ind w:left="104" w:right="100"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①建立教师联系行业企业、实务部门的相应制度，</w:t>
            </w:r>
            <w:r>
              <w:rPr>
                <w:rFonts w:ascii="方正书宋简体" w:hAnsi="方正书宋简体" w:eastAsia="方正书宋简体" w:cs="方正书宋简体"/>
                <w:spacing w:val="25"/>
                <w:sz w:val="21"/>
                <w:szCs w:val="21"/>
              </w:rPr>
              <w:t xml:space="preserve">  </w:t>
            </w:r>
            <w:r>
              <w:rPr>
                <w:rFonts w:ascii="方正书宋简体" w:hAnsi="方正书宋简体" w:eastAsia="方正书宋简体" w:cs="方正书宋简体"/>
                <w:spacing w:val="-7"/>
                <w:sz w:val="21"/>
                <w:szCs w:val="21"/>
              </w:rPr>
              <w:t>并组织实</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施教师到行业企业挂职锻炼。</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②聘请行业企业、实务部门专家到校担任专业课程教学和实</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6"/>
                <w:sz w:val="21"/>
                <w:szCs w:val="21"/>
              </w:rPr>
              <w:t>践指导。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1284" w:type="dxa"/>
            <w:vMerge w:val="restart"/>
            <w:tcBorders>
              <w:left w:val="single" w:color="000000" w:sz="6" w:space="0"/>
              <w:bottom w:val="nil"/>
            </w:tcBorders>
            <w:vAlign w:val="top"/>
          </w:tcPr>
          <w:p>
            <w:pPr>
              <w:spacing w:line="317" w:lineRule="auto"/>
              <w:rPr>
                <w:rFonts w:ascii="Malgun Gothic"/>
                <w:sz w:val="21"/>
              </w:rPr>
            </w:pPr>
          </w:p>
          <w:p>
            <w:pPr>
              <w:spacing w:line="317" w:lineRule="auto"/>
              <w:rPr>
                <w:rFonts w:ascii="Malgun Gothic"/>
                <w:sz w:val="21"/>
              </w:rPr>
            </w:pPr>
          </w:p>
          <w:p>
            <w:pPr>
              <w:spacing w:before="75" w:line="329" w:lineRule="exact"/>
              <w:ind w:firstLine="56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12"/>
                <w:sz w:val="21"/>
                <w:szCs w:val="21"/>
              </w:rPr>
              <w:t>3.</w:t>
            </w:r>
          </w:p>
          <w:p>
            <w:pPr>
              <w:spacing w:line="204" w:lineRule="auto"/>
              <w:ind w:firstLine="43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资源</w:t>
            </w:r>
          </w:p>
          <w:p>
            <w:pPr>
              <w:spacing w:before="104" w:line="180" w:lineRule="auto"/>
              <w:ind w:firstLine="42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2028" w:type="dxa"/>
            <w:vAlign w:val="top"/>
          </w:tcPr>
          <w:p>
            <w:pPr>
              <w:spacing w:before="272"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课程改革</w:t>
            </w:r>
          </w:p>
        </w:tc>
        <w:tc>
          <w:tcPr>
            <w:tcW w:w="5651" w:type="dxa"/>
            <w:tcBorders>
              <w:right w:val="single" w:color="000000" w:sz="6" w:space="0"/>
            </w:tcBorders>
            <w:vAlign w:val="top"/>
          </w:tcPr>
          <w:p>
            <w:pPr>
              <w:spacing w:before="87"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①形成具有鲜明特色的专业核心课程群，校企共建课程。</w:t>
            </w:r>
          </w:p>
          <w:p>
            <w:pPr>
              <w:spacing w:before="13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②完善实践教学体系，增设大学生创新创业实践教学内容。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284" w:type="dxa"/>
            <w:vMerge w:val="continue"/>
            <w:tcBorders>
              <w:top w:val="nil"/>
              <w:left w:val="single" w:color="000000" w:sz="6" w:space="0"/>
              <w:bottom w:val="nil"/>
            </w:tcBorders>
            <w:vAlign w:val="top"/>
          </w:tcPr>
          <w:p>
            <w:pPr>
              <w:rPr>
                <w:rFonts w:ascii="Malgun Gothic"/>
                <w:sz w:val="21"/>
              </w:rPr>
            </w:pPr>
          </w:p>
        </w:tc>
        <w:tc>
          <w:tcPr>
            <w:tcW w:w="2028" w:type="dxa"/>
            <w:vAlign w:val="top"/>
          </w:tcPr>
          <w:p>
            <w:pPr>
              <w:spacing w:before="428" w:line="193"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3.2</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2"/>
                <w:sz w:val="21"/>
                <w:szCs w:val="21"/>
              </w:rPr>
              <w:t>教材优化</w:t>
            </w:r>
          </w:p>
        </w:tc>
        <w:tc>
          <w:tcPr>
            <w:tcW w:w="5651" w:type="dxa"/>
            <w:tcBorders>
              <w:right w:val="single" w:color="000000" w:sz="6" w:space="0"/>
            </w:tcBorders>
            <w:vAlign w:val="top"/>
          </w:tcPr>
          <w:p>
            <w:pPr>
              <w:spacing w:before="91" w:line="222" w:lineRule="auto"/>
              <w:ind w:left="106" w:right="101"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①制定选用优秀教材和组织教师参与教材编写的相应制度。</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3"/>
                <w:sz w:val="21"/>
                <w:szCs w:val="21"/>
              </w:rPr>
              <w:t>校企合作编写教材。</w:t>
            </w:r>
          </w:p>
          <w:p>
            <w:pPr>
              <w:spacing w:before="120" w:line="193"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②专业教材整体选用情况良好。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before="435"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教学资源共享</w:t>
            </w:r>
          </w:p>
        </w:tc>
        <w:tc>
          <w:tcPr>
            <w:tcW w:w="5651" w:type="dxa"/>
            <w:tcBorders>
              <w:right w:val="single" w:color="000000" w:sz="6" w:space="0"/>
            </w:tcBorders>
            <w:vAlign w:val="top"/>
          </w:tcPr>
          <w:p>
            <w:pPr>
              <w:spacing w:before="93" w:line="235" w:lineRule="auto"/>
              <w:ind w:left="105"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①建立教学资源建设及共享的相关制度。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②通过精品课程、慕课（MOOC）</w:t>
            </w:r>
            <w:r>
              <w:rPr>
                <w:rFonts w:ascii="方正书宋简体" w:hAnsi="方正书宋简体" w:eastAsia="方正书宋简体" w:cs="方正书宋简体"/>
                <w:spacing w:val="59"/>
                <w:sz w:val="21"/>
                <w:szCs w:val="21"/>
              </w:rPr>
              <w:t xml:space="preserve"> </w:t>
            </w:r>
            <w:r>
              <w:rPr>
                <w:rFonts w:ascii="方正书宋简体" w:hAnsi="方正书宋简体" w:eastAsia="方正书宋简体" w:cs="方正书宋简体"/>
                <w:spacing w:val="-3"/>
                <w:sz w:val="21"/>
                <w:szCs w:val="21"/>
              </w:rPr>
              <w:t>等形式开展教学资源建设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和共享。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284" w:type="dxa"/>
            <w:vMerge w:val="restart"/>
            <w:tcBorders>
              <w:left w:val="single" w:color="000000" w:sz="6" w:space="0"/>
              <w:bottom w:val="nil"/>
            </w:tcBorders>
            <w:vAlign w:val="top"/>
          </w:tcPr>
          <w:p>
            <w:pPr>
              <w:spacing w:line="393" w:lineRule="auto"/>
              <w:rPr>
                <w:rFonts w:ascii="Malgun Gothic"/>
                <w:sz w:val="21"/>
              </w:rPr>
            </w:pPr>
          </w:p>
          <w:p>
            <w:pPr>
              <w:spacing w:before="74" w:line="332" w:lineRule="exact"/>
              <w:ind w:firstLine="5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4.</w:t>
            </w:r>
          </w:p>
          <w:p>
            <w:pPr>
              <w:spacing w:line="204" w:lineRule="auto"/>
              <w:ind w:firstLine="42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p>
            <w:pPr>
              <w:spacing w:before="105" w:line="180" w:lineRule="auto"/>
              <w:ind w:firstLine="42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改革</w:t>
            </w:r>
          </w:p>
        </w:tc>
        <w:tc>
          <w:tcPr>
            <w:tcW w:w="2028" w:type="dxa"/>
            <w:vAlign w:val="top"/>
          </w:tcPr>
          <w:p>
            <w:pPr>
              <w:spacing w:before="277"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教学研究</w:t>
            </w:r>
          </w:p>
        </w:tc>
        <w:tc>
          <w:tcPr>
            <w:tcW w:w="5651" w:type="dxa"/>
            <w:tcBorders>
              <w:right w:val="single" w:color="000000" w:sz="6" w:space="0"/>
            </w:tcBorders>
            <w:vAlign w:val="top"/>
          </w:tcPr>
          <w:p>
            <w:pPr>
              <w:spacing w:before="92"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①教师积极参与教改。</w:t>
            </w:r>
          </w:p>
          <w:p>
            <w:pPr>
              <w:spacing w:before="13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②教师发表了一定数量的教改论文。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1"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line="359" w:lineRule="auto"/>
              <w:rPr>
                <w:rFonts w:ascii="Malgun Gothic"/>
                <w:sz w:val="21"/>
              </w:rPr>
            </w:pPr>
          </w:p>
          <w:p>
            <w:pPr>
              <w:spacing w:before="75"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课堂教学改革</w:t>
            </w:r>
          </w:p>
        </w:tc>
        <w:tc>
          <w:tcPr>
            <w:tcW w:w="5651" w:type="dxa"/>
            <w:tcBorders>
              <w:right w:val="single" w:color="000000" w:sz="6" w:space="0"/>
            </w:tcBorders>
            <w:vAlign w:val="top"/>
          </w:tcPr>
          <w:p>
            <w:pPr>
              <w:spacing w:before="9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①推进课堂教学改革，有具体措施。</w:t>
            </w:r>
          </w:p>
          <w:p>
            <w:pPr>
              <w:spacing w:before="137" w:line="207" w:lineRule="auto"/>
              <w:ind w:left="106" w:right="102"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②专业课程积极开展研讨式、启发式、探究式、参与式等教</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5"/>
                <w:sz w:val="21"/>
                <w:szCs w:val="21"/>
              </w:rPr>
              <w:t>学方法改革。</w:t>
            </w:r>
          </w:p>
          <w:p>
            <w:pPr>
              <w:spacing w:before="15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③积极推进小班教学。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1284" w:type="dxa"/>
            <w:vMerge w:val="restart"/>
            <w:tcBorders>
              <w:left w:val="single" w:color="000000" w:sz="6" w:space="0"/>
              <w:bottom w:val="nil"/>
            </w:tcBorders>
            <w:vAlign w:val="top"/>
          </w:tcPr>
          <w:p>
            <w:pPr>
              <w:spacing w:line="274" w:lineRule="auto"/>
              <w:rPr>
                <w:rFonts w:ascii="Malgun Gothic"/>
                <w:sz w:val="21"/>
              </w:rPr>
            </w:pPr>
          </w:p>
          <w:p>
            <w:pPr>
              <w:spacing w:before="75" w:line="334" w:lineRule="exact"/>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5.</w:t>
            </w:r>
          </w:p>
          <w:p>
            <w:pPr>
              <w:spacing w:line="204"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实践</w:t>
            </w:r>
          </w:p>
          <w:p>
            <w:pPr>
              <w:spacing w:before="106" w:line="180" w:lineRule="auto"/>
              <w:ind w:firstLine="42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tc>
        <w:tc>
          <w:tcPr>
            <w:tcW w:w="2028" w:type="dxa"/>
            <w:vAlign w:val="top"/>
          </w:tcPr>
          <w:p>
            <w:pPr>
              <w:spacing w:before="279"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5.1</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协同育人</w:t>
            </w:r>
          </w:p>
        </w:tc>
        <w:tc>
          <w:tcPr>
            <w:tcW w:w="5651" w:type="dxa"/>
            <w:tcBorders>
              <w:right w:val="single" w:color="000000" w:sz="6" w:space="0"/>
            </w:tcBorders>
            <w:vAlign w:val="top"/>
          </w:tcPr>
          <w:p>
            <w:pPr>
              <w:spacing w:before="95"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①成立校企合作育人工作机构，有合作协议</w:t>
            </w:r>
          </w:p>
          <w:p>
            <w:pPr>
              <w:spacing w:before="13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②制定校企协同、校内协同育人的相关制度，</w:t>
            </w:r>
            <w:r>
              <w:rPr>
                <w:rFonts w:ascii="方正书宋简体" w:hAnsi="方正书宋简体" w:eastAsia="方正书宋简体" w:cs="方正书宋简体"/>
                <w:spacing w:val="37"/>
                <w:sz w:val="21"/>
                <w:szCs w:val="21"/>
              </w:rPr>
              <w:t xml:space="preserve"> </w:t>
            </w:r>
            <w:r>
              <w:rPr>
                <w:rFonts w:ascii="方正书宋简体" w:hAnsi="方正书宋简体" w:eastAsia="方正书宋简体" w:cs="方正书宋简体"/>
                <w:spacing w:val="-9"/>
                <w:sz w:val="21"/>
                <w:szCs w:val="21"/>
              </w:rPr>
              <w:t>实施情况良好。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1284" w:type="dxa"/>
            <w:vMerge w:val="continue"/>
            <w:tcBorders>
              <w:top w:val="nil"/>
              <w:left w:val="single" w:color="000000" w:sz="6" w:space="0"/>
              <w:bottom w:val="single" w:color="000000" w:sz="6" w:space="0"/>
            </w:tcBorders>
            <w:vAlign w:val="top"/>
          </w:tcPr>
          <w:p>
            <w:pPr>
              <w:rPr>
                <w:rFonts w:ascii="Malgun Gothic"/>
                <w:sz w:val="21"/>
              </w:rPr>
            </w:pPr>
          </w:p>
        </w:tc>
        <w:tc>
          <w:tcPr>
            <w:tcW w:w="2028" w:type="dxa"/>
            <w:tcBorders>
              <w:bottom w:val="single" w:color="000000" w:sz="6" w:space="0"/>
            </w:tcBorders>
            <w:vAlign w:val="top"/>
          </w:tcPr>
          <w:p>
            <w:pPr>
              <w:rPr>
                <w:rFonts w:ascii="Malgun Gothic"/>
                <w:sz w:val="21"/>
              </w:rPr>
            </w:pPr>
          </w:p>
          <w:p>
            <w:pPr>
              <w:spacing w:before="74"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5.2</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
                <w:sz w:val="21"/>
                <w:szCs w:val="21"/>
              </w:rPr>
              <w:t>基地建设</w:t>
            </w:r>
          </w:p>
        </w:tc>
        <w:tc>
          <w:tcPr>
            <w:tcW w:w="5651" w:type="dxa"/>
            <w:tcBorders>
              <w:bottom w:val="single" w:color="000000" w:sz="6" w:space="0"/>
              <w:right w:val="single" w:color="000000" w:sz="6" w:space="0"/>
            </w:tcBorders>
            <w:vAlign w:val="top"/>
          </w:tcPr>
          <w:p>
            <w:pPr>
              <w:spacing w:before="98"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①加强实践教学基地建设。</w:t>
            </w:r>
          </w:p>
          <w:p>
            <w:pPr>
              <w:spacing w:before="136" w:line="207" w:lineRule="auto"/>
              <w:ind w:left="105" w:right="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②搭建校企合作实践教学平台，</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6"/>
                <w:sz w:val="21"/>
                <w:szCs w:val="21"/>
              </w:rPr>
              <w:t>实现学生到企业参加学习实</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践、实训、实习、就业。</w:t>
            </w:r>
          </w:p>
        </w:tc>
      </w:tr>
    </w:tbl>
    <w:p>
      <w:pPr>
        <w:rPr>
          <w:rFonts w:ascii="Malgun Gothic"/>
          <w:sz w:val="21"/>
        </w:rPr>
      </w:pPr>
    </w:p>
    <w:p>
      <w:pPr>
        <w:sectPr>
          <w:footerReference r:id="rId33" w:type="default"/>
          <w:pgSz w:w="11905" w:h="16840"/>
          <w:pgMar w:top="1431" w:right="1463" w:bottom="1395" w:left="1462" w:header="0" w:footer="1250" w:gutter="0"/>
          <w:cols w:space="720" w:num="1"/>
        </w:sectPr>
      </w:pPr>
    </w:p>
    <w:p>
      <w:pPr>
        <w:spacing w:line="156" w:lineRule="exact"/>
      </w:pPr>
    </w:p>
    <w:tbl>
      <w:tblPr>
        <w:tblStyle w:val="4"/>
        <w:tblW w:w="896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2028"/>
        <w:gridCol w:w="56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284" w:type="dxa"/>
            <w:tcBorders>
              <w:top w:val="single" w:color="000000" w:sz="6" w:space="0"/>
              <w:left w:val="single" w:color="000000" w:sz="6" w:space="0"/>
            </w:tcBorders>
            <w:vAlign w:val="top"/>
          </w:tcPr>
          <w:p>
            <w:pPr>
              <w:spacing w:before="95" w:line="180" w:lineRule="auto"/>
              <w:ind w:firstLine="2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一级指标</w:t>
            </w:r>
          </w:p>
        </w:tc>
        <w:tc>
          <w:tcPr>
            <w:tcW w:w="2028" w:type="dxa"/>
            <w:tcBorders>
              <w:top w:val="single" w:color="000000" w:sz="6" w:space="0"/>
            </w:tcBorders>
            <w:vAlign w:val="top"/>
          </w:tcPr>
          <w:p>
            <w:pPr>
              <w:spacing w:before="95"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二级指标</w:t>
            </w:r>
          </w:p>
        </w:tc>
        <w:tc>
          <w:tcPr>
            <w:tcW w:w="5651" w:type="dxa"/>
            <w:tcBorders>
              <w:top w:val="single" w:color="000000" w:sz="6" w:space="0"/>
              <w:right w:val="single" w:color="000000" w:sz="6" w:space="0"/>
            </w:tcBorders>
            <w:vAlign w:val="top"/>
          </w:tcPr>
          <w:p>
            <w:pPr>
              <w:spacing w:before="94" w:line="180" w:lineRule="auto"/>
              <w:ind w:firstLine="2440"/>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14:textOutline w14:w="2667" w14:cap="flat" w14:cmpd="sng">
                  <w14:solidFill>
                    <w14:srgbClr w14:val="000000"/>
                  </w14:solidFill>
                  <w14:prstDash w14:val="solid"/>
                  <w14:miter w14:val="1"/>
                </w14:textOutline>
              </w:rPr>
              <w:t>目标任务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trPr>
        <w:tc>
          <w:tcPr>
            <w:tcW w:w="1284" w:type="dxa"/>
            <w:vMerge w:val="restart"/>
            <w:tcBorders>
              <w:left w:val="single" w:color="000000" w:sz="6" w:space="0"/>
              <w:bottom w:val="nil"/>
            </w:tcBorders>
            <w:vAlign w:val="top"/>
          </w:tcPr>
          <w:p>
            <w:pPr>
              <w:spacing w:line="422" w:lineRule="auto"/>
              <w:rPr>
                <w:rFonts w:ascii="Malgun Gothic"/>
                <w:sz w:val="21"/>
              </w:rPr>
            </w:pPr>
          </w:p>
          <w:p>
            <w:pPr>
              <w:spacing w:before="75" w:line="285" w:lineRule="auto"/>
              <w:ind w:left="217" w:right="219" w:firstLine="34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6.</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学生参与</w:t>
            </w:r>
          </w:p>
        </w:tc>
        <w:tc>
          <w:tcPr>
            <w:tcW w:w="2028" w:type="dxa"/>
            <w:vAlign w:val="top"/>
          </w:tcPr>
          <w:p>
            <w:pPr>
              <w:spacing w:line="243" w:lineRule="auto"/>
              <w:rPr>
                <w:rFonts w:ascii="Malgun Gothic"/>
                <w:sz w:val="21"/>
              </w:rPr>
            </w:pPr>
          </w:p>
          <w:p>
            <w:pPr>
              <w:spacing w:before="76"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6.1</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参与创新创业</w:t>
            </w:r>
          </w:p>
        </w:tc>
        <w:tc>
          <w:tcPr>
            <w:tcW w:w="5651" w:type="dxa"/>
            <w:tcBorders>
              <w:right w:val="single" w:color="000000" w:sz="6" w:space="0"/>
            </w:tcBorders>
            <w:vAlign w:val="top"/>
          </w:tcPr>
          <w:p>
            <w:pPr>
              <w:spacing w:before="81"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①积极组织学生参与创新实验计划，参与科学研究。</w:t>
            </w:r>
          </w:p>
          <w:p>
            <w:pPr>
              <w:spacing w:before="13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②组织学生参与创业实践</w:t>
            </w:r>
          </w:p>
          <w:p>
            <w:pPr>
              <w:spacing w:before="13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③学生发表科研论文、获得专利等情况。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284" w:type="dxa"/>
            <w:vMerge w:val="continue"/>
            <w:tcBorders>
              <w:top w:val="nil"/>
              <w:left w:val="single" w:color="000000" w:sz="6" w:space="0"/>
              <w:bottom w:val="nil"/>
            </w:tcBorders>
            <w:vAlign w:val="top"/>
          </w:tcPr>
          <w:p>
            <w:pPr>
              <w:rPr>
                <w:rFonts w:ascii="Malgun Gothic"/>
                <w:sz w:val="21"/>
              </w:rPr>
            </w:pPr>
          </w:p>
        </w:tc>
        <w:tc>
          <w:tcPr>
            <w:tcW w:w="2028" w:type="dxa"/>
            <w:vAlign w:val="top"/>
          </w:tcPr>
          <w:p>
            <w:pPr>
              <w:spacing w:before="82"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6.2</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参与学科竞赛</w:t>
            </w:r>
          </w:p>
        </w:tc>
        <w:tc>
          <w:tcPr>
            <w:tcW w:w="5651" w:type="dxa"/>
            <w:tcBorders>
              <w:right w:val="single" w:color="000000" w:sz="6" w:space="0"/>
            </w:tcBorders>
            <w:vAlign w:val="top"/>
          </w:tcPr>
          <w:p>
            <w:pPr>
              <w:spacing w:before="83"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组织学生参加国家级和省级学科竞赛，并获得较好成绩。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before="87"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6.3</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2"/>
                <w:sz w:val="21"/>
                <w:szCs w:val="21"/>
              </w:rPr>
              <w:t>参与改革</w:t>
            </w:r>
          </w:p>
        </w:tc>
        <w:tc>
          <w:tcPr>
            <w:tcW w:w="5651" w:type="dxa"/>
            <w:tcBorders>
              <w:right w:val="single" w:color="000000" w:sz="6" w:space="0"/>
            </w:tcBorders>
            <w:vAlign w:val="top"/>
          </w:tcPr>
          <w:p>
            <w:pPr>
              <w:spacing w:before="8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学生参与教学改革并从中受益，满意度高。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284" w:type="dxa"/>
            <w:tcBorders>
              <w:left w:val="single" w:color="000000" w:sz="6" w:space="0"/>
            </w:tcBorders>
            <w:vAlign w:val="top"/>
          </w:tcPr>
          <w:p>
            <w:pPr>
              <w:spacing w:before="90" w:line="251" w:lineRule="auto"/>
              <w:ind w:left="531" w:right="108" w:hanging="4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6"/>
                <w:sz w:val="21"/>
                <w:szCs w:val="21"/>
              </w:rPr>
              <w:t>7、教育国际</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z w:val="21"/>
                <w:szCs w:val="21"/>
              </w:rPr>
              <w:t>化</w:t>
            </w:r>
          </w:p>
        </w:tc>
        <w:tc>
          <w:tcPr>
            <w:tcW w:w="2028" w:type="dxa"/>
            <w:vAlign w:val="top"/>
          </w:tcPr>
          <w:p>
            <w:pPr>
              <w:spacing w:before="245"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7.1</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2"/>
                <w:sz w:val="21"/>
                <w:szCs w:val="21"/>
              </w:rPr>
              <w:t>教育国际化</w:t>
            </w:r>
          </w:p>
        </w:tc>
        <w:tc>
          <w:tcPr>
            <w:tcW w:w="5651" w:type="dxa"/>
            <w:tcBorders>
              <w:right w:val="single" w:color="000000" w:sz="6" w:space="0"/>
            </w:tcBorders>
            <w:vAlign w:val="top"/>
          </w:tcPr>
          <w:p>
            <w:pPr>
              <w:spacing w:before="244"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开展教师访学、学生交流、引进海外教师和专业课程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1284" w:type="dxa"/>
            <w:tcBorders>
              <w:left w:val="single" w:color="000000" w:sz="6" w:space="0"/>
            </w:tcBorders>
            <w:vAlign w:val="top"/>
          </w:tcPr>
          <w:p>
            <w:pPr>
              <w:spacing w:before="406" w:line="180" w:lineRule="auto"/>
              <w:ind w:firstLine="1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8.教学管理</w:t>
            </w:r>
          </w:p>
        </w:tc>
        <w:tc>
          <w:tcPr>
            <w:tcW w:w="2028" w:type="dxa"/>
            <w:vAlign w:val="top"/>
          </w:tcPr>
          <w:p>
            <w:pPr>
              <w:spacing w:before="40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8.1</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2"/>
                <w:sz w:val="21"/>
                <w:szCs w:val="21"/>
              </w:rPr>
              <w:t>教学管理改革</w:t>
            </w:r>
          </w:p>
        </w:tc>
        <w:tc>
          <w:tcPr>
            <w:tcW w:w="5651" w:type="dxa"/>
            <w:tcBorders>
              <w:right w:val="single" w:color="000000" w:sz="6" w:space="0"/>
            </w:tcBorders>
            <w:vAlign w:val="top"/>
          </w:tcPr>
          <w:p>
            <w:pPr>
              <w:spacing w:before="90" w:line="251"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修订完善教学管理制度，</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2"/>
                <w:sz w:val="21"/>
                <w:szCs w:val="21"/>
              </w:rPr>
              <w:t>鼓励教师潜心教学，</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2"/>
                <w:sz w:val="21"/>
                <w:szCs w:val="21"/>
              </w:rPr>
              <w:t>建立和完善学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生学业管理和评价制度，</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7"/>
                <w:sz w:val="21"/>
                <w:szCs w:val="21"/>
              </w:rPr>
              <w:t>如导师制、非标准化考试、实践学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分认定等。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284" w:type="dxa"/>
            <w:vMerge w:val="restart"/>
            <w:tcBorders>
              <w:left w:val="single" w:color="000000" w:sz="6" w:space="0"/>
              <w:bottom w:val="nil"/>
            </w:tcBorders>
            <w:vAlign w:val="top"/>
          </w:tcPr>
          <w:p>
            <w:pPr>
              <w:spacing w:before="362" w:line="328" w:lineRule="exact"/>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9.</w:t>
            </w:r>
          </w:p>
          <w:p>
            <w:pPr>
              <w:spacing w:before="1" w:line="204" w:lineRule="auto"/>
              <w:ind w:firstLine="4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保障</w:t>
            </w:r>
          </w:p>
          <w:p>
            <w:pPr>
              <w:spacing w:before="109" w:line="180" w:lineRule="auto"/>
              <w:ind w:firstLine="4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措施</w:t>
            </w:r>
          </w:p>
        </w:tc>
        <w:tc>
          <w:tcPr>
            <w:tcW w:w="2028" w:type="dxa"/>
            <w:vAlign w:val="top"/>
          </w:tcPr>
          <w:p>
            <w:pPr>
              <w:spacing w:before="96"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9.1</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
                <w:sz w:val="21"/>
                <w:szCs w:val="21"/>
              </w:rPr>
              <w:t>组织领导</w:t>
            </w:r>
          </w:p>
        </w:tc>
        <w:tc>
          <w:tcPr>
            <w:tcW w:w="5651" w:type="dxa"/>
            <w:tcBorders>
              <w:right w:val="single" w:color="000000" w:sz="6" w:space="0"/>
            </w:tcBorders>
            <w:vAlign w:val="top"/>
          </w:tcPr>
          <w:p>
            <w:pPr>
              <w:spacing w:before="92"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有组织领导机构，专业改革负责人履职情况好。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284" w:type="dxa"/>
            <w:vMerge w:val="continue"/>
            <w:tcBorders>
              <w:top w:val="nil"/>
              <w:left w:val="single" w:color="000000" w:sz="6" w:space="0"/>
              <w:bottom w:val="nil"/>
            </w:tcBorders>
            <w:vAlign w:val="top"/>
          </w:tcPr>
          <w:p>
            <w:pPr>
              <w:rPr>
                <w:rFonts w:ascii="Malgun Gothic"/>
                <w:sz w:val="21"/>
              </w:rPr>
            </w:pPr>
          </w:p>
        </w:tc>
        <w:tc>
          <w:tcPr>
            <w:tcW w:w="2028" w:type="dxa"/>
            <w:vAlign w:val="top"/>
          </w:tcPr>
          <w:p>
            <w:pPr>
              <w:spacing w:before="27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9.2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条件保障</w:t>
            </w:r>
          </w:p>
        </w:tc>
        <w:tc>
          <w:tcPr>
            <w:tcW w:w="5651" w:type="dxa"/>
            <w:tcBorders>
              <w:right w:val="single" w:color="000000" w:sz="6" w:space="0"/>
            </w:tcBorders>
            <w:vAlign w:val="top"/>
          </w:tcPr>
          <w:p>
            <w:pPr>
              <w:spacing w:before="94"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①学校经费配套及保障到位。</w:t>
            </w:r>
          </w:p>
          <w:p>
            <w:pPr>
              <w:spacing w:before="135" w:line="193"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②学校为试点专业改善设施条件。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284" w:type="dxa"/>
            <w:vMerge w:val="continue"/>
            <w:tcBorders>
              <w:top w:val="nil"/>
              <w:left w:val="single" w:color="000000" w:sz="6" w:space="0"/>
            </w:tcBorders>
            <w:vAlign w:val="top"/>
          </w:tcPr>
          <w:p>
            <w:pPr>
              <w:rPr>
                <w:rFonts w:ascii="Malgun Gothic"/>
                <w:sz w:val="21"/>
              </w:rPr>
            </w:pPr>
          </w:p>
        </w:tc>
        <w:tc>
          <w:tcPr>
            <w:tcW w:w="2028" w:type="dxa"/>
            <w:vAlign w:val="top"/>
          </w:tcPr>
          <w:p>
            <w:pPr>
              <w:spacing w:before="101"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9.3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政策支持</w:t>
            </w:r>
          </w:p>
        </w:tc>
        <w:tc>
          <w:tcPr>
            <w:tcW w:w="5651" w:type="dxa"/>
            <w:tcBorders>
              <w:right w:val="single" w:color="000000" w:sz="6" w:space="0"/>
            </w:tcBorders>
            <w:vAlign w:val="top"/>
          </w:tcPr>
          <w:p>
            <w:pPr>
              <w:spacing w:before="95" w:line="193"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学校为试点专业提供政策支持，并有一定突破。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284" w:type="dxa"/>
            <w:vMerge w:val="restart"/>
            <w:tcBorders>
              <w:left w:val="single" w:color="000000" w:sz="6" w:space="0"/>
              <w:bottom w:val="nil"/>
            </w:tcBorders>
            <w:vAlign w:val="top"/>
          </w:tcPr>
          <w:p>
            <w:pPr>
              <w:spacing w:before="312" w:line="330" w:lineRule="exact"/>
              <w:ind w:firstLine="52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8"/>
                <w:position w:val="12"/>
                <w:sz w:val="21"/>
                <w:szCs w:val="21"/>
              </w:rPr>
              <w:t>10.</w:t>
            </w:r>
          </w:p>
          <w:p>
            <w:pPr>
              <w:spacing w:line="204" w:lineRule="auto"/>
              <w:ind w:firstLine="42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改革</w:t>
            </w:r>
          </w:p>
          <w:p>
            <w:pPr>
              <w:spacing w:before="106" w:line="180" w:lineRule="auto"/>
              <w:ind w:firstLine="42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成效</w:t>
            </w:r>
          </w:p>
        </w:tc>
        <w:tc>
          <w:tcPr>
            <w:tcW w:w="2028" w:type="dxa"/>
            <w:vAlign w:val="top"/>
          </w:tcPr>
          <w:p>
            <w:pPr>
              <w:spacing w:before="100"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10.1</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rPr>
              <w:t>人才培养质量</w:t>
            </w:r>
          </w:p>
        </w:tc>
        <w:tc>
          <w:tcPr>
            <w:tcW w:w="5651" w:type="dxa"/>
            <w:tcBorders>
              <w:right w:val="single" w:color="000000" w:sz="6" w:space="0"/>
            </w:tcBorders>
            <w:vAlign w:val="top"/>
          </w:tcPr>
          <w:p>
            <w:pPr>
              <w:spacing w:before="9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整体教学质量和学生就业率提升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284" w:type="dxa"/>
            <w:vMerge w:val="continue"/>
            <w:tcBorders>
              <w:top w:val="nil"/>
              <w:left w:val="single" w:color="000000" w:sz="6" w:space="0"/>
              <w:bottom w:val="single" w:color="000000" w:sz="6" w:space="0"/>
            </w:tcBorders>
            <w:vAlign w:val="top"/>
          </w:tcPr>
          <w:p>
            <w:pPr>
              <w:rPr>
                <w:rFonts w:ascii="Malgun Gothic"/>
                <w:sz w:val="21"/>
              </w:rPr>
            </w:pPr>
          </w:p>
        </w:tc>
        <w:tc>
          <w:tcPr>
            <w:tcW w:w="2028" w:type="dxa"/>
            <w:tcBorders>
              <w:bottom w:val="single" w:color="000000" w:sz="6" w:space="0"/>
            </w:tcBorders>
            <w:vAlign w:val="top"/>
          </w:tcPr>
          <w:p>
            <w:pPr>
              <w:spacing w:line="242" w:lineRule="auto"/>
              <w:rPr>
                <w:rFonts w:ascii="Malgun Gothic"/>
                <w:sz w:val="21"/>
              </w:rPr>
            </w:pPr>
          </w:p>
          <w:p>
            <w:pPr>
              <w:spacing w:before="76"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10.2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成果及应用</w:t>
            </w:r>
          </w:p>
        </w:tc>
        <w:tc>
          <w:tcPr>
            <w:tcW w:w="5651" w:type="dxa"/>
            <w:tcBorders>
              <w:bottom w:val="single" w:color="000000" w:sz="6" w:space="0"/>
              <w:right w:val="single" w:color="000000" w:sz="6" w:space="0"/>
            </w:tcBorders>
            <w:vAlign w:val="top"/>
          </w:tcPr>
          <w:p>
            <w:pPr>
              <w:spacing w:before="101" w:line="208" w:lineRule="auto"/>
              <w:ind w:left="107" w:right="102"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①总结提炼专业综合改革的实施经验，发表了高质量的论</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2"/>
                <w:sz w:val="21"/>
                <w:szCs w:val="21"/>
              </w:rPr>
              <w:t>文、总结报告，取得较好的教学成果。</w:t>
            </w:r>
          </w:p>
          <w:p>
            <w:pPr>
              <w:spacing w:before="153"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②成果得到应用，发挥示范辐射作用。</w:t>
            </w:r>
          </w:p>
        </w:tc>
      </w:tr>
    </w:tbl>
    <w:p>
      <w:pPr>
        <w:rPr>
          <w:rFonts w:ascii="Malgun Gothic"/>
          <w:sz w:val="21"/>
        </w:rPr>
      </w:pPr>
    </w:p>
    <w:p>
      <w:pPr>
        <w:sectPr>
          <w:footerReference r:id="rId34" w:type="default"/>
          <w:pgSz w:w="11905" w:h="16840"/>
          <w:pgMar w:top="1431" w:right="1463" w:bottom="1395" w:left="1462" w:header="0" w:footer="1250" w:gutter="0"/>
          <w:cols w:space="720" w:num="1"/>
        </w:sectPr>
      </w:pPr>
    </w:p>
    <w:p>
      <w:pPr>
        <w:spacing w:before="236" w:line="195" w:lineRule="auto"/>
        <w:ind w:left="3450" w:right="1082" w:hanging="240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吉首大学“十三五”本科专业综合改革试点项目</w:t>
      </w:r>
      <w:r>
        <w:rPr>
          <w:rFonts w:ascii="Microsoft JhengHei" w:hAnsi="Microsoft JhengHei" w:eastAsia="Microsoft JhengHei" w:cs="Microsoft JhengHei"/>
          <w:spacing w:val="11"/>
          <w:sz w:val="32"/>
          <w:szCs w:val="32"/>
        </w:rPr>
        <w:t xml:space="preserve"> </w:t>
      </w:r>
      <w:r>
        <w:rPr>
          <w:rFonts w:ascii="Microsoft JhengHei" w:hAnsi="Microsoft JhengHei" w:eastAsia="Microsoft JhengHei" w:cs="Microsoft JhengHei"/>
          <w:spacing w:val="-3"/>
          <w:sz w:val="32"/>
          <w:szCs w:val="32"/>
        </w:rPr>
        <w:t>经费管理办法</w:t>
      </w:r>
    </w:p>
    <w:p>
      <w:pPr>
        <w:spacing w:before="74"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年制订）</w:t>
      </w:r>
    </w:p>
    <w:p>
      <w:pPr>
        <w:spacing w:line="378" w:lineRule="auto"/>
        <w:rPr>
          <w:rFonts w:ascii="Malgun Gothic"/>
          <w:sz w:val="21"/>
        </w:rPr>
      </w:pPr>
    </w:p>
    <w:p>
      <w:pPr>
        <w:spacing w:before="87" w:line="303" w:lineRule="auto"/>
        <w:ind w:left="3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为了确保“十三五”专业综合改革试点项目的顺利开展，</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7"/>
          <w:sz w:val="24"/>
          <w:szCs w:val="24"/>
        </w:rPr>
        <w:t>提高经费的使用效益，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简化报账程序，特制定本经费管理办法，具体内容如下：</w:t>
      </w:r>
    </w:p>
    <w:p>
      <w:pPr>
        <w:spacing w:before="27" w:line="187"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一、项目经费的开支范围主要包括：</w:t>
      </w:r>
    </w:p>
    <w:p>
      <w:pPr>
        <w:spacing w:before="138"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1、人员经费：</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7"/>
          <w:sz w:val="24"/>
          <w:szCs w:val="24"/>
        </w:rPr>
        <w:t>包括项目成员的劳务费、培训费、专家咨询费、稿费、课程教学</w:t>
      </w:r>
    </w:p>
    <w:p>
      <w:pPr>
        <w:spacing w:before="198" w:line="314" w:lineRule="auto"/>
        <w:ind w:left="512" w:right="79" w:hanging="46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录像制作费等。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2、差旅费：包括项目组成员和外聘专家参加会议、调研的差旅费和交通费。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3、会议费：包括项目组召开的研讨会、论证会、评审会等支出。</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4、资料费：包括购买必要的书籍和资料的费用。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5、办公费：包括日常办公文印费用以及文具、配件、耗材等支出的费用。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6、设备购置费：</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1"/>
          <w:sz w:val="24"/>
          <w:szCs w:val="24"/>
        </w:rPr>
        <w:t>用于项目研究、演示等必备设备的采购费用，</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需要实行政府采</w:t>
      </w:r>
    </w:p>
    <w:p>
      <w:pPr>
        <w:spacing w:before="8" w:line="197" w:lineRule="auto"/>
        <w:ind w:firstLine="3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购的，按政府采购的程序办理。</w:t>
      </w:r>
    </w:p>
    <w:p>
      <w:pPr>
        <w:spacing w:before="164" w:line="193" w:lineRule="auto"/>
        <w:ind w:firstLine="51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7、成果费：包括论文版面费、教材或著作出版费、成果鉴定费等。</w:t>
      </w:r>
    </w:p>
    <w:p>
      <w:pPr>
        <w:spacing w:before="179" w:line="180" w:lineRule="auto"/>
        <w:ind w:firstLine="519"/>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8、其他相关费用。</w:t>
      </w:r>
    </w:p>
    <w:p>
      <w:pPr>
        <w:spacing w:before="181"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二、项目经费报账程序</w:t>
      </w:r>
    </w:p>
    <w:p>
      <w:pPr>
        <w:spacing w:before="151" w:line="315" w:lineRule="auto"/>
        <w:ind w:left="35" w:right="79"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1、项目经费使用按项目活动支出据实凭票报账，</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有关报账要求按财务管理制度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执行。</w:t>
      </w:r>
    </w:p>
    <w:p>
      <w:pPr>
        <w:spacing w:before="2" w:line="239" w:lineRule="auto"/>
        <w:ind w:left="35" w:right="9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2、报账程序：经办人签字，项目负责人签字，项目所在单位负责人审核签字，</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
          <w:sz w:val="24"/>
          <w:szCs w:val="24"/>
        </w:rPr>
        <w:t>教务处负责人审核签字，到财务处报账。有关报账要求按财务管理制度执行。</w:t>
      </w:r>
    </w:p>
    <w:p>
      <w:pPr>
        <w:spacing w:before="204" w:line="18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三、其他</w:t>
      </w:r>
    </w:p>
    <w:p>
      <w:pPr>
        <w:spacing w:before="151" w:line="315" w:lineRule="auto"/>
        <w:ind w:left="35" w:right="77"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1、项目经费的管理，</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实行项目负责人负责制。项目单位应保证按规定用途使用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资金，并建立健全责任制。项目负责人应按照国家有关财经制度的要求，本着勤俭</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节约的原则，合理使用项目经费，切实保证经费用于项目的各项支出，提高经费使</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用效益。项目经费超支部分自筹解决。同时，</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项目负责人对资金使用的合法性、合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理性和有效性负责。</w:t>
      </w:r>
    </w:p>
    <w:p>
      <w:pPr>
        <w:spacing w:before="6" w:line="199"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2、本办法从发布之日起实行。</w:t>
      </w:r>
    </w:p>
    <w:p>
      <w:pPr>
        <w:sectPr>
          <w:footerReference r:id="rId35" w:type="default"/>
          <w:pgSz w:w="11905" w:h="16840"/>
          <w:pgMar w:top="1431" w:right="1507" w:bottom="1395" w:left="1557" w:header="0" w:footer="1250" w:gutter="0"/>
          <w:cols w:space="720" w:num="1"/>
        </w:sectPr>
      </w:pPr>
    </w:p>
    <w:p>
      <w:pPr>
        <w:spacing w:before="235" w:line="180" w:lineRule="auto"/>
        <w:ind w:firstLine="195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吉首大学教学改革研究项目管理办法</w:t>
      </w:r>
    </w:p>
    <w:p>
      <w:pPr>
        <w:spacing w:before="110" w:line="184" w:lineRule="auto"/>
        <w:ind w:firstLine="357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61" w:lineRule="auto"/>
        <w:rPr>
          <w:rFonts w:ascii="Malgun Gothic"/>
          <w:sz w:val="21"/>
        </w:rPr>
      </w:pPr>
    </w:p>
    <w:p>
      <w:pPr>
        <w:spacing w:before="104" w:line="180" w:lineRule="auto"/>
        <w:ind w:firstLine="367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75" w:lineRule="auto"/>
        <w:ind w:right="32"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为强化学校教学建设，适应高等教育教学改革发展需要，调动教师、</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5"/>
          <w:sz w:val="24"/>
          <w:szCs w:val="24"/>
        </w:rPr>
        <w:t>教学管理和教辅人员教育教学改革研究的积极性，深化教学改革，培育教学成果，</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提高学校教学质量与教学管理水平，规范学校教育教学改革研究项目的管理，根据</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8"/>
          <w:sz w:val="24"/>
          <w:szCs w:val="24"/>
        </w:rPr>
        <w:t>《湖南省普通高等学校教学改革研究项目管理办法》</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8"/>
          <w:sz w:val="24"/>
          <w:szCs w:val="24"/>
        </w:rPr>
        <w:t>（2012</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年修订</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8"/>
          <w:sz w:val="24"/>
          <w:szCs w:val="24"/>
        </w:rPr>
        <w:t>结合我校实际，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特制定本办法。</w:t>
      </w:r>
    </w:p>
    <w:p>
      <w:pPr>
        <w:spacing w:before="207"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2"/>
          <w:sz w:val="24"/>
          <w:szCs w:val="24"/>
        </w:rPr>
        <w:t>本办法的管理范围包括：国家级、省部级、校级教学改革研究项目。</w:t>
      </w:r>
    </w:p>
    <w:p>
      <w:pPr>
        <w:spacing w:before="140" w:line="294" w:lineRule="auto"/>
        <w:ind w:left="14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学校教务处对教学改革研究项目进行综合管理，组织校级教改项目的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申报、立项审批与实施工作（校级实验教学改革项目由实验室与设备管理中心负责</w:t>
      </w:r>
      <w:r>
        <w:rPr>
          <w:rFonts w:ascii="方正书宋简体" w:hAnsi="方正书宋简体" w:eastAsia="方正书宋简体" w:cs="方正书宋简体"/>
          <w:spacing w:val="-16"/>
          <w:sz w:val="24"/>
          <w:szCs w:val="24"/>
        </w:rPr>
        <w:t>），</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组织省级以上教改项目的申报与实施工作。</w:t>
      </w:r>
    </w:p>
    <w:p>
      <w:pPr>
        <w:spacing w:before="4" w:line="249" w:lineRule="auto"/>
        <w:ind w:left="142"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学校为已立项的教改项目的实施创造良好的条件，学校、各教学单位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对教学改革研究成绩突出的人员应予以表彰奖励。各教学单位对教改项目研究工作</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要计算一定的教学工作量。</w:t>
      </w:r>
    </w:p>
    <w:p>
      <w:pPr>
        <w:spacing w:before="206" w:line="450" w:lineRule="exact"/>
        <w:ind w:firstLine="355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第二章</w:t>
      </w:r>
      <w:r>
        <w:rPr>
          <w:rFonts w:ascii="Microsoft JhengHei" w:hAnsi="Microsoft JhengHei" w:eastAsia="Microsoft JhengHei" w:cs="Microsoft JhengHei"/>
          <w:spacing w:val="2"/>
          <w:position w:val="12"/>
          <w:sz w:val="24"/>
          <w:szCs w:val="24"/>
        </w:rPr>
        <w:t xml:space="preserve">    </w:t>
      </w:r>
      <w:r>
        <w:rPr>
          <w:rFonts w:ascii="Microsoft JhengHei" w:hAnsi="Microsoft JhengHei" w:eastAsia="Microsoft JhengHei" w:cs="Microsoft JhengHei"/>
          <w:spacing w:val="-3"/>
          <w:position w:val="12"/>
          <w:sz w:val="24"/>
          <w:szCs w:val="24"/>
        </w:rPr>
        <w:t>研究内容</w:t>
      </w:r>
    </w:p>
    <w:p>
      <w:pPr>
        <w:spacing w:line="204"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教学改革研究项目的研究内容主要包括：</w:t>
      </w:r>
    </w:p>
    <w:p>
      <w:pPr>
        <w:spacing w:before="106" w:line="315" w:lineRule="auto"/>
        <w:ind w:left="146" w:right="75"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3"/>
          <w:sz w:val="24"/>
          <w:szCs w:val="24"/>
        </w:rPr>
        <w:t>现代教育思想、教育理论的研究；</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高等教育改革和发展战略研究；</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3"/>
          <w:sz w:val="24"/>
          <w:szCs w:val="24"/>
        </w:rPr>
        <w:t>高等教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育人才培养目标、培养体系和培养模式研究；产学研合作培养人才体制机制研究。</w:t>
      </w:r>
    </w:p>
    <w:p>
      <w:pPr>
        <w:spacing w:before="6" w:line="199"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（二）大学生创新和创业教育研究与实践。</w:t>
      </w:r>
    </w:p>
    <w:p>
      <w:pPr>
        <w:spacing w:before="163" w:line="239" w:lineRule="auto"/>
        <w:ind w:left="144" w:right="7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（三）</w:t>
      </w:r>
      <w:r>
        <w:rPr>
          <w:rFonts w:ascii="方正书宋简体" w:hAnsi="方正书宋简体" w:eastAsia="方正书宋简体" w:cs="方正书宋简体"/>
          <w:spacing w:val="61"/>
          <w:sz w:val="24"/>
          <w:szCs w:val="24"/>
        </w:rPr>
        <w:t xml:space="preserve"> </w:t>
      </w:r>
      <w:r>
        <w:rPr>
          <w:rFonts w:ascii="方正书宋简体" w:hAnsi="方正书宋简体" w:eastAsia="方正书宋简体" w:cs="方正书宋简体"/>
          <w:spacing w:val="-4"/>
          <w:sz w:val="24"/>
          <w:szCs w:val="24"/>
        </w:rPr>
        <w:t>教学内容、课程体系、教学方法、教学手段的研究与改革、实践教学的改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革与研究。</w:t>
      </w:r>
    </w:p>
    <w:p>
      <w:pPr>
        <w:spacing w:before="220" w:line="315" w:lineRule="auto"/>
        <w:ind w:left="142" w:right="7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教育教学管理改革的研究与实践，</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教育教学评估与质量监控的理论与实践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研究。</w:t>
      </w:r>
    </w:p>
    <w:p>
      <w:pPr>
        <w:spacing w:before="1" w:line="201"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（五）实验教学与实验室管理、现代教育技术在教育教学中的应用研究。</w:t>
      </w:r>
    </w:p>
    <w:p>
      <w:pPr>
        <w:spacing w:before="159" w:line="193"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（六）专业建设、课程建设、教材建设及试题库建设等各项教学建设研究。</w:t>
      </w:r>
    </w:p>
    <w:p>
      <w:pPr>
        <w:spacing w:before="179" w:line="224" w:lineRule="auto"/>
        <w:ind w:left="3555" w:right="2714" w:hanging="306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（七）学校教育教学工作中急需解决的其他问题研究。</w:t>
      </w:r>
      <w:r>
        <w:rPr>
          <w:rFonts w:ascii="方正书宋简体" w:hAnsi="方正书宋简体" w:eastAsia="方正书宋简体" w:cs="方正书宋简体"/>
          <w:spacing w:val="6"/>
          <w:sz w:val="24"/>
          <w:szCs w:val="24"/>
        </w:rPr>
        <w:t xml:space="preserve"> </w:t>
      </w: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项目申报</w:t>
      </w:r>
    </w:p>
    <w:p>
      <w:pPr>
        <w:spacing w:before="180"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项目申报工作每年一次，分为重点项目、一般项目和自筹经费项目三</w:t>
      </w:r>
    </w:p>
    <w:p>
      <w:pPr>
        <w:sectPr>
          <w:footerReference r:id="rId36" w:type="default"/>
          <w:pgSz w:w="11905" w:h="16840"/>
          <w:pgMar w:top="1431" w:right="1510" w:bottom="1395" w:left="1447" w:header="0" w:footer="1250" w:gutter="0"/>
          <w:cols w:space="720" w:num="1"/>
        </w:sectPr>
      </w:pPr>
    </w:p>
    <w:p>
      <w:pPr>
        <w:spacing w:before="313" w:line="264" w:lineRule="auto"/>
        <w:ind w:left="3" w:right="77" w:hanging="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类。学校每年定期公布校级教学改革研究项目指南，组织教改项目申报立项工作，</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已经列入教育部和省教育厅等有关方面立项课题的不再重复申报。主持校级及以上</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教改项目未结题者不得申报。</w:t>
      </w:r>
    </w:p>
    <w:p>
      <w:pPr>
        <w:spacing w:before="207" w:line="250" w:lineRule="auto"/>
        <w:ind w:left="3"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第七条</w:t>
      </w:r>
      <w:r>
        <w:rPr>
          <w:rFonts w:ascii="Microsoft JhengHei" w:hAnsi="Microsoft JhengHei" w:eastAsia="Microsoft JhengHei" w:cs="Microsoft JhengHei"/>
          <w:spacing w:val="13"/>
          <w:w w:val="101"/>
          <w:sz w:val="24"/>
          <w:szCs w:val="24"/>
        </w:rPr>
        <w:t xml:space="preserve">    </w:t>
      </w:r>
      <w:r>
        <w:rPr>
          <w:rFonts w:ascii="方正书宋简体" w:hAnsi="方正书宋简体" w:eastAsia="方正书宋简体" w:cs="方正书宋简体"/>
          <w:spacing w:val="-3"/>
          <w:sz w:val="24"/>
          <w:szCs w:val="24"/>
        </w:rPr>
        <w:t>申报者作为项目主持人限申报</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3"/>
          <w:sz w:val="24"/>
          <w:szCs w:val="24"/>
        </w:rPr>
        <w:t>项，一般应具备初级以上专业技术职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务，省级及以上项目主持人应具备中级及以上专业技术职务。原则上应组成课题组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申报，课题组成员一般不超过</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5</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人。</w:t>
      </w:r>
    </w:p>
    <w:p>
      <w:pPr>
        <w:spacing w:before="205" w:line="250" w:lineRule="auto"/>
        <w:ind w:left="2" w:right="7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各院（部）根据本单位实际情况组织好选题申报工作，并由项目申请</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人填写《吉首大学教学改革研究项目申请书》。申请人所在学院（部）</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8"/>
          <w:sz w:val="24"/>
          <w:szCs w:val="24"/>
        </w:rPr>
        <w:t>须对申请书进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行全面审核，并签署明确意见，承担信誉保证。</w:t>
      </w:r>
    </w:p>
    <w:p>
      <w:pPr>
        <w:spacing w:before="202" w:line="282" w:lineRule="auto"/>
        <w:ind w:left="9" w:right="80"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第九条</w:t>
      </w:r>
      <w:r>
        <w:rPr>
          <w:rFonts w:ascii="Microsoft JhengHei" w:hAnsi="Microsoft JhengHei" w:eastAsia="Microsoft JhengHei" w:cs="Microsoft JhengHei"/>
          <w:spacing w:val="15"/>
          <w:sz w:val="24"/>
          <w:szCs w:val="24"/>
        </w:rPr>
        <w:t xml:space="preserve">    </w:t>
      </w:r>
      <w:r>
        <w:rPr>
          <w:rFonts w:ascii="方正书宋简体" w:hAnsi="方正书宋简体" w:eastAsia="方正书宋简体" w:cs="方正书宋简体"/>
          <w:spacing w:val="8"/>
          <w:sz w:val="24"/>
          <w:szCs w:val="24"/>
        </w:rPr>
        <w:t>各单位向学校推荐的教学改革研究项目中教学一线教师的项目应占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3/2</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3"/>
          <w:sz w:val="24"/>
          <w:szCs w:val="24"/>
        </w:rPr>
        <w:t>以上，推荐项目还应包括一定数量的实践教学类项目。</w:t>
      </w:r>
    </w:p>
    <w:p>
      <w:pPr>
        <w:spacing w:before="10" w:line="450" w:lineRule="exact"/>
        <w:ind w:firstLine="305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第四章</w:t>
      </w:r>
      <w:r>
        <w:rPr>
          <w:rFonts w:ascii="Microsoft JhengHei" w:hAnsi="Microsoft JhengHei" w:eastAsia="Microsoft JhengHei" w:cs="Microsoft JhengHei"/>
          <w:spacing w:val="4"/>
          <w:w w:val="101"/>
          <w:position w:val="12"/>
          <w:sz w:val="24"/>
          <w:szCs w:val="24"/>
        </w:rPr>
        <w:t xml:space="preserve">    </w:t>
      </w:r>
      <w:r>
        <w:rPr>
          <w:rFonts w:ascii="Microsoft JhengHei" w:hAnsi="Microsoft JhengHei" w:eastAsia="Microsoft JhengHei" w:cs="Microsoft JhengHei"/>
          <w:spacing w:val="-3"/>
          <w:position w:val="12"/>
          <w:sz w:val="24"/>
          <w:szCs w:val="24"/>
        </w:rPr>
        <w:t>项目评审与立项</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
          <w:sz w:val="24"/>
          <w:szCs w:val="24"/>
        </w:rPr>
        <w:t>立项评审原则</w:t>
      </w:r>
    </w:p>
    <w:p>
      <w:pPr>
        <w:spacing w:before="109" w:line="265" w:lineRule="auto"/>
        <w:ind w:left="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（一）</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全面贯彻落实国家教育教学方针的原则。立项项目要紧密围绕国家的教育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教学改革方针政策，</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不断研究教育教学中的新形势和新问题，</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锐意改革、开拓创新，</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全面贯彻落实国家教育教学方针政策。</w:t>
      </w:r>
    </w:p>
    <w:p>
      <w:pPr>
        <w:spacing w:before="214" w:line="274" w:lineRule="auto"/>
        <w:ind w:left="6" w:right="77"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（二）</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服务学校教育教学改革总体部署的原则。教学改革项目要以学校教育教学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改革中长期发展规划、学校年度本科教学工作要点、实验室与设备管理中心工作要</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点为依据，重点研究本科教学工作中急需改革的重要问题。</w:t>
      </w:r>
    </w:p>
    <w:p>
      <w:pPr>
        <w:spacing w:before="179" w:line="315" w:lineRule="auto"/>
        <w:ind w:left="3"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9"/>
          <w:sz w:val="24"/>
          <w:szCs w:val="24"/>
        </w:rPr>
        <w:t>向教学一线倾斜的原则。项目立项评审坚持向教学一线教师倾斜，</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立项项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目教学一线教师的项目应占</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
          <w:sz w:val="24"/>
          <w:szCs w:val="24"/>
        </w:rPr>
        <w:t>2/3</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以上（一线教师是指从事一线教学的专任教师，不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含学院领导和学院行政部门的工作人员</w:t>
      </w:r>
      <w:r>
        <w:rPr>
          <w:rFonts w:ascii="方正书宋简体" w:hAnsi="方正书宋简体" w:eastAsia="方正书宋简体" w:cs="方正书宋简体"/>
          <w:spacing w:val="-74"/>
          <w:sz w:val="24"/>
          <w:szCs w:val="24"/>
        </w:rPr>
        <w:t>），</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在同等条件下优先立项没有行政职务的普</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通教师所申报的项目。</w:t>
      </w:r>
    </w:p>
    <w:p>
      <w:pPr>
        <w:spacing w:before="6" w:line="264" w:lineRule="auto"/>
        <w:ind w:left="3" w:right="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（四）质量优先、宁缺毋滥的原则。教学改革研究项目立项评审时坚持评审标准，</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优先立项创新性强、可行性高、论证规范，申报质量高的项目。对于选题与论证质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量差的项目，即便有立项指标，也宁缺毋滥。</w:t>
      </w:r>
    </w:p>
    <w:p>
      <w:pPr>
        <w:spacing w:before="214" w:line="316" w:lineRule="auto"/>
        <w:ind w:right="77"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（五）</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实行限额推荐的原则。学校根据学院的教师人数与承担教学改革与教学建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设任务的大小，科学测算学院限额推荐名额。</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学院严格按照推荐名额进行推荐。省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级教改项目在校级教改项目的基础上进行推荐，省级经费资助项目各个学院推荐数</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不超过</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3"/>
          <w:sz w:val="24"/>
          <w:szCs w:val="24"/>
        </w:rPr>
        <w:t>个，没有高质量的项目可以不推荐。</w:t>
      </w:r>
    </w:p>
    <w:p>
      <w:pPr>
        <w:sectPr>
          <w:footerReference r:id="rId37" w:type="default"/>
          <w:pgSz w:w="11905" w:h="16840"/>
          <w:pgMar w:top="1431" w:right="1507" w:bottom="1395" w:left="1588" w:header="0" w:footer="1250" w:gutter="0"/>
          <w:cols w:space="720" w:num="1"/>
        </w:sectPr>
      </w:pPr>
    </w:p>
    <w:p>
      <w:pPr>
        <w:spacing w:before="311"/>
        <w:ind w:right="96"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（六）所立项目应对学校教学建设与教学改革具有直接的指导意义和实际应用价</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值，能带动学校的学科专业建设，能促进教育教学质量的提高。</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5"/>
          <w:sz w:val="24"/>
          <w:szCs w:val="24"/>
        </w:rPr>
        <w:t>申报立项程序</w:t>
      </w:r>
    </w:p>
    <w:p>
      <w:pPr>
        <w:spacing w:before="15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（一）学校教务处、实验室与设备管理中心下发组织申报教学改革研究项目的文件。</w:t>
      </w:r>
    </w:p>
    <w:p>
      <w:pPr>
        <w:spacing w:before="192"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（二）申报者自愿申报，并按要求填写《吉首大学教学改革研究项目申请书》。</w:t>
      </w:r>
    </w:p>
    <w:p>
      <w:pPr>
        <w:spacing w:before="194" w:line="315" w:lineRule="auto"/>
        <w:ind w:left="4" w:right="95"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13"/>
          <w:sz w:val="24"/>
          <w:szCs w:val="24"/>
        </w:rPr>
        <w:t>学院根据学校下达的申报名额，</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3"/>
          <w:sz w:val="24"/>
          <w:szCs w:val="24"/>
        </w:rPr>
        <w:t>组织项目初审与推荐，</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并签定项目审核和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推荐意见，在规定时间报教务处、实验室与设备管理中心。</w:t>
      </w:r>
    </w:p>
    <w:p>
      <w:pPr>
        <w:spacing w:before="1" w:line="239" w:lineRule="auto"/>
        <w:ind w:left="2" w:right="9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（四）</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教务处、实验室与设备管理中心负责资格审核，</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在教学委员会的授权下组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织教改项目评审专家进行立项评审。</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第十二条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立项项目质量要求与基本标准是：</w:t>
      </w:r>
    </w:p>
    <w:p>
      <w:pPr>
        <w:spacing w:before="152"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（一）项目选题符合教改项目立项指南的要求。</w:t>
      </w:r>
    </w:p>
    <w:p>
      <w:pPr>
        <w:spacing w:before="194" w:line="315" w:lineRule="auto"/>
        <w:ind w:left="2" w:right="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（二）</w:t>
      </w:r>
      <w:r>
        <w:rPr>
          <w:rFonts w:ascii="方正书宋简体" w:hAnsi="方正书宋简体" w:eastAsia="方正书宋简体" w:cs="方正书宋简体"/>
          <w:spacing w:val="76"/>
          <w:w w:val="101"/>
          <w:sz w:val="24"/>
          <w:szCs w:val="24"/>
        </w:rPr>
        <w:t xml:space="preserve"> </w:t>
      </w:r>
      <w:r>
        <w:rPr>
          <w:rFonts w:ascii="方正书宋简体" w:hAnsi="方正书宋简体" w:eastAsia="方正书宋简体" w:cs="方正书宋简体"/>
          <w:spacing w:val="-18"/>
          <w:sz w:val="24"/>
          <w:szCs w:val="24"/>
        </w:rPr>
        <w:t>项目研究目标明确，</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8"/>
          <w:sz w:val="24"/>
          <w:szCs w:val="24"/>
        </w:rPr>
        <w:t>有较好的研究和改革实践基础，</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8"/>
          <w:sz w:val="24"/>
          <w:szCs w:val="24"/>
        </w:rPr>
        <w:t>研究力量较强，</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8"/>
          <w:sz w:val="24"/>
          <w:szCs w:val="24"/>
        </w:rPr>
        <w:t>遵循</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教育教学规律，反映教改项目立项的指导思想，体现教育改革发展新要求，改革路</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15"/>
          <w:sz w:val="24"/>
          <w:szCs w:val="24"/>
        </w:rPr>
        <w:t>线清晰，</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5"/>
          <w:sz w:val="24"/>
          <w:szCs w:val="24"/>
        </w:rPr>
        <w:t>改革举措切实有效，</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5"/>
          <w:sz w:val="24"/>
          <w:szCs w:val="24"/>
        </w:rPr>
        <w:t>有利于增强人才培养的适应性，</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5"/>
          <w:sz w:val="24"/>
          <w:szCs w:val="24"/>
        </w:rPr>
        <w:t>有利于提高教学质量。</w:t>
      </w:r>
    </w:p>
    <w:p>
      <w:pPr>
        <w:spacing w:before="1" w:line="315" w:lineRule="auto"/>
        <w:ind w:left="2" w:right="9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（三）</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18"/>
          <w:sz w:val="24"/>
          <w:szCs w:val="24"/>
        </w:rPr>
        <w:t>项目研究设计科学合理，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理论与实践结合，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8"/>
          <w:sz w:val="24"/>
          <w:szCs w:val="24"/>
        </w:rPr>
        <w:t>研究与改革实践结合，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8"/>
          <w:sz w:val="24"/>
          <w:szCs w:val="24"/>
        </w:rPr>
        <w:t>研究方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法和实践途径可行。</w:t>
      </w:r>
    </w:p>
    <w:p>
      <w:pPr>
        <w:spacing w:before="1" w:line="315" w:lineRule="auto"/>
        <w:ind w:left="3" w:right="97"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项目注重实际应用，</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对提高人才培养质量和改善教学管理有指导作用和推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广应用价值，项目完成后可在一定范围内发挥示范辐射作用。</w:t>
      </w:r>
    </w:p>
    <w:p>
      <w:pPr>
        <w:spacing w:before="3" w:line="237" w:lineRule="auto"/>
        <w:ind w:left="2" w:right="9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（五）</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9"/>
          <w:sz w:val="24"/>
          <w:szCs w:val="24"/>
        </w:rPr>
        <w:t>近</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9"/>
          <w:sz w:val="24"/>
          <w:szCs w:val="24"/>
        </w:rPr>
        <w:t>年已有相同或相近立项项目，</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相比之下没有明显创新的申报项目原则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上不再重复立项。</w:t>
      </w:r>
    </w:p>
    <w:p>
      <w:pPr>
        <w:spacing w:before="208"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（六）申请经费及经费预算安排比较合理。</w:t>
      </w:r>
    </w:p>
    <w:p>
      <w:pPr>
        <w:spacing w:before="194" w:line="281" w:lineRule="auto"/>
        <w:ind w:left="30" w:right="97" w:firstLine="45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第十三条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4"/>
          <w:sz w:val="24"/>
          <w:szCs w:val="24"/>
        </w:rPr>
        <w:t>教改项目评审结果经公示无异议，</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4"/>
          <w:sz w:val="24"/>
          <w:szCs w:val="24"/>
        </w:rPr>
        <w:t>报主管校长批准后正式立项，并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由教务处、实验室与设备管理中心发文公布。</w:t>
      </w:r>
    </w:p>
    <w:p>
      <w:pPr>
        <w:spacing w:before="12" w:line="195"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项目过程管理</w:t>
      </w:r>
    </w:p>
    <w:p>
      <w:pPr>
        <w:spacing w:before="11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
          <w:sz w:val="24"/>
          <w:szCs w:val="24"/>
        </w:rPr>
        <w:t>项目实行项目制管理和项目主持人负责制。</w:t>
      </w:r>
    </w:p>
    <w:p>
      <w:pPr>
        <w:spacing w:before="151" w:line="315" w:lineRule="auto"/>
        <w:ind w:left="1" w:right="9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（一）</w:t>
      </w:r>
      <w:r>
        <w:rPr>
          <w:rFonts w:ascii="方正书宋简体" w:hAnsi="方正书宋简体" w:eastAsia="方正书宋简体" w:cs="方正书宋简体"/>
          <w:spacing w:val="68"/>
          <w:sz w:val="24"/>
          <w:szCs w:val="24"/>
        </w:rPr>
        <w:t xml:space="preserve"> </w:t>
      </w:r>
      <w:r>
        <w:rPr>
          <w:rFonts w:ascii="方正书宋简体" w:hAnsi="方正书宋简体" w:eastAsia="方正书宋简体" w:cs="方正书宋简体"/>
          <w:spacing w:val="-14"/>
          <w:sz w:val="24"/>
          <w:szCs w:val="24"/>
        </w:rPr>
        <w:t>项目经批准立项后，</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4"/>
          <w:sz w:val="24"/>
          <w:szCs w:val="24"/>
        </w:rPr>
        <w:t>申请人填报的项目申请书即为项目管理的依据，</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4"/>
          <w:sz w:val="24"/>
          <w:szCs w:val="24"/>
        </w:rPr>
        <w:t>有关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各方应严格履行。</w:t>
      </w:r>
    </w:p>
    <w:p>
      <w:pPr>
        <w:spacing w:before="3" w:line="310" w:lineRule="auto"/>
        <w:ind w:right="9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一个项目只能确立一个主持人。项目主持人依照项目内容要求，</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在批准的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计划任务和预算范围内享有充分的自主权；负责项目总体研究计划的实施，推动课</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题组成员间的协作研究。项目所在单位应加强对立项项目研究工作的指导和经费开</w:t>
      </w:r>
    </w:p>
    <w:p>
      <w:pPr>
        <w:sectPr>
          <w:footerReference r:id="rId38" w:type="default"/>
          <w:pgSz w:w="11905" w:h="16840"/>
          <w:pgMar w:top="1431" w:right="1490" w:bottom="1395" w:left="1590" w:header="0" w:footer="1250" w:gutter="0"/>
          <w:cols w:space="720" w:num="1"/>
        </w:sectPr>
      </w:pPr>
    </w:p>
    <w:p>
      <w:pPr>
        <w:spacing w:before="312"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支的监督，帮助项目负责人制定好研究实施计划，并提供研究所需的必要条件。</w:t>
      </w:r>
    </w:p>
    <w:p>
      <w:pPr>
        <w:spacing w:before="194" w:line="277" w:lineRule="auto"/>
        <w:ind w:left="2" w:right="7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3"/>
          <w:sz w:val="24"/>
          <w:szCs w:val="24"/>
        </w:rPr>
        <w:t>项目研究过程中，</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研究计划、主要研究人员需要进行重大调整变化时，</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由项目负责人提出报告，所在单位签署意见，</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报学校批准。项目主要研究人员调离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原单位的，项目负责人和单位要采取措施保证项目研究工作继续进行，并及时报告</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学校教务处、实验室与设备管理中心。</w:t>
      </w:r>
    </w:p>
    <w:p>
      <w:pPr>
        <w:spacing w:before="202" w:line="304" w:lineRule="auto"/>
        <w:ind w:right="7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为加强项目研究过程的管理，实行项目年度检查制度。项目的年度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检查工作由各教学单位组织。检查内容主要包括：项目是否按计划开展；研究进度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是否符合要求；项目经费是否合规使用；是否有阶段性研究成果等。对于没有进行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实质性研究的项目、无故不接受年度检查或年度检查不合格的项目，进行通报批评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并停止经费使用。各单位应组织人员认真审核项目年度报告，及时发现和处理项目</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研究过程出现的问题，并定期公布年度检查结果。</w:t>
      </w:r>
    </w:p>
    <w:p>
      <w:pPr>
        <w:spacing w:before="7" w:line="281"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7"/>
          <w:sz w:val="24"/>
          <w:szCs w:val="24"/>
        </w:rPr>
        <w:t>项目经批准后不得随意更改研究计划，</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7"/>
          <w:sz w:val="24"/>
          <w:szCs w:val="24"/>
        </w:rPr>
        <w:t>确需变更时要履行报批手续，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项目所在单位在审查变更申请时应严格把关。</w:t>
      </w:r>
    </w:p>
    <w:p>
      <w:pPr>
        <w:spacing w:before="26" w:line="315" w:lineRule="auto"/>
        <w:ind w:left="2" w:right="7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（一）</w:t>
      </w:r>
      <w:r>
        <w:rPr>
          <w:rFonts w:ascii="方正书宋简体" w:hAnsi="方正书宋简体" w:eastAsia="方正书宋简体" w:cs="方正书宋简体"/>
          <w:spacing w:val="122"/>
          <w:w w:val="101"/>
          <w:sz w:val="24"/>
          <w:szCs w:val="24"/>
        </w:rPr>
        <w:t xml:space="preserve"> </w:t>
      </w:r>
      <w:r>
        <w:rPr>
          <w:rFonts w:ascii="方正书宋简体" w:hAnsi="方正书宋简体" w:eastAsia="方正书宋简体" w:cs="方正书宋简体"/>
          <w:spacing w:val="-11"/>
          <w:w w:val="96"/>
          <w:sz w:val="24"/>
          <w:szCs w:val="24"/>
        </w:rPr>
        <w:t>项目自批准之日起，</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6"/>
          <w:sz w:val="24"/>
          <w:szCs w:val="24"/>
        </w:rPr>
        <w:t>研究周期不超过</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6"/>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6"/>
          <w:sz w:val="24"/>
          <w:szCs w:val="24"/>
        </w:rPr>
        <w:t>年，</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w w:val="96"/>
          <w:sz w:val="24"/>
          <w:szCs w:val="24"/>
        </w:rPr>
        <w:t>特殊情况可申请延期</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6"/>
          <w:sz w:val="24"/>
          <w:szCs w:val="24"/>
        </w:rPr>
        <w:t>年，</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w w:val="96"/>
          <w:sz w:val="24"/>
          <w:szCs w:val="24"/>
        </w:rPr>
        <w:t>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须经所在教学单位同意并报教务处批准备案。</w:t>
      </w:r>
    </w:p>
    <w:p>
      <w:pPr>
        <w:spacing w:before="1" w:line="239" w:lineRule="auto"/>
        <w:ind w:left="3" w:right="76"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3"/>
          <w:sz w:val="24"/>
          <w:szCs w:val="24"/>
        </w:rPr>
        <w:t>变更项目主持人或依托单位，</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须经原项目主持人和依托单位提出申请，</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学校教务处、实验室与设备管理中心批准。</w:t>
      </w:r>
    </w:p>
    <w:p>
      <w:pPr>
        <w:spacing w:before="206"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第十七条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有下列情况之一者，做撤项处理：</w:t>
      </w:r>
    </w:p>
    <w:p>
      <w:pPr>
        <w:spacing w:before="147"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（一）项目实施情况表明，主持人不具备按原计划完成研究任务的条件和能力；</w:t>
      </w:r>
    </w:p>
    <w:p>
      <w:pPr>
        <w:spacing w:before="17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（二）未经批准擅自变更主持人或研究内容；</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（三）在规定的项目周期内未能如期完成研究任务者；</w:t>
      </w:r>
    </w:p>
    <w:p>
      <w:pPr>
        <w:spacing w:before="179"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（四）项目组确有特殊困难无法完成，由主持人提出撤项申请者。</w:t>
      </w:r>
    </w:p>
    <w:p>
      <w:pPr>
        <w:spacing w:before="190" w:line="303" w:lineRule="auto"/>
        <w:ind w:left="2"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凡被撤销的项目，学校将追回已拨经费及其剩余部分经费；项目主持人</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
          <w:sz w:val="24"/>
          <w:szCs w:val="24"/>
        </w:rPr>
        <w:t>年内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不得申报学校教学改革项目。</w:t>
      </w:r>
    </w:p>
    <w:p>
      <w:pPr>
        <w:spacing w:before="26" w:line="187" w:lineRule="auto"/>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第六章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项目验收结项</w:t>
      </w:r>
    </w:p>
    <w:p>
      <w:pPr>
        <w:spacing w:before="128" w:line="258" w:lineRule="auto"/>
        <w:ind w:right="7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项目完成后，须按管理程序进行验收和结项。项目主持人应填写结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题报告书，并提供以下材料：结题报告书、项目申请书复印件、成果主件及附件，</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1"/>
          <w:sz w:val="24"/>
          <w:szCs w:val="24"/>
        </w:rPr>
        <w:t>研究工作总结报告、资助经费使用报告、实践效果评议材料及其它有关材料。</w:t>
      </w:r>
    </w:p>
    <w:p>
      <w:pPr>
        <w:spacing w:before="167" w:line="292" w:lineRule="auto"/>
        <w:ind w:left="3" w:right="79"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第十九条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教改成果的形式包括：教改论文、</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3"/>
          <w:sz w:val="24"/>
          <w:szCs w:val="24"/>
        </w:rPr>
        <w:t>著作、调研报告、实验报告、人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才培养方案、教学计划、教学大纲、课程标准、讲义、教材（含实训教材）、实验</w:t>
      </w:r>
    </w:p>
    <w:p>
      <w:pPr>
        <w:sectPr>
          <w:footerReference r:id="rId39" w:type="default"/>
          <w:pgSz w:w="11905" w:h="16840"/>
          <w:pgMar w:top="1431" w:right="1509" w:bottom="1395" w:left="1590" w:header="0" w:footer="1250" w:gutter="0"/>
          <w:cols w:space="720" w:num="1"/>
        </w:sectPr>
      </w:pPr>
    </w:p>
    <w:p>
      <w:pPr>
        <w:spacing w:before="313"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指导书、教学课件、教学软件等。教改其它成果和附件包括：</w:t>
      </w:r>
    </w:p>
    <w:p>
      <w:pPr>
        <w:spacing w:before="191" w:line="25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（一）研究成果属于人才培养方案、专业建设、课程建设、实验室建设等方面的，</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2"/>
          <w:sz w:val="24"/>
          <w:szCs w:val="24"/>
        </w:rPr>
        <w:t>应附上建设方案以及被采用或使用效果的佐证材料；</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（二）研究成果属于课件、软件等方面的，应附光盘和使用情况证明；</w:t>
      </w:r>
    </w:p>
    <w:p>
      <w:pPr>
        <w:spacing w:before="177" w:line="239" w:lineRule="auto"/>
        <w:ind w:left="1"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9"/>
          <w:sz w:val="24"/>
          <w:szCs w:val="24"/>
        </w:rPr>
        <w:t xml:space="preserve"> </w:t>
      </w:r>
      <w:r>
        <w:rPr>
          <w:rFonts w:ascii="方正书宋简体" w:hAnsi="方正书宋简体" w:eastAsia="方正书宋简体" w:cs="方正书宋简体"/>
          <w:spacing w:val="-9"/>
          <w:sz w:val="24"/>
          <w:szCs w:val="24"/>
        </w:rPr>
        <w:t>研究成果被相关部门采用或在学术团体、学术会议上交流的，</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须附上课题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成果已被采用、交流的相关证明。</w:t>
      </w:r>
    </w:p>
    <w:p>
      <w:pPr>
        <w:spacing w:before="206" w:line="282" w:lineRule="auto"/>
        <w:ind w:left="2" w:right="8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在各教学、教辅单位审核同意的基础上，教务处、实验室与设备管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理中心将组织专家对项目的结题成果进行审核。项目结题应同时达到以下要求：</w:t>
      </w:r>
    </w:p>
    <w:p>
      <w:pPr>
        <w:spacing w:before="26" w:line="252" w:lineRule="auto"/>
        <w:ind w:right="80"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8"/>
          <w:sz w:val="24"/>
          <w:szCs w:val="24"/>
        </w:rPr>
        <w:t>项目申报书中设定的各项研究任务与改革工作已全部完成，</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结项成果与预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期成果基本一致；</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（二）有完整的教学改革方案和实施过程支撑材料。</w:t>
      </w:r>
    </w:p>
    <w:p>
      <w:pPr>
        <w:spacing w:before="173" w:line="313" w:lineRule="auto"/>
        <w:ind w:right="7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3"/>
          <w:w w:val="101"/>
          <w:sz w:val="24"/>
          <w:szCs w:val="24"/>
        </w:rPr>
        <w:t xml:space="preserve"> </w:t>
      </w:r>
      <w:r>
        <w:rPr>
          <w:rFonts w:ascii="方正书宋简体" w:hAnsi="方正书宋简体" w:eastAsia="方正书宋简体" w:cs="方正书宋简体"/>
          <w:spacing w:val="-9"/>
          <w:sz w:val="24"/>
          <w:szCs w:val="24"/>
        </w:rPr>
        <w:t>重点项目结项时项目组至少公开发表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2</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9"/>
          <w:sz w:val="24"/>
          <w:szCs w:val="24"/>
        </w:rPr>
        <w:t>篇教改论文，</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9"/>
          <w:sz w:val="24"/>
          <w:szCs w:val="24"/>
        </w:rPr>
        <w:t>其中主持人作为第一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署名人须在《吉首大学教学奖励办法》中规定的奖励期刊上至少发表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
          <w:sz w:val="24"/>
          <w:szCs w:val="24"/>
        </w:rPr>
        <w:t>1</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
          <w:sz w:val="24"/>
          <w:szCs w:val="24"/>
        </w:rPr>
        <w:t>篇与项目相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关的教改论文；一般项目结项时主持人作为第一署名人须在省级及以上刊物至少发</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
          <w:sz w:val="24"/>
          <w:szCs w:val="24"/>
        </w:rPr>
        <w:t>1</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
          <w:sz w:val="24"/>
          <w:szCs w:val="24"/>
        </w:rPr>
        <w:t>篇与项目相关的教改论文。为提高教学研究水平，凡发表在半月刊、旬刊等非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奖励期刊上的教改论文不予认可。</w:t>
      </w:r>
    </w:p>
    <w:p>
      <w:pPr>
        <w:spacing w:before="25" w:line="185"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（四）公开发表的教研教改论文必须标注教改项目名称与项目立项编号。</w:t>
      </w:r>
    </w:p>
    <w:p>
      <w:pPr>
        <w:spacing w:before="185"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（五）经费开支与预算基本吻合，开支项目合情合理合规合法。</w:t>
      </w:r>
    </w:p>
    <w:p>
      <w:pPr>
        <w:spacing w:before="181" w:line="258" w:lineRule="auto"/>
        <w:ind w:left="1"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教务处、实验室与设备管理中心在公布年度立项项目文件时，同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时公布项目验收结题结果。验收结题结果分为优秀通过、暂缓通过、撤销立项；暂</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缓通过的项目，应进行整改，须按程序再次提交结项申请材料。</w:t>
      </w:r>
    </w:p>
    <w:p>
      <w:pPr>
        <w:spacing w:before="164" w:line="30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教改项目应在规定的时间内完成结题工作。项目到期未结题的，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经申请可延期一年结题，</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一年后仍未结题的，</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撤销立项。未按要求完成项目研究的，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要追回资助经费，并追究有关人员的责任。承担项目的单位，其所有项目最终完成</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率低于</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
          <w:sz w:val="24"/>
          <w:szCs w:val="24"/>
        </w:rPr>
        <w:t>80%的，将减少申报新项目的数量；低于</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
          <w:sz w:val="24"/>
          <w:szCs w:val="24"/>
        </w:rPr>
        <w:t>50%的，取消该单位下一年度的项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目申报资格。</w:t>
      </w:r>
    </w:p>
    <w:p>
      <w:pPr>
        <w:spacing w:before="7" w:line="280" w:lineRule="auto"/>
        <w:ind w:left="3" w:right="8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教改项目的研究过程的相关中期检查、结题评审结果将纳入年度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学院教学工作考核指标体系中。</w:t>
      </w:r>
    </w:p>
    <w:p>
      <w:pPr>
        <w:spacing w:before="14" w:line="195" w:lineRule="auto"/>
        <w:ind w:firstLine="3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第七章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项目经费与使用</w:t>
      </w:r>
    </w:p>
    <w:p>
      <w:pPr>
        <w:spacing w:before="11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项目经费一律纳入学校财务部门统一管理，教务处、实验室与设</w:t>
      </w:r>
    </w:p>
    <w:p>
      <w:pPr>
        <w:sectPr>
          <w:footerReference r:id="rId40" w:type="default"/>
          <w:pgSz w:w="11905" w:h="16840"/>
          <w:pgMar w:top="1431" w:right="1507" w:bottom="1395" w:left="1590" w:header="0" w:footer="1250" w:gutter="0"/>
          <w:cols w:space="720" w:num="1"/>
        </w:sectPr>
      </w:pPr>
    </w:p>
    <w:p>
      <w:pPr>
        <w:spacing w:before="313"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备管理中心、财务处与学院及相关教学教辅单位对项目经费进行监督管理。</w:t>
      </w:r>
    </w:p>
    <w:p>
      <w:pPr>
        <w:spacing w:before="192" w:line="315" w:lineRule="auto"/>
        <w:ind w:right="95"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13"/>
          <w:sz w:val="24"/>
          <w:szCs w:val="24"/>
        </w:rPr>
        <w:t>项目主持人要合理编制项目经费预算，</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严格执行项目的经费预算方案，</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证将项目经费用于项目研究。项目结题后要及时办理结账手续，结题结余经费要继</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续用于教学改革研究方面支出。</w:t>
      </w:r>
    </w:p>
    <w:p>
      <w:pPr>
        <w:ind w:left="9" w:right="95"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80"/>
          <w:sz w:val="24"/>
          <w:szCs w:val="24"/>
        </w:rPr>
        <w:t xml:space="preserve"> </w:t>
      </w:r>
      <w:r>
        <w:rPr>
          <w:rFonts w:ascii="方正书宋简体" w:hAnsi="方正书宋简体" w:eastAsia="方正书宋简体" w:cs="方正书宋简体"/>
          <w:spacing w:val="-9"/>
          <w:sz w:val="24"/>
          <w:szCs w:val="24"/>
        </w:rPr>
        <w:t>学校财务部门和教学单位对项目经费开支进行监督，</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9"/>
          <w:sz w:val="24"/>
          <w:szCs w:val="24"/>
        </w:rPr>
        <w:t>做到手续完备、账目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清楚、内容真实、核算准确、监督措施有力，确保项目经费的合理、有效使用。</w:t>
      </w:r>
    </w:p>
    <w:p>
      <w:pPr>
        <w:spacing w:before="202" w:line="233" w:lineRule="auto"/>
        <w:ind w:left="6" w:right="7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w w:val="96"/>
          <w:sz w:val="24"/>
          <w:szCs w:val="24"/>
        </w:rPr>
        <w:t>第二十五条</w:t>
      </w:r>
      <w:r>
        <w:rPr>
          <w:rFonts w:ascii="Microsoft JhengHei" w:hAnsi="Microsoft JhengHei" w:eastAsia="Microsoft JhengHei" w:cs="Microsoft JhengHei"/>
          <w:spacing w:val="15"/>
          <w:sz w:val="24"/>
          <w:szCs w:val="24"/>
        </w:rPr>
        <w:t xml:space="preserve">    </w:t>
      </w:r>
      <w:r>
        <w:rPr>
          <w:rFonts w:ascii="方正书宋简体" w:hAnsi="方正书宋简体" w:eastAsia="方正书宋简体" w:cs="方正书宋简体"/>
          <w:spacing w:val="-11"/>
          <w:w w:val="96"/>
          <w:sz w:val="24"/>
          <w:szCs w:val="24"/>
        </w:rPr>
        <w:t>校级教学改革研究项目建设期限一般为</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6"/>
          <w:sz w:val="24"/>
          <w:szCs w:val="24"/>
        </w:rPr>
        <w:t>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年，</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6"/>
          <w:sz w:val="24"/>
          <w:szCs w:val="24"/>
        </w:rPr>
        <w:t>教改项目一经立项，</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6"/>
          <w:sz w:val="24"/>
          <w:szCs w:val="24"/>
        </w:rPr>
        <w:t>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校将给予一定经费支持，校级重点教改项目资助</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2"/>
          <w:sz w:val="24"/>
          <w:szCs w:val="24"/>
        </w:rPr>
        <w:t>10000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元，校级一般项目资助</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2"/>
          <w:sz w:val="24"/>
          <w:szCs w:val="24"/>
        </w:rPr>
        <w:t>5000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元。</w:t>
      </w:r>
    </w:p>
    <w:p>
      <w:pPr>
        <w:spacing w:before="165" w:line="272" w:lineRule="auto"/>
        <w:ind w:left="3" w:right="1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学校对省级及以上的以吉首大学为第一项目单位的教改研究立项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项目给予配套经费资助。国家级自筹经费课题按省级一般项目资助经费标准（具体</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3"/>
          <w:sz w:val="24"/>
          <w:szCs w:val="24"/>
        </w:rPr>
        <w:t>标准参照当年相关文件）资助；</w:t>
      </w:r>
      <w:r>
        <w:rPr>
          <w:rFonts w:ascii="方正书宋简体" w:hAnsi="方正书宋简体" w:eastAsia="方正书宋简体" w:cs="方正书宋简体"/>
          <w:spacing w:val="83"/>
          <w:sz w:val="24"/>
          <w:szCs w:val="24"/>
        </w:rPr>
        <w:t xml:space="preserve"> </w:t>
      </w:r>
      <w:r>
        <w:rPr>
          <w:rFonts w:ascii="方正书宋简体" w:hAnsi="方正书宋简体" w:eastAsia="方正书宋简体" w:cs="方正书宋简体"/>
          <w:spacing w:val="-13"/>
          <w:sz w:val="24"/>
          <w:szCs w:val="24"/>
        </w:rPr>
        <w:t>省级教学改革研究课题，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学校按</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3"/>
          <w:sz w:val="24"/>
          <w:szCs w:val="24"/>
        </w:rPr>
        <w:t>1∶1</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3"/>
          <w:sz w:val="24"/>
          <w:szCs w:val="24"/>
        </w:rPr>
        <w:t>给予经费配套，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省（部）级自筹经费课题按校级重点项目资助标准给予资助。</w:t>
      </w:r>
    </w:p>
    <w:p>
      <w:pPr>
        <w:spacing w:before="163" w:line="266" w:lineRule="auto"/>
        <w:ind w:left="4"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学校教学改革研究项目，资助经费分阶段拨付，立项开题后当年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即拨付资助经费的</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
          <w:sz w:val="24"/>
          <w:szCs w:val="24"/>
        </w:rPr>
        <w:t>40%，结题合格后再拨付资助经费的</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
          <w:sz w:val="24"/>
          <w:szCs w:val="24"/>
        </w:rPr>
        <w:t>60%。省级及以上教改项目</w:t>
      </w:r>
      <w:r>
        <w:rPr>
          <w:rFonts w:ascii="方正书宋简体" w:hAnsi="方正书宋简体" w:eastAsia="方正书宋简体" w:cs="方正书宋简体"/>
          <w:sz w:val="24"/>
          <w:szCs w:val="24"/>
        </w:rPr>
        <w:t xml:space="preserve"> 立项开题后上级部门下拨经费据实拨付，配套经费当年拨付</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z w:val="24"/>
          <w:szCs w:val="24"/>
        </w:rPr>
        <w:t xml:space="preserve">40%，结题合格后再拨 </w:t>
      </w:r>
      <w:r>
        <w:rPr>
          <w:rFonts w:ascii="方正书宋简体" w:hAnsi="方正书宋简体" w:eastAsia="方正书宋简体" w:cs="方正书宋简体"/>
          <w:spacing w:val="-4"/>
          <w:sz w:val="24"/>
          <w:szCs w:val="24"/>
        </w:rPr>
        <w:t>付剩余的</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60%。</w:t>
      </w:r>
    </w:p>
    <w:p>
      <w:pPr>
        <w:spacing w:before="205" w:line="275" w:lineRule="auto"/>
        <w:ind w:left="4" w:right="1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教改项目经费下拨至项目主持人账户，主持人所在单位为教学单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0"/>
          <w:sz w:val="24"/>
          <w:szCs w:val="24"/>
        </w:rPr>
        <w:t>位的，</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0"/>
          <w:sz w:val="24"/>
          <w:szCs w:val="24"/>
        </w:rPr>
        <w:t>经费使用时，</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0"/>
          <w:sz w:val="24"/>
          <w:szCs w:val="24"/>
        </w:rPr>
        <w:t>由项目主持人签字，</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0"/>
          <w:sz w:val="24"/>
          <w:szCs w:val="24"/>
        </w:rPr>
        <w:t>教学院长审核，</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0"/>
          <w:sz w:val="24"/>
          <w:szCs w:val="24"/>
        </w:rPr>
        <w:t>教学单位负责领导签批后，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到学校财务处办理相关手续。主持人所在单位为非教学单位的，经费使用时，由项</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目主持人签字，教务处或实验室与设备管理中心相关科室审核，教务处处长或实验</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室与设备管理中心主任签批后，到学校财务处办理相关手续。</w:t>
      </w:r>
    </w:p>
    <w:p>
      <w:pPr>
        <w:spacing w:before="207" w:line="297" w:lineRule="auto"/>
        <w:ind w:left="5"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教改项目经费应专款专用，不得用于与项目研究无关的开支。项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目主持人按项目所列的各项经费支出范围，在学校财务部门的具体指导下支配和使</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用项目经费；教学单位和个人不得以任何理由和方式截留、挤占和挪用。经费开支</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8"/>
          <w:sz w:val="24"/>
          <w:szCs w:val="24"/>
        </w:rPr>
        <w:t>范围包括：</w:t>
      </w:r>
    </w:p>
    <w:p>
      <w:pPr>
        <w:spacing w:before="25" w:line="239" w:lineRule="auto"/>
        <w:ind w:left="7" w:right="96"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（一）</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图书资料费：</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0"/>
          <w:sz w:val="24"/>
          <w:szCs w:val="24"/>
        </w:rPr>
        <w:t>指购买图书、翻拍、翻译资料以及打印、复印、誊录、制图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等费用。</w:t>
      </w:r>
    </w:p>
    <w:p>
      <w:pPr>
        <w:spacing w:before="214" w:line="193"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（二）数据采集费：</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5"/>
          <w:sz w:val="24"/>
          <w:szCs w:val="24"/>
        </w:rPr>
        <w:t>指围绕项目研究而开展数据跟踪采集、案例分析等所需的费用。</w:t>
      </w:r>
    </w:p>
    <w:p>
      <w:pPr>
        <w:spacing w:before="176" w:line="316" w:lineRule="auto"/>
        <w:ind w:left="1" w:right="95"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调研差旅费：</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9"/>
          <w:sz w:val="24"/>
          <w:szCs w:val="24"/>
        </w:rPr>
        <w:t>指为完成项目研究而进行的国内调研活动、参加相关学术会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议的交通费、食宿费、通讯费及其它费用。</w:t>
      </w:r>
    </w:p>
    <w:p>
      <w:pPr>
        <w:sectPr>
          <w:footerReference r:id="rId41" w:type="default"/>
          <w:pgSz w:w="11905" w:h="16840"/>
          <w:pgMar w:top="1431" w:right="1490" w:bottom="1395" w:left="1587" w:header="0" w:footer="1250" w:gutter="0"/>
          <w:cols w:space="720" w:num="1"/>
        </w:sectPr>
      </w:pPr>
    </w:p>
    <w:p>
      <w:pPr>
        <w:spacing w:before="313"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（四）设备使用费：包括资料录入费、资料查询费、上网费和软件费等。</w:t>
      </w:r>
    </w:p>
    <w:p>
      <w:pPr>
        <w:spacing w:before="193" w:line="239" w:lineRule="auto"/>
        <w:ind w:right="10"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（五）</w:t>
      </w:r>
      <w:r>
        <w:rPr>
          <w:rFonts w:ascii="方正书宋简体" w:hAnsi="方正书宋简体" w:eastAsia="方正书宋简体" w:cs="方正书宋简体"/>
          <w:spacing w:val="78"/>
          <w:w w:val="101"/>
          <w:sz w:val="24"/>
          <w:szCs w:val="24"/>
        </w:rPr>
        <w:t xml:space="preserve"> </w:t>
      </w:r>
      <w:r>
        <w:rPr>
          <w:rFonts w:ascii="方正书宋简体" w:hAnsi="方正书宋简体" w:eastAsia="方正书宋简体" w:cs="方正书宋简体"/>
          <w:spacing w:val="-9"/>
          <w:sz w:val="24"/>
          <w:szCs w:val="24"/>
        </w:rPr>
        <w:t>会议费：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指围绕项目研究举行的项目开题、专题研讨、成果鉴定等小型会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议费用。</w:t>
      </w:r>
    </w:p>
    <w:p>
      <w:pPr>
        <w:spacing w:before="217" w:line="239" w:lineRule="auto"/>
        <w:ind w:left="20" w:right="10" w:firstLine="32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（六）</w:t>
      </w:r>
      <w:r>
        <w:rPr>
          <w:rFonts w:ascii="方正书宋简体" w:hAnsi="方正书宋简体" w:eastAsia="方正书宋简体" w:cs="方正书宋简体"/>
          <w:spacing w:val="88"/>
          <w:sz w:val="24"/>
          <w:szCs w:val="24"/>
        </w:rPr>
        <w:t xml:space="preserve"> </w:t>
      </w:r>
      <w:r>
        <w:rPr>
          <w:rFonts w:ascii="方正书宋简体" w:hAnsi="方正书宋简体" w:eastAsia="方正书宋简体" w:cs="方正书宋简体"/>
          <w:spacing w:val="-9"/>
          <w:sz w:val="24"/>
          <w:szCs w:val="24"/>
        </w:rPr>
        <w:t>咨询费：</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9"/>
          <w:sz w:val="24"/>
          <w:szCs w:val="24"/>
        </w:rPr>
        <w:t>指为开展项目研究而进行的问卷调查、统计分析、专家咨询等支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出的费用。</w:t>
      </w:r>
    </w:p>
    <w:p>
      <w:pPr>
        <w:spacing w:before="216" w:line="239" w:lineRule="auto"/>
        <w:ind w:left="4" w:right="10"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（七）</w:t>
      </w:r>
      <w:r>
        <w:rPr>
          <w:rFonts w:ascii="方正书宋简体" w:hAnsi="方正书宋简体" w:eastAsia="方正书宋简体" w:cs="方正书宋简体"/>
          <w:spacing w:val="80"/>
          <w:w w:val="101"/>
          <w:sz w:val="24"/>
          <w:szCs w:val="24"/>
        </w:rPr>
        <w:t xml:space="preserve"> </w:t>
      </w:r>
      <w:r>
        <w:rPr>
          <w:rFonts w:ascii="方正书宋简体" w:hAnsi="方正书宋简体" w:eastAsia="方正书宋简体" w:cs="方正书宋简体"/>
          <w:spacing w:val="-14"/>
          <w:sz w:val="24"/>
          <w:szCs w:val="24"/>
        </w:rPr>
        <w:t>劳务费：</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4"/>
          <w:sz w:val="24"/>
          <w:szCs w:val="24"/>
        </w:rPr>
        <w:t>指直接参与项目研究的研究生助研津贴，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以及非课题组成员、教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学辅助人员的劳务支出等。</w:t>
      </w:r>
    </w:p>
    <w:p>
      <w:pPr>
        <w:spacing w:before="215" w:line="193"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（八）印刷费：指打印、誊写调查问卷材料、调研报告和研究成果的费用。</w:t>
      </w:r>
    </w:p>
    <w:p>
      <w:pPr>
        <w:spacing w:before="179"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（九）其它：与项目研究直接相关的其它支出。</w:t>
      </w:r>
    </w:p>
    <w:p>
      <w:pPr>
        <w:spacing w:before="181" w:line="294" w:lineRule="auto"/>
        <w:ind w:left="1" w:right="1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教务处、实验室与设备管理中心每年将组织对教改经费使用管理情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况进行专项检查，检查结果将作为各学院下一年度教改项目立项指标、教改经费下</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拨和学院教学管理工作考评的重要依据。</w:t>
      </w:r>
    </w:p>
    <w:p>
      <w:pPr>
        <w:spacing w:before="1" w:line="202" w:lineRule="auto"/>
        <w:ind w:firstLine="293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第八章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成果的推广与评奖</w:t>
      </w:r>
    </w:p>
    <w:p>
      <w:pPr>
        <w:spacing w:before="100" w:line="282" w:lineRule="auto"/>
        <w:ind w:left="1" w:right="1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对教育教学改革、发展和提高教学质量有重要意义的教改研究成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果，学校将采取各种措施加以宣传和推广。</w:t>
      </w:r>
    </w:p>
    <w:p>
      <w:pPr>
        <w:spacing w:before="12" w:line="250" w:lineRule="auto"/>
        <w:ind w:left="2" w:right="1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对促进教育决策和管理科学化以及制定有关教育政策具有理论指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导和参考价值的研究成果，项目负责人和主管部门应主动、及时向有关决策机构和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部门推荐，促其采纳应用。采纳应用率作为评价研究成果社会效益的重要标志。</w:t>
      </w:r>
    </w:p>
    <w:p>
      <w:pPr>
        <w:spacing w:before="204" w:line="25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第三十三条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9"/>
          <w:sz w:val="24"/>
          <w:szCs w:val="24"/>
        </w:rPr>
        <w:t>参与教改项目的教师在校内评优评先、</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9"/>
          <w:sz w:val="24"/>
          <w:szCs w:val="24"/>
        </w:rPr>
        <w:t>职称晋升等诸方面与参与同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级别科研项目教师同等对待。</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5"/>
          <w:sz w:val="24"/>
          <w:szCs w:val="24"/>
        </w:rPr>
        <w:t>发表的教改论文、获得的教学成果奖与同级别科研论文、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科研奖励等同。对在教学改革中做出突出成绩的教师，优先推荐申报各级各类奖励。</w:t>
      </w:r>
    </w:p>
    <w:p>
      <w:pPr>
        <w:spacing w:before="203" w:line="282" w:lineRule="auto"/>
        <w:ind w:left="2" w:right="1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1"/>
          <w:sz w:val="24"/>
          <w:szCs w:val="24"/>
        </w:rPr>
        <w:t>学校一般每</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年举行一次优秀教学成果奖评选活动，对教学改革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项目研究与实施过程中产生的优秀教学成果进行表彰。</w:t>
      </w:r>
    </w:p>
    <w:p>
      <w:pPr>
        <w:spacing w:before="11" w:line="197" w:lineRule="auto"/>
        <w:ind w:firstLine="3534"/>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第九章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08" w:line="282" w:lineRule="auto"/>
        <w:ind w:right="1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第三十五条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本办法自公布之日起实施。原</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2012</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年修订的《吉首大学教学改革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研究项目管理办法》和《吉首大学实验教学改革研究项目管理办法》同时废止。</w:t>
      </w:r>
    </w:p>
    <w:p>
      <w:pPr>
        <w:spacing w:before="11"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第三十六条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本办法由学校教务处、实验室与设备管理中心负责解释。</w:t>
      </w:r>
    </w:p>
    <w:p>
      <w:pPr>
        <w:sectPr>
          <w:footerReference r:id="rId42" w:type="default"/>
          <w:pgSz w:w="11905" w:h="16840"/>
          <w:pgMar w:top="1431" w:right="1574" w:bottom="1395" w:left="1589" w:header="0" w:footer="1250" w:gutter="0"/>
          <w:cols w:space="720" w:num="1"/>
        </w:sectPr>
      </w:pPr>
    </w:p>
    <w:p>
      <w:pPr>
        <w:spacing w:before="235" w:line="180" w:lineRule="auto"/>
        <w:ind w:firstLine="245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吉首大学课程建设管理办法</w:t>
      </w:r>
    </w:p>
    <w:p>
      <w:pPr>
        <w:spacing w:before="110" w:line="184" w:lineRule="auto"/>
        <w:ind w:firstLine="3433"/>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年制订）</w:t>
      </w:r>
    </w:p>
    <w:p>
      <w:pPr>
        <w:spacing w:line="361" w:lineRule="auto"/>
        <w:rPr>
          <w:rFonts w:ascii="Malgun Gothic"/>
          <w:sz w:val="21"/>
        </w:rPr>
      </w:pPr>
    </w:p>
    <w:p>
      <w:pPr>
        <w:spacing w:before="104" w:line="180"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94" w:lineRule="auto"/>
        <w:ind w:left="1" w:right="9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第一条    </w:t>
      </w:r>
      <w:r>
        <w:rPr>
          <w:rFonts w:ascii="方正书宋简体" w:hAnsi="方正书宋简体" w:eastAsia="方正书宋简体" w:cs="方正书宋简体"/>
          <w:spacing w:val="2"/>
          <w:sz w:val="24"/>
          <w:szCs w:val="24"/>
        </w:rPr>
        <w:t>课程是人才培养的关键，课程建设质量直接关系到人才培养质量。课 程建设是学科专业建设的基础，是深化教学改革的关键，是学校教学基础建设的重</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要内容。</w:t>
      </w:r>
    </w:p>
    <w:p>
      <w:pPr>
        <w:spacing w:before="1" w:line="282" w:lineRule="auto"/>
        <w:ind w:left="7" w:right="143"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为加强和规范学校的课程建设与管理工作，推进课程建设创新发展，</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提高教学水平和教学质量，特制订本办法。</w:t>
      </w:r>
    </w:p>
    <w:p>
      <w:pPr>
        <w:spacing w:before="11" w:line="260" w:lineRule="auto"/>
        <w:ind w:left="2815" w:right="217" w:hanging="23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本办法所称的课程一般指单门课程，也可以是相关课程组成的课群。</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课程建设目标与原则</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第四条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7"/>
          <w:sz w:val="24"/>
          <w:szCs w:val="24"/>
        </w:rPr>
        <w:t>课程建设的目标是：</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7"/>
          <w:sz w:val="24"/>
          <w:szCs w:val="24"/>
        </w:rPr>
        <w:t>有效支撑具有“人文精神、科学素养、创新能力、</w:t>
      </w:r>
    </w:p>
    <w:p>
      <w:pPr>
        <w:spacing w:before="111" w:line="277" w:lineRule="auto"/>
        <w:ind w:left="3" w:right="98" w:firstLine="2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国际视野、务实作风”的人才培养目标，坚持知识、能力、素质协调发展，以教学</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信息化为导向，以深化教学改革为动力，以丰富课程资源优化课程结构为核心，建</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立符合需要、结构科学的课程体系，全面提升课程建设的质量与水平，服务学校应</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用性本科人才培养的需要。</w:t>
      </w:r>
    </w:p>
    <w:p>
      <w:pPr>
        <w:spacing w:before="204" w:line="233" w:lineRule="auto"/>
        <w:ind w:left="7"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4"/>
          <w:sz w:val="24"/>
          <w:szCs w:val="24"/>
        </w:rPr>
        <w:t>第五条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14"/>
          <w:sz w:val="24"/>
          <w:szCs w:val="24"/>
        </w:rPr>
        <w:t>课程建设是一项系统工程，</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4"/>
          <w:sz w:val="24"/>
          <w:szCs w:val="24"/>
        </w:rPr>
        <w:t>包括课程体系、教学内容、教学方法与手段、</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师资队伍、教材、教学管理等方面的改革与建设。其基本原则是：</w:t>
      </w:r>
    </w:p>
    <w:p>
      <w:pPr>
        <w:spacing w:before="179" w:line="310" w:lineRule="auto"/>
        <w:ind w:left="3" w:right="9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（一）</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14"/>
          <w:sz w:val="24"/>
          <w:szCs w:val="24"/>
        </w:rPr>
        <w:t>落实学校办学定位和人才培养目标，</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4"/>
          <w:sz w:val="24"/>
          <w:szCs w:val="24"/>
        </w:rPr>
        <w:t>凸显专业特色，</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4"/>
          <w:sz w:val="24"/>
          <w:szCs w:val="24"/>
        </w:rPr>
        <w:t>注重与专业建设有机</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结合，鼓励开设新课程；积极改造已有课程；</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4"/>
          <w:sz w:val="24"/>
          <w:szCs w:val="24"/>
        </w:rPr>
        <w:t>重点建设核心课程；聚焦国际视野，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推进双语教学。</w:t>
      </w:r>
    </w:p>
    <w:p>
      <w:pPr>
        <w:spacing w:before="22" w:line="314" w:lineRule="auto"/>
        <w:ind w:left="3" w:right="9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（二）</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8"/>
          <w:sz w:val="24"/>
          <w:szCs w:val="24"/>
        </w:rPr>
        <w:t>坚持课程体系整体优化原则，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精炼更新课程内容，</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调整优化课程结构，</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8"/>
          <w:sz w:val="24"/>
          <w:szCs w:val="24"/>
        </w:rPr>
        <w:t>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建内容优选、结构科学的课程体系。</w:t>
      </w:r>
    </w:p>
    <w:p>
      <w:pPr>
        <w:spacing w:before="4"/>
        <w:ind w:right="98"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3"/>
          <w:sz w:val="24"/>
          <w:szCs w:val="24"/>
        </w:rPr>
        <w:t>坚持信息化教学导向，</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加强网络教学资源建设，</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着力建设慕课、资源共享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课程、网络空间课程、数字化课程群等，逐步实现教学信息化。</w:t>
      </w:r>
    </w:p>
    <w:p>
      <w:pPr>
        <w:spacing w:before="213" w:line="316" w:lineRule="auto"/>
        <w:ind w:right="100"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（四）</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18"/>
          <w:sz w:val="24"/>
          <w:szCs w:val="24"/>
        </w:rPr>
        <w:t>坚持“以评促建、评建结合，</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8"/>
          <w:sz w:val="24"/>
          <w:szCs w:val="24"/>
        </w:rPr>
        <w:t>重在建设”原则，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健全课程评估体系，</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8"/>
          <w:sz w:val="24"/>
          <w:szCs w:val="24"/>
        </w:rPr>
        <w:t>加大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课程评估力度，促进课程建设与管理工作的良性发展。</w:t>
      </w:r>
    </w:p>
    <w:p>
      <w:pPr>
        <w:spacing w:before="1" w:line="224" w:lineRule="auto"/>
        <w:ind w:left="2814" w:right="1057" w:hanging="246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（五）坚持资源共享原则，合理规划，避免重复建设，提高课程质量。</w:t>
      </w:r>
      <w:r>
        <w:rPr>
          <w:rFonts w:ascii="方正书宋简体" w:hAnsi="方正书宋简体" w:eastAsia="方正书宋简体" w:cs="方正书宋简体"/>
          <w:spacing w:val="13"/>
          <w:sz w:val="24"/>
          <w:szCs w:val="24"/>
        </w:rPr>
        <w:t xml:space="preserve"> </w:t>
      </w: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课程建设内容与要求</w:t>
      </w:r>
    </w:p>
    <w:p>
      <w:pPr>
        <w:spacing w:before="180"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建设优秀课程教学团队。以课程建设为依托，建设一支结构合理、人</w:t>
      </w:r>
    </w:p>
    <w:p>
      <w:pPr>
        <w:sectPr>
          <w:footerReference r:id="rId43" w:type="default"/>
          <w:pgSz w:w="11905" w:h="16840"/>
          <w:pgMar w:top="1431" w:right="1487" w:bottom="1395" w:left="1588" w:header="0" w:footer="1250" w:gutter="0"/>
          <w:cols w:space="720" w:num="1"/>
        </w:sectPr>
      </w:pPr>
    </w:p>
    <w:p>
      <w:pPr>
        <w:spacing w:before="313" w:line="285" w:lineRule="auto"/>
        <w:ind w:left="1" w:right="5"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员稳定、教学效果好的课程教学团队。课程负责人领衔课程建设，积极带领课程团</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队开展各项改革创新，课程建设思路清晰，课程建设措施到位。课程团队能围绕提</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高课程教学质量与教学水平积极开展教学研究活动，并在高级别教研教改刊物上发</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表课程教学研究成果。课程团队老中青结合或以中青年为主，教学梯队可持续发展</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性强，有明确措施保障青年教师学术成长与教学能力的提高。</w:t>
      </w:r>
    </w:p>
    <w:p>
      <w:pPr>
        <w:spacing w:before="204" w:line="275" w:lineRule="auto"/>
        <w:ind w:left="2" w:right="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改革课程教学内容。课程要根据夯实专业办学基础、提高专业人才培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养质量的总体要求，与时俱进对课程教学内容进行科学改造，优化课程教学内容，</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2"/>
          <w:sz w:val="24"/>
          <w:szCs w:val="24"/>
        </w:rPr>
        <w:t>构建适应当前学科发展与岗位需求的课程教学内容体系。课程教学内容要着力于学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生知识与能力培养、学生学科专业领域思维方法掌握和学生综合素质与创新能力提</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升，体现学科领域前沿，反映学校的人才培养目标和特色。</w:t>
      </w:r>
    </w:p>
    <w:p>
      <w:pPr>
        <w:spacing w:before="201" w:line="266" w:lineRule="auto"/>
        <w:ind w:right="5"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强化实践性教学环节。注重课程理论教学与实践教学相结合，课堂教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学与课外实践相结合。在课程学习基础上，依托教师教研教改与科研课题、学科竞</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赛等方式，引导学生学以致用，理论联系实际。不断完善课程实验（实训）教学平</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5"/>
          <w:sz w:val="24"/>
          <w:szCs w:val="24"/>
        </w:rPr>
        <w:t>台，积极开设探究性实验（实训</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5"/>
          <w:sz w:val="24"/>
          <w:szCs w:val="24"/>
        </w:rPr>
        <w:t>切实加强学生创新精神和实践能力的培养。</w:t>
      </w:r>
    </w:p>
    <w:p>
      <w:pPr>
        <w:spacing w:before="205" w:line="258" w:lineRule="auto"/>
        <w:ind w:left="5" w:right="5"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选编优秀教材。课程原则上应选用新编的国家级优秀规划教材或国外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高水平原版教材，同时鼓励教师编写符合教学要求、反映教学改革成果、具有我校</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办学特色的高水平教材。</w:t>
      </w:r>
    </w:p>
    <w:p>
      <w:pPr>
        <w:spacing w:before="168" w:line="300" w:lineRule="auto"/>
        <w:ind w:left="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推进优质网络教学资源建设。积极建设课程网络教学资源，包括课程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介绍、电子教材、授课录像、网络课件、案例库、实验（实训）指导、参考文献、</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学术进展与学术前沿和创新方法研究等，为学生提供丰富的自主学习平台，实现优</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质教学资源共享。推进课程教学素材库、习题库（或者试题库）、教材库、软件库、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网络资源库等教学支持资源建设。</w:t>
      </w:r>
    </w:p>
    <w:p>
      <w:pPr>
        <w:spacing w:before="14" w:line="295" w:lineRule="auto"/>
        <w:ind w:left="1" w:right="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第十一条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z w:val="24"/>
          <w:szCs w:val="24"/>
        </w:rPr>
        <w:t>改进教学方法与手段。积极开展以解决问题为中心的研讨式教学；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开展以开放式和互动式为特征的案例教学；开展启发式、探究式、讨论式、参与式</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z w:val="24"/>
          <w:szCs w:val="24"/>
        </w:rPr>
        <w:t>教学；开展微课教学、翻转课堂、MOOC</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z w:val="24"/>
          <w:szCs w:val="24"/>
        </w:rPr>
        <w:t xml:space="preserve">教学等，引导学生进行自主性学习、研究 </w:t>
      </w:r>
      <w:r>
        <w:rPr>
          <w:rFonts w:ascii="方正书宋简体" w:hAnsi="方正书宋简体" w:eastAsia="方正书宋简体" w:cs="方正书宋简体"/>
          <w:spacing w:val="-2"/>
          <w:sz w:val="24"/>
          <w:szCs w:val="24"/>
        </w:rPr>
        <w:t>性学习和协作性学习。积极开展双语教学。</w:t>
      </w:r>
    </w:p>
    <w:p>
      <w:pPr>
        <w:spacing w:before="31" w:line="300" w:lineRule="auto"/>
        <w:ind w:left="3" w:right="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完善课程考核和评价机制。建立有效课程评价反馈体系，定期通过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学校教学督导听课、学生评教、学生座谈会等方式，持续改进课程教学，促使课程</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教学质量不断提高。建设期满后课程的学生评教或校督导评教成绩平均应达良好以</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上。推动课程成绩考核方式改革，实现考核方式灵活多样。每门专业核心课程应采</w:t>
      </w:r>
    </w:p>
    <w:p>
      <w:pPr>
        <w:sectPr>
          <w:footerReference r:id="rId44" w:type="default"/>
          <w:pgSz w:w="11905" w:h="16840"/>
          <w:pgMar w:top="1431" w:right="1580" w:bottom="1395" w:left="1589" w:header="0" w:footer="1250" w:gutter="0"/>
          <w:cols w:space="720" w:num="1"/>
        </w:sectPr>
      </w:pPr>
    </w:p>
    <w:p>
      <w:pPr>
        <w:spacing w:before="315" w:line="238" w:lineRule="auto"/>
        <w:ind w:left="2" w:right="77"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取过程性评估和终结性评估相结合的课程考核方式，避免一卷定成败，注重考查学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生综合运用所学知识和技能分析、解决实际问题的能力。</w:t>
      </w:r>
    </w:p>
    <w:p>
      <w:pPr>
        <w:spacing w:before="205" w:line="180" w:lineRule="auto"/>
        <w:ind w:firstLine="305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课程申报与审批</w:t>
      </w:r>
    </w:p>
    <w:p>
      <w:pPr>
        <w:spacing w:before="138"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第十三条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6"/>
          <w:sz w:val="24"/>
          <w:szCs w:val="24"/>
        </w:rPr>
        <w:t>课程范围：</w:t>
      </w:r>
    </w:p>
    <w:p>
      <w:pPr>
        <w:spacing w:before="151"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（一）建设课程面向通识教育课程、学科主干课程和专业课程。</w:t>
      </w:r>
    </w:p>
    <w:p>
      <w:pPr>
        <w:spacing w:before="193" w:line="239" w:lineRule="auto"/>
        <w:ind w:left="5" w:right="79"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（二）</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7"/>
          <w:sz w:val="24"/>
          <w:szCs w:val="24"/>
        </w:rPr>
        <w:t>形式包括新开（改造）</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7"/>
          <w:sz w:val="24"/>
          <w:szCs w:val="24"/>
        </w:rPr>
        <w:t>课程、专业核心课程、双语课程、慕课课程、网络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空间课程、数字化课程群、资源共享课程等。</w:t>
      </w:r>
    </w:p>
    <w:p>
      <w:pPr>
        <w:spacing w:before="206"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第十四条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9"/>
          <w:sz w:val="24"/>
          <w:szCs w:val="24"/>
        </w:rPr>
        <w:t>申报条件：</w:t>
      </w:r>
    </w:p>
    <w:p>
      <w:pPr>
        <w:spacing w:before="147"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（一）符合最新人才培养方案的课程设置；</w:t>
      </w:r>
    </w:p>
    <w:p>
      <w:pPr>
        <w:spacing w:before="179" w:line="314" w:lineRule="auto"/>
        <w:ind w:left="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（二）除新开课外，</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12"/>
          <w:sz w:val="24"/>
          <w:szCs w:val="24"/>
        </w:rPr>
        <w:t>课程原则上须已连续开设</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2"/>
          <w:sz w:val="24"/>
          <w:szCs w:val="24"/>
        </w:rPr>
        <w:t>3</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sz w:val="24"/>
          <w:szCs w:val="24"/>
        </w:rPr>
        <w:t>年以上，</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12"/>
          <w:sz w:val="24"/>
          <w:szCs w:val="24"/>
        </w:rPr>
        <w:t>课堂教学文件基本齐备，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教学效果好。课程教学基本条件较好。</w:t>
      </w:r>
    </w:p>
    <w:p>
      <w:pPr>
        <w:spacing w:before="5" w:line="315" w:lineRule="auto"/>
        <w:ind w:left="2" w:right="80"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申报课程所属专业应为学校正在招生的专业，</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不接受学校暂停或者已经停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止招生专业的相应专业课程申报。</w:t>
      </w:r>
    </w:p>
    <w:p>
      <w:pPr>
        <w:spacing w:before="3" w:line="264" w:lineRule="auto"/>
        <w:ind w:right="7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（四）</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9"/>
          <w:sz w:val="24"/>
          <w:szCs w:val="24"/>
        </w:rPr>
        <w:t>课程以教学团队形式申报，</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教学团队成员应在职称、年龄、教学经历等方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面形成梯队，原则上不少于</w:t>
      </w:r>
      <w:r>
        <w:rPr>
          <w:rFonts w:ascii="方正书宋简体" w:hAnsi="方正书宋简体" w:eastAsia="方正书宋简体" w:cs="方正书宋简体"/>
          <w:spacing w:val="73"/>
          <w:w w:val="101"/>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
          <w:sz w:val="24"/>
          <w:szCs w:val="24"/>
        </w:rPr>
        <w:t>人。课程负责人应长期从事该门课程的教学工作，一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般应具有高级职称，未评估专业，课程负责人可放宽到讲师。</w:t>
      </w:r>
    </w:p>
    <w:p>
      <w:pPr>
        <w:spacing w:before="214" w:line="238" w:lineRule="auto"/>
        <w:ind w:right="7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（五）</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3"/>
          <w:sz w:val="24"/>
          <w:szCs w:val="24"/>
        </w:rPr>
        <w:t>具有明确的课程建设理念，</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课程改革与建设方案思路清晰、可行，</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预期效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果明显。</w:t>
      </w:r>
    </w:p>
    <w:p>
      <w:pPr>
        <w:spacing w:before="211"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8"/>
          <w:sz w:val="24"/>
          <w:szCs w:val="24"/>
        </w:rPr>
        <w:t>申报评审程序：</w:t>
      </w:r>
    </w:p>
    <w:p>
      <w:pPr>
        <w:spacing w:before="147"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（一）课程负责人和相应教学团队填写申报材料上报课程归属学院。</w:t>
      </w:r>
    </w:p>
    <w:p>
      <w:pPr>
        <w:spacing w:before="175" w:line="315" w:lineRule="auto"/>
        <w:ind w:left="18" w:right="79" w:firstLine="327"/>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8"/>
          <w:sz w:val="24"/>
          <w:szCs w:val="24"/>
        </w:rPr>
        <w:t>课程归属学院在认真审核材料真实性和对照申报条件基础上，</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8"/>
          <w:sz w:val="24"/>
          <w:szCs w:val="24"/>
        </w:rPr>
        <w:t>组织初评和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限额推荐，如期将相关材料报送教务处，逾期视为自动放弃申报资格。</w:t>
      </w:r>
    </w:p>
    <w:p>
      <w:pPr>
        <w:spacing w:line="304" w:lineRule="auto"/>
        <w:ind w:left="46" w:right="80" w:firstLine="299"/>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（三）</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8"/>
          <w:sz w:val="24"/>
          <w:szCs w:val="24"/>
        </w:rPr>
        <w:t>教务处组织专家组依据本办法对各学院上报材料进行评审，</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确定拟立项项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目名单，并在全校范围内予以公示，公示无异议，经教务处文件公布后生效。</w:t>
      </w:r>
    </w:p>
    <w:p>
      <w:pPr>
        <w:spacing w:before="24" w:line="190" w:lineRule="auto"/>
        <w:ind w:firstLine="281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课程管理与经费使用</w:t>
      </w:r>
    </w:p>
    <w:p>
      <w:pPr>
        <w:spacing w:before="121" w:line="294" w:lineRule="auto"/>
        <w:ind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第十六条    </w:t>
      </w:r>
      <w:r>
        <w:rPr>
          <w:rFonts w:ascii="方正书宋简体" w:hAnsi="方正书宋简体" w:eastAsia="方正书宋简体" w:cs="方正书宋简体"/>
          <w:spacing w:val="2"/>
          <w:sz w:val="24"/>
          <w:szCs w:val="24"/>
        </w:rPr>
        <w:t>课程建设周期一般为三年，不得提前结项。如建设期间课程负责人 因故调离或者不再担任该课程的教学任务，可以申请变更负责人或者撤销立项。立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项后课程负责人应及时向教务处提交课程建设规划。</w:t>
      </w:r>
    </w:p>
    <w:p>
      <w:pPr>
        <w:spacing w:before="3" w:line="281" w:lineRule="auto"/>
        <w:ind w:right="7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第十七条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0"/>
          <w:sz w:val="24"/>
          <w:szCs w:val="24"/>
        </w:rPr>
        <w:t>课程依据人才培养方案的要求设置，</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所有课程严格按照学科隶属关系</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9"/>
          <w:sz w:val="24"/>
          <w:szCs w:val="24"/>
        </w:rPr>
        <w:t>进行归口，由课程归口学院负责课程建设与具体管理。课程建设实行校院两级管理。</w:t>
      </w:r>
    </w:p>
    <w:p>
      <w:pPr>
        <w:sectPr>
          <w:footerReference r:id="rId45" w:type="default"/>
          <w:pgSz w:w="11905" w:h="16840"/>
          <w:pgMar w:top="1431" w:right="1507" w:bottom="1395" w:left="1591" w:header="0" w:footer="1253" w:gutter="0"/>
          <w:cols w:space="720" w:num="1"/>
        </w:sectPr>
      </w:pPr>
    </w:p>
    <w:p>
      <w:pPr>
        <w:spacing w:before="300" w:line="302" w:lineRule="auto"/>
        <w:ind w:right="73"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第十八条    </w:t>
      </w:r>
      <w:r>
        <w:rPr>
          <w:rFonts w:ascii="方正书宋简体" w:hAnsi="方正书宋简体" w:eastAsia="方正书宋简体" w:cs="方正书宋简体"/>
          <w:spacing w:val="2"/>
          <w:sz w:val="24"/>
          <w:szCs w:val="24"/>
        </w:rPr>
        <w:t>设立中期检查制度。课程负责人应在项目立项一年后，向教务处提 交课程建设中期进展报告，内容包括课程建设进展情况、建设经费使用情况和阶段</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性成果等。教务处将组织有关专家按照建设内容对立项项目进行检查，达到预定建</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设要求的继续进行建设；未达到预定建设要求的进行整改，整改后达不到预定要求</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的将不再进行建设。凡未及时提交课程建设报告的，视为中期检查不合格。</w:t>
      </w:r>
    </w:p>
    <w:p>
      <w:pPr>
        <w:spacing w:before="5" w:line="199"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第十九条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经费核拨与使用</w:t>
      </w:r>
    </w:p>
    <w:p>
      <w:pPr>
        <w:spacing w:before="113" w:line="309" w:lineRule="auto"/>
        <w:ind w:left="4" w:right="6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3"/>
          <w:sz w:val="24"/>
          <w:szCs w:val="24"/>
        </w:rPr>
        <w:t>学校根据每年预算情况持续提供一定的建设经费，</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3"/>
          <w:sz w:val="24"/>
          <w:szCs w:val="24"/>
        </w:rPr>
        <w:t>立项建设课程的建设经费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7"/>
          <w:sz w:val="24"/>
          <w:szCs w:val="24"/>
        </w:rPr>
        <w:t>由教务处确定并核拨，</w:t>
      </w:r>
      <w:r>
        <w:rPr>
          <w:rFonts w:ascii="方正书宋简体" w:hAnsi="方正书宋简体" w:eastAsia="方正书宋简体" w:cs="方正书宋简体"/>
          <w:spacing w:val="137"/>
          <w:w w:val="101"/>
          <w:sz w:val="24"/>
          <w:szCs w:val="24"/>
        </w:rPr>
        <w:t xml:space="preserve"> </w:t>
      </w:r>
      <w:r>
        <w:rPr>
          <w:rFonts w:ascii="方正书宋简体" w:hAnsi="方正书宋简体" w:eastAsia="方正书宋简体" w:cs="方正书宋简体"/>
          <w:spacing w:val="-11"/>
          <w:w w:val="97"/>
          <w:sz w:val="24"/>
          <w:szCs w:val="24"/>
        </w:rPr>
        <w:t>其中新开课程每门课程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7"/>
          <w:sz w:val="24"/>
          <w:szCs w:val="24"/>
        </w:rPr>
        <w:t>3</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1"/>
          <w:w w:val="97"/>
          <w:sz w:val="24"/>
          <w:szCs w:val="24"/>
        </w:rPr>
        <w:t>年内资助经费</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7"/>
          <w:sz w:val="24"/>
          <w:szCs w:val="24"/>
        </w:rPr>
        <w:t>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7"/>
          <w:sz w:val="24"/>
          <w:szCs w:val="24"/>
        </w:rPr>
        <w:t>万元；</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7"/>
          <w:sz w:val="24"/>
          <w:szCs w:val="24"/>
        </w:rPr>
        <w:t>专业核心课程每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6"/>
          <w:sz w:val="24"/>
          <w:szCs w:val="24"/>
        </w:rPr>
        <w:t>门课程</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1"/>
          <w:w w:val="96"/>
          <w:sz w:val="24"/>
          <w:szCs w:val="24"/>
        </w:rPr>
        <w:t>3</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6"/>
          <w:sz w:val="24"/>
          <w:szCs w:val="24"/>
        </w:rPr>
        <w:t>年内资助经费</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6"/>
          <w:sz w:val="24"/>
          <w:szCs w:val="24"/>
        </w:rPr>
        <w:t>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万元；</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6"/>
          <w:sz w:val="24"/>
          <w:szCs w:val="24"/>
        </w:rPr>
        <w:t>慕课课程每门课程总经费</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6"/>
          <w:sz w:val="24"/>
          <w:szCs w:val="24"/>
        </w:rPr>
        <w:t>9</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万元，</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6"/>
          <w:sz w:val="24"/>
          <w:szCs w:val="24"/>
        </w:rPr>
        <w:t>分</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3</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6"/>
          <w:sz w:val="24"/>
          <w:szCs w:val="24"/>
        </w:rPr>
        <w:t>年划拨，</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1"/>
          <w:w w:val="96"/>
          <w:sz w:val="24"/>
          <w:szCs w:val="24"/>
        </w:rPr>
        <w:t>每年</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6"/>
          <w:sz w:val="24"/>
          <w:szCs w:val="24"/>
        </w:rPr>
        <w:t>3</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万元。对建设成效显著的课程予以适当奖励，提高资助经费。</w:t>
      </w:r>
    </w:p>
    <w:p>
      <w:pPr>
        <w:spacing w:before="39" w:line="265" w:lineRule="auto"/>
        <w:ind w:left="3" w:right="7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依据“项目编号、单独建账、专款专用”原则，</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9"/>
          <w:sz w:val="24"/>
          <w:szCs w:val="24"/>
        </w:rPr>
        <w:t>凡明确用于课程建设的专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项经费，项目负责人及课程归属学院不得以任何理由和方式截留、挤占或挪用。经</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费开支和运作均应遵照学校财务制度办理，同时接受教务处监督。</w:t>
      </w:r>
    </w:p>
    <w:p>
      <w:pPr>
        <w:spacing w:before="212" w:line="311" w:lineRule="auto"/>
        <w:ind w:left="7" w:right="73"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（三）</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8"/>
          <w:sz w:val="24"/>
          <w:szCs w:val="24"/>
        </w:rPr>
        <w:t>具体项目经费开支严格按照课程建设申报书中的预算方案执行，</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项目验收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时将审查核定。建设经费可用于图书资料费、</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调研费、教材和教参编写费、教学和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实验（实训）条件改善等开支。</w:t>
      </w:r>
    </w:p>
    <w:p>
      <w:pPr>
        <w:spacing w:before="21" w:line="188"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（四）课程建设进程中，</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经检查有下列情形者，</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2"/>
          <w:sz w:val="24"/>
          <w:szCs w:val="24"/>
        </w:rPr>
        <w:t>停止拨款或视情况追回已拨款项：</w:t>
      </w:r>
    </w:p>
    <w:p>
      <w:pPr>
        <w:spacing w:before="179" w:line="193"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1、经费开支不符合本办法和学校其他有关规定的；</w:t>
      </w:r>
    </w:p>
    <w:p>
      <w:pPr>
        <w:spacing w:before="178" w:line="253" w:lineRule="auto"/>
        <w:ind w:left="9" w:right="75"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2、负责人工作调离、退休等原因不能负责课程建设而又没有变更合适人选继续</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5"/>
          <w:sz w:val="24"/>
          <w:szCs w:val="24"/>
        </w:rPr>
        <w:t>负责该课程建设的；</w:t>
      </w:r>
    </w:p>
    <w:p>
      <w:pPr>
        <w:spacing w:before="174" w:line="193"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3、该门课程未能开设或者所在专业停招（关闭）的；</w:t>
      </w:r>
    </w:p>
    <w:p>
      <w:pPr>
        <w:spacing w:before="179"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4、建设成果未达到预期建设目标的。</w:t>
      </w:r>
    </w:p>
    <w:p>
      <w:pPr>
        <w:spacing w:before="181" w:line="450" w:lineRule="exact"/>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position w:val="12"/>
          <w:sz w:val="24"/>
          <w:szCs w:val="24"/>
        </w:rPr>
        <w:t>第五章</w:t>
      </w:r>
      <w:r>
        <w:rPr>
          <w:rFonts w:ascii="Microsoft JhengHei" w:hAnsi="Microsoft JhengHei" w:eastAsia="Microsoft JhengHei" w:cs="Microsoft JhengHei"/>
          <w:spacing w:val="6"/>
          <w:w w:val="101"/>
          <w:position w:val="12"/>
          <w:sz w:val="24"/>
          <w:szCs w:val="24"/>
        </w:rPr>
        <w:t xml:space="preserve">    </w:t>
      </w:r>
      <w:r>
        <w:rPr>
          <w:rFonts w:ascii="Microsoft JhengHei" w:hAnsi="Microsoft JhengHei" w:eastAsia="Microsoft JhengHei" w:cs="Microsoft JhengHei"/>
          <w:spacing w:val="-8"/>
          <w:position w:val="12"/>
          <w:sz w:val="24"/>
          <w:szCs w:val="24"/>
        </w:rPr>
        <w:t>附</w:t>
      </w:r>
      <w:r>
        <w:rPr>
          <w:rFonts w:ascii="Microsoft JhengHei" w:hAnsi="Microsoft JhengHei" w:eastAsia="Microsoft JhengHei" w:cs="Microsoft JhengHei"/>
          <w:spacing w:val="2"/>
          <w:position w:val="12"/>
          <w:sz w:val="24"/>
          <w:szCs w:val="24"/>
        </w:rPr>
        <w:t xml:space="preserve">    </w:t>
      </w:r>
      <w:r>
        <w:rPr>
          <w:rFonts w:ascii="Microsoft JhengHei" w:hAnsi="Microsoft JhengHei" w:eastAsia="Microsoft JhengHei" w:cs="Microsoft JhengHei"/>
          <w:spacing w:val="-8"/>
          <w:position w:val="12"/>
          <w:sz w:val="24"/>
          <w:szCs w:val="24"/>
        </w:rPr>
        <w:t>则</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本办法自发布之日起实施。</w:t>
      </w:r>
    </w:p>
    <w:p>
      <w:pPr>
        <w:spacing w:before="97"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第二十一条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3"/>
          <w:sz w:val="24"/>
          <w:szCs w:val="24"/>
        </w:rPr>
        <w:t>本办法未尽事宜由教务处负责解释。</w:t>
      </w:r>
    </w:p>
    <w:p>
      <w:pPr>
        <w:sectPr>
          <w:footerReference r:id="rId46" w:type="default"/>
          <w:pgSz w:w="11905" w:h="16840"/>
          <w:pgMar w:top="1431" w:right="1512" w:bottom="1395" w:left="1588" w:header="0" w:footer="1253" w:gutter="0"/>
          <w:cols w:space="720" w:num="1"/>
        </w:sectPr>
      </w:pPr>
    </w:p>
    <w:p>
      <w:pPr>
        <w:spacing w:before="195" w:line="180" w:lineRule="auto"/>
        <w:ind w:firstLine="216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吉首大学教材立项管理暂行办法</w:t>
      </w:r>
    </w:p>
    <w:p>
      <w:pPr>
        <w:spacing w:before="61" w:line="184" w:lineRule="auto"/>
        <w:ind w:firstLine="346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13" w:lineRule="auto"/>
        <w:rPr>
          <w:rFonts w:ascii="Malgun Gothic"/>
          <w:sz w:val="21"/>
        </w:rPr>
      </w:pPr>
    </w:p>
    <w:p>
      <w:pPr>
        <w:spacing w:before="86" w:line="251" w:lineRule="auto"/>
        <w:ind w:left="34" w:right="98"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为了进一步加强我校教材建设的统筹、规划和管理，保证教材建设工作的顺利</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6"/>
          <w:sz w:val="24"/>
          <w:szCs w:val="24"/>
        </w:rPr>
        <w:t>进行，</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6"/>
          <w:sz w:val="24"/>
          <w:szCs w:val="24"/>
        </w:rPr>
        <w:t>提高教材编写质量，</w:t>
      </w:r>
      <w:r>
        <w:rPr>
          <w:rFonts w:ascii="方正书宋简体" w:hAnsi="方正书宋简体" w:eastAsia="方正书宋简体" w:cs="方正书宋简体"/>
          <w:spacing w:val="42"/>
          <w:w w:val="101"/>
          <w:sz w:val="24"/>
          <w:szCs w:val="24"/>
        </w:rPr>
        <w:t xml:space="preserve"> </w:t>
      </w:r>
      <w:r>
        <w:rPr>
          <w:rFonts w:ascii="方正书宋简体" w:hAnsi="方正书宋简体" w:eastAsia="方正书宋简体" w:cs="方正书宋简体"/>
          <w:spacing w:val="-16"/>
          <w:sz w:val="24"/>
          <w:szCs w:val="24"/>
        </w:rPr>
        <w:t>根据《教育部关于全面提高高等教育质量的若干意见》（教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高[2012]4</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号）文件精神，结合我校教学实际，特制定本办法。</w:t>
      </w:r>
    </w:p>
    <w:p>
      <w:pPr>
        <w:spacing w:before="115"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00" w:line="258" w:lineRule="auto"/>
        <w:ind w:left="32"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以党的十八大、三中、四中、五中、六中全会精神，邓小平理论、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5"/>
          <w:sz w:val="24"/>
          <w:szCs w:val="24"/>
        </w:rPr>
        <w:t>“三个代表”重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要思想、科学发展观和习近平总书记系列重要讲话精神为指导，</w:t>
      </w:r>
      <w:r>
        <w:rPr>
          <w:rFonts w:ascii="方正书宋简体" w:hAnsi="方正书宋简体" w:eastAsia="方正书宋简体" w:cs="方正书宋简体"/>
          <w:spacing w:val="88"/>
          <w:sz w:val="24"/>
          <w:szCs w:val="24"/>
        </w:rPr>
        <w:t xml:space="preserve"> </w:t>
      </w:r>
      <w:r>
        <w:rPr>
          <w:rFonts w:ascii="方正书宋简体" w:hAnsi="方正书宋简体" w:eastAsia="方正书宋简体" w:cs="方正书宋简体"/>
          <w:spacing w:val="-14"/>
          <w:sz w:val="24"/>
          <w:szCs w:val="24"/>
        </w:rPr>
        <w:t>立足学校办学定位和实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w w:val="99"/>
          <w:sz w:val="24"/>
          <w:szCs w:val="24"/>
        </w:rPr>
        <w:t>际需要，</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24"/>
          <w:w w:val="99"/>
          <w:sz w:val="24"/>
          <w:szCs w:val="24"/>
        </w:rPr>
        <w:t>优化课程体系，</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4"/>
          <w:w w:val="99"/>
          <w:sz w:val="24"/>
          <w:szCs w:val="24"/>
        </w:rPr>
        <w:t>更新教学内容，</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4"/>
          <w:w w:val="99"/>
          <w:sz w:val="24"/>
          <w:szCs w:val="24"/>
        </w:rPr>
        <w:t>充分吸收优秀教学成果，</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4"/>
          <w:w w:val="99"/>
          <w:sz w:val="24"/>
          <w:szCs w:val="24"/>
        </w:rPr>
        <w:t>重点立项建设一批具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有校本特色、适应本科教学要求的、内容新、水平高、实用性强的优秀教材和精品教材。</w:t>
      </w:r>
    </w:p>
    <w:p>
      <w:pPr>
        <w:spacing w:before="116"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二、工作的组织</w:t>
      </w:r>
    </w:p>
    <w:p>
      <w:pPr>
        <w:spacing w:before="97" w:line="272" w:lineRule="auto"/>
        <w:ind w:left="37" w:right="95"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1、工作机构。学校设立教材建设委员会。主任由主管教学副校长担任，</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常务副</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主任由教务处处长担任，办公室设在教务处教研科。各学院设立教材建设小组，组</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5"/>
          <w:sz w:val="24"/>
          <w:szCs w:val="24"/>
        </w:rPr>
        <w:t>长由院长担任。</w:t>
      </w:r>
    </w:p>
    <w:p>
      <w:pPr>
        <w:spacing w:before="32" w:line="259" w:lineRule="auto"/>
        <w:ind w:left="36" w:right="9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2、工作职责。负责审定教材建设规划以及相关的教材管理规定；</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指导和协调各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学院（部）教材建设小组工作；负责学校规划教材立项的申报和评审工作；检查落</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实教材工作各项方针、政策和措施；组织学校教材评估和评优，并负责向省教育厅</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和国家教育部推荐优秀教材；指导教材研究和评价等工作。</w:t>
      </w:r>
    </w:p>
    <w:p>
      <w:pPr>
        <w:spacing w:before="118" w:line="18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三、教材的立项</w:t>
      </w:r>
    </w:p>
    <w:p>
      <w:pPr>
        <w:spacing w:before="100"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（一）立项要求</w:t>
      </w:r>
    </w:p>
    <w:p>
      <w:pPr>
        <w:spacing w:before="139" w:line="237" w:lineRule="auto"/>
        <w:ind w:left="32" w:right="109"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1、各学院每年年初将年度规划教材选题上报教务处，教务处组织专家评审后，</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公布学校年度规划教材选题，进入学校教材建设规划选题范围的教材优先立项。</w:t>
      </w:r>
    </w:p>
    <w:p>
      <w:pPr>
        <w:spacing w:before="12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2、学校依据规划教材选题，</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2"/>
          <w:sz w:val="24"/>
          <w:szCs w:val="24"/>
        </w:rPr>
        <w:t>并结合学校实际，</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2"/>
          <w:sz w:val="24"/>
          <w:szCs w:val="24"/>
        </w:rPr>
        <w:t>每年开展一次教材立项评选工作。</w:t>
      </w:r>
    </w:p>
    <w:p>
      <w:pPr>
        <w:spacing w:before="124" w:line="237" w:lineRule="auto"/>
        <w:ind w:left="36"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3、立项教材的编写要以最新人才培养方案、课程大纲为依据，</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有效保证课程教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学的基本要求；要高起点、高规格，充分体现课程教学改革的新成果。</w:t>
      </w:r>
    </w:p>
    <w:p>
      <w:pPr>
        <w:spacing w:before="124" w:line="268" w:lineRule="auto"/>
        <w:ind w:left="34" w:right="97"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4、立项教材的负责人应该具有较高的理论水平和较为丰富的教学经验，</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应该备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有副教授及以上职称。</w:t>
      </w:r>
    </w:p>
    <w:p>
      <w:pPr>
        <w:spacing w:before="44"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（二）立项范围</w:t>
      </w:r>
    </w:p>
    <w:p>
      <w:pPr>
        <w:spacing w:before="135"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1、公共基础课程、专业基础课程和通识课程的规划教材。</w:t>
      </w:r>
    </w:p>
    <w:p>
      <w:pPr>
        <w:spacing w:before="12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2、教师主编并正式出版需要修订的教材。</w:t>
      </w:r>
    </w:p>
    <w:p>
      <w:pPr>
        <w:spacing w:before="125"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3、在教学中使用较为成熟的自编教材与辅助教材。</w:t>
      </w:r>
    </w:p>
    <w:p>
      <w:pPr>
        <w:spacing w:before="124" w:line="193"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4、支持优势学科、专业综合改革建设需要出版的教材。</w:t>
      </w:r>
    </w:p>
    <w:p>
      <w:pPr>
        <w:spacing w:before="12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5、优质课程建设需要出版的教材。</w:t>
      </w:r>
    </w:p>
    <w:p>
      <w:pPr>
        <w:sectPr>
          <w:footerReference r:id="rId47" w:type="default"/>
          <w:pgSz w:w="11905" w:h="16840"/>
          <w:pgMar w:top="1431" w:right="1490" w:bottom="1395" w:left="1557" w:header="0" w:footer="1250" w:gutter="0"/>
          <w:cols w:space="720" w:num="1"/>
        </w:sectPr>
      </w:pPr>
    </w:p>
    <w:p>
      <w:pPr>
        <w:spacing w:before="269"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6、具有校本特色、地方特色需要出版的教材。</w:t>
      </w:r>
    </w:p>
    <w:p>
      <w:pPr>
        <w:spacing w:before="13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（三）立项程序</w:t>
      </w:r>
    </w:p>
    <w:p>
      <w:pPr>
        <w:spacing w:before="136" w:line="268" w:lineRule="auto"/>
        <w:ind w:left="1" w:right="92"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1、教材立项负责人填写《吉首大学教材立项申请书》，报所在学院，学院教材</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建设小组评审后，写出推荐意见，上报教务处。</w:t>
      </w:r>
    </w:p>
    <w:p>
      <w:pPr>
        <w:spacing w:before="39"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2、学校组织专家结合学院推荐意见进行评审。</w:t>
      </w:r>
    </w:p>
    <w:p>
      <w:pPr>
        <w:spacing w:before="142"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3、学校公示立项评审结果，征求师生意见，无异议后下文立项。</w:t>
      </w:r>
    </w:p>
    <w:p>
      <w:pPr>
        <w:spacing w:before="139"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4、立项教材负责人与学校签订项目建设任务书。</w:t>
      </w:r>
    </w:p>
    <w:p>
      <w:pPr>
        <w:spacing w:before="117"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四、项目管理</w:t>
      </w:r>
    </w:p>
    <w:p>
      <w:pPr>
        <w:spacing w:before="97" w:line="280" w:lineRule="auto"/>
        <w:ind w:left="10" w:right="79"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1、教材立项实行学校和学院两级管理。学校对立项教材给予一定经费资助，</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于教材的编写及出版。</w:t>
      </w:r>
    </w:p>
    <w:p>
      <w:pPr>
        <w:spacing w:before="1" w:line="269" w:lineRule="auto"/>
        <w:ind w:right="79"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2、立项教材实行主编负责制。教材编写在主编的主持下进行，</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主编负责全书统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稿，并承担相关的法律责任。</w:t>
      </w:r>
    </w:p>
    <w:p>
      <w:pPr>
        <w:spacing w:before="32"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3、教材立项建设周期一般为二年，教务处组织立项教材编写工作的中期检查。</w:t>
      </w:r>
    </w:p>
    <w:p>
      <w:pPr>
        <w:spacing w:before="12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4、立项教材交稿后，</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学校组织专家进行审稿。评审合格后由学校统一联系出版</w:t>
      </w:r>
    </w:p>
    <w:p>
      <w:pPr>
        <w:spacing w:before="123" w:line="237" w:lineRule="auto"/>
        <w:ind w:left="19" w:right="77" w:hanging="1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事宜。在充分尊重编写者意见的基础上，学校与出版社商定教材出版事宜。教材经</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出版社审核同意出版后，由编者、出版社、教务处三方面签订教材出版合同。</w:t>
      </w:r>
    </w:p>
    <w:p>
      <w:pPr>
        <w:spacing w:before="117"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五、经费管理</w:t>
      </w:r>
    </w:p>
    <w:p>
      <w:pPr>
        <w:spacing w:before="97"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1、立项教材经费由教务处统一管理。</w:t>
      </w:r>
    </w:p>
    <w:p>
      <w:pPr>
        <w:spacing w:before="128"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2、经费资助额度：立项建设</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万元，出版资助</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万元。</w:t>
      </w:r>
    </w:p>
    <w:p>
      <w:pPr>
        <w:spacing w:before="144"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3、经费使用范围：</w:t>
      </w:r>
    </w:p>
    <w:p>
      <w:pPr>
        <w:spacing w:before="139"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①</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打印费；</w:t>
      </w:r>
    </w:p>
    <w:p>
      <w:pPr>
        <w:spacing w:before="124"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②</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资料费；</w:t>
      </w:r>
    </w:p>
    <w:p>
      <w:pPr>
        <w:spacing w:before="125" w:line="223" w:lineRule="auto"/>
        <w:ind w:left="481" w:right="6568"/>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③</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8"/>
          <w:sz w:val="24"/>
          <w:szCs w:val="24"/>
        </w:rPr>
        <w:t>调研差旅费；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④</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8"/>
          <w:sz w:val="24"/>
          <w:szCs w:val="24"/>
        </w:rPr>
        <w:t>出版经费。</w:t>
      </w:r>
    </w:p>
    <w:p>
      <w:pPr>
        <w:spacing w:before="169"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4、资助经费的启动：</w:t>
      </w:r>
    </w:p>
    <w:p>
      <w:pPr>
        <w:spacing w:before="137" w:line="272" w:lineRule="auto"/>
        <w:ind w:right="104"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教材立项负责人将书稿报教务处，由学校组织专家审核通过后，启动打印费、</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3"/>
          <w:sz w:val="24"/>
          <w:szCs w:val="24"/>
        </w:rPr>
        <w:t>资料费和调研差旅费，三项经费不超过</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3"/>
          <w:sz w:val="24"/>
          <w:szCs w:val="24"/>
        </w:rPr>
        <w:t>万元；教材经专家评审通过后正式出版，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启动出版经费。</w:t>
      </w:r>
    </w:p>
    <w:p>
      <w:pPr>
        <w:spacing w:before="29" w:line="187"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六、附则</w:t>
      </w:r>
    </w:p>
    <w:p>
      <w:pPr>
        <w:spacing w:before="82" w:line="277" w:lineRule="auto"/>
        <w:ind w:left="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1、本办法自通过之日起执行，</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师范专业改革教材建设项目和通识课程特色教材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建设参照执行。各学院应根据本办法，</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依据学科建设及发展，</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结合本单位实际情况，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制订相应的实施办法或细则。</w:t>
      </w:r>
    </w:p>
    <w:p>
      <w:pPr>
        <w:spacing w:before="22" w:line="187"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2、本办法由教务处负责解释。</w:t>
      </w:r>
    </w:p>
    <w:p>
      <w:pPr>
        <w:sectPr>
          <w:footerReference r:id="rId48" w:type="default"/>
          <w:pgSz w:w="11905" w:h="16840"/>
          <w:pgMar w:top="1431" w:right="1507" w:bottom="1395" w:left="1590" w:header="0" w:footer="1253" w:gutter="0"/>
          <w:cols w:space="720" w:num="1"/>
        </w:sectPr>
      </w:pPr>
    </w:p>
    <w:p>
      <w:pPr>
        <w:spacing w:before="235" w:line="180" w:lineRule="auto"/>
        <w:ind w:firstLine="104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吉首大学关于加强教研室建设与管理的原则意见</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3" w:lineRule="auto"/>
        <w:rPr>
          <w:rFonts w:ascii="Malgun Gothic"/>
          <w:sz w:val="21"/>
        </w:rPr>
      </w:pPr>
    </w:p>
    <w:p>
      <w:pPr>
        <w:spacing w:before="86" w:line="277" w:lineRule="auto"/>
        <w:ind w:left="34"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教研室是学校教学、科研的基层单位，是保证教学工作顺利运行的基层组织，</w:t>
      </w:r>
      <w:r>
        <w:rPr>
          <w:rFonts w:ascii="方正书宋简体" w:hAnsi="方正书宋简体" w:eastAsia="方正书宋简体" w:cs="方正书宋简体"/>
          <w:spacing w:val="2"/>
          <w:w w:val="103"/>
          <w:sz w:val="24"/>
          <w:szCs w:val="24"/>
        </w:rPr>
        <w:t xml:space="preserve">  </w:t>
      </w:r>
      <w:r>
        <w:rPr>
          <w:rFonts w:ascii="方正书宋简体" w:hAnsi="方正书宋简体" w:eastAsia="方正书宋简体" w:cs="方正书宋简体"/>
          <w:spacing w:val="2"/>
          <w:sz w:val="24"/>
          <w:szCs w:val="24"/>
        </w:rPr>
        <w:t>是全面组织教学活动的基本载体，是加强教学质量建设的主要平台。为进一步规范</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和加强我校教研室建设与管理，切实发挥教研室在教学、科研、管理等工作中的作</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用，结合学校实际，特提出以下意见。</w:t>
      </w:r>
    </w:p>
    <w:p>
      <w:pPr>
        <w:spacing w:before="204"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一、教研室的设置</w:t>
      </w:r>
    </w:p>
    <w:p>
      <w:pPr>
        <w:spacing w:before="150" w:line="315" w:lineRule="auto"/>
        <w:ind w:left="38" w:right="93"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1、教研室是学院（部）</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9"/>
          <w:sz w:val="24"/>
          <w:szCs w:val="24"/>
        </w:rPr>
        <w:t>等教学单位的业务主体，</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是进行课程建设、组织教学活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动和开展科学研究最基层组织。教研室的设置应遵循以下基本原则：</w:t>
      </w:r>
    </w:p>
    <w:p>
      <w:pPr>
        <w:spacing w:line="265" w:lineRule="auto"/>
        <w:ind w:left="36" w:right="91"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（1）按需设置原则。教研室是专业常规教学的基层组织，教研室设置要有利于</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巩固教学的基础地位，有利于常规教学活动的组织和管理，坚持按专业常规教学的</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管理需要设置教研室，便于常规教研活动和教学管理活动的开展。</w:t>
      </w:r>
    </w:p>
    <w:p>
      <w:pPr>
        <w:spacing w:before="215" w:line="310" w:lineRule="auto"/>
        <w:ind w:left="32" w:right="9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（2）分类设置的原则。教研室的设置要有利于课程教学的组织和建设，按照专</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业人才培养方案，各专业可按课程的学科类别和属性设置教研室，专业较成熟的可</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按基础学科、主干学科和特色学科设置教研室。</w:t>
      </w:r>
    </w:p>
    <w:p>
      <w:pPr>
        <w:spacing w:before="22" w:line="316" w:lineRule="auto"/>
        <w:ind w:left="35"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（3）全员归属的原则。教研室是专业教师的教学活动载体和场所，各专业专任</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教师都应进入教研室，教研室设置要有利于（方便）教师参与教研活动。</w:t>
      </w:r>
    </w:p>
    <w:p>
      <w:pPr>
        <w:spacing w:line="253" w:lineRule="auto"/>
        <w:ind w:left="37" w:right="109"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（4）重在建设的原则。各学院（部）设置教研室要围绕主要管理功能，切实加</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强条件和内涵建设，把重点放在常规教学业务的组织与管理上。</w:t>
      </w:r>
    </w:p>
    <w:p>
      <w:pPr>
        <w:spacing w:before="180"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2、教研室设置的程序</w:t>
      </w:r>
    </w:p>
    <w:p>
      <w:pPr>
        <w:spacing w:before="196" w:line="314" w:lineRule="auto"/>
        <w:ind w:left="35" w:right="94" w:firstLine="50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由学院（部）提出教研室设置报告，并附拟设置教研室开设的课程名称及拟设</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5"/>
          <w:sz w:val="24"/>
          <w:szCs w:val="24"/>
        </w:rPr>
        <w:t>置教研室人员构成情况（含年龄、职称、学历等</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5"/>
          <w:sz w:val="24"/>
          <w:szCs w:val="24"/>
        </w:rPr>
        <w:t>经教务处会同人事处研究审定，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上报学校批准同意后设立。</w:t>
      </w:r>
    </w:p>
    <w:p>
      <w:pPr>
        <w:spacing w:before="1" w:line="202"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3、教研室设置的基本要求</w:t>
      </w:r>
    </w:p>
    <w:p>
      <w:pPr>
        <w:spacing w:before="158" w:line="193"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w:t>
      </w:r>
      <w:r>
        <w:rPr>
          <w:rFonts w:ascii="方正书宋简体" w:hAnsi="方正书宋简体" w:eastAsia="方正书宋简体" w:cs="方正书宋简体"/>
          <w:spacing w:val="81"/>
          <w:w w:val="101"/>
          <w:sz w:val="24"/>
          <w:szCs w:val="24"/>
        </w:rPr>
        <w:t xml:space="preserve"> </w:t>
      </w:r>
      <w:r>
        <w:rPr>
          <w:rFonts w:ascii="方正书宋简体" w:hAnsi="方正书宋简体" w:eastAsia="方正书宋简体" w:cs="方正书宋简体"/>
          <w:spacing w:val="-12"/>
          <w:w w:val="99"/>
          <w:sz w:val="24"/>
          <w:szCs w:val="24"/>
        </w:rPr>
        <w:t>教研室应设置在专业内，</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2"/>
          <w:w w:val="99"/>
          <w:sz w:val="24"/>
          <w:szCs w:val="24"/>
        </w:rPr>
        <w:t>以专业为依托；</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w w:val="99"/>
          <w:sz w:val="24"/>
          <w:szCs w:val="24"/>
        </w:rPr>
        <w:t>公共教学单位按课程群属性设立。</w:t>
      </w:r>
    </w:p>
    <w:p>
      <w:pPr>
        <w:spacing w:before="178"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（2）具有一定数量的专任教师和教学辅助人员，教研室人员一般不少于</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
          <w:sz w:val="24"/>
          <w:szCs w:val="24"/>
        </w:rPr>
        <w:t>人。</w:t>
      </w:r>
    </w:p>
    <w:p>
      <w:pPr>
        <w:spacing w:before="195" w:line="238" w:lineRule="auto"/>
        <w:ind w:left="35"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（3）具有一定的开展教学活动的能力和结构合理的学科梯队，能承担规定的课</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7"/>
          <w:sz w:val="24"/>
          <w:szCs w:val="24"/>
        </w:rPr>
        <w:t>程教学。</w:t>
      </w:r>
    </w:p>
    <w:p>
      <w:pPr>
        <w:spacing w:before="220"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（4）教研室设置应具备必要的活动场地和组织教学教研活动及常规管理的基本</w:t>
      </w:r>
    </w:p>
    <w:p>
      <w:pPr>
        <w:sectPr>
          <w:footerReference r:id="rId49" w:type="default"/>
          <w:pgSz w:w="11905" w:h="16840"/>
          <w:pgMar w:top="1431" w:right="1494" w:bottom="1395" w:left="1557" w:header="0" w:footer="1250" w:gutter="0"/>
          <w:cols w:space="720" w:num="1"/>
        </w:sectPr>
      </w:pPr>
    </w:p>
    <w:p>
      <w:pPr>
        <w:spacing w:before="312"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条件。同一场地可以多个教研室共用，但管理分开。</w:t>
      </w:r>
    </w:p>
    <w:p>
      <w:pPr>
        <w:spacing w:before="196"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（5）各学院（部）原已设置的教研室，本次一律重新申报认定和设立。</w:t>
      </w:r>
    </w:p>
    <w:p>
      <w:pPr>
        <w:spacing w:before="189"/>
        <w:ind w:left="1" w:right="79"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（6）教研室的名称一般应以学科名称命名，含多个学科的教研室可使用多个学</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科的组合命名或以主干学科的名称命名，也可以课群学科属性命名。</w:t>
      </w:r>
    </w:p>
    <w:p>
      <w:pPr>
        <w:spacing w:before="204"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二、教研室职责</w:t>
      </w:r>
    </w:p>
    <w:p>
      <w:pPr>
        <w:spacing w:before="151" w:line="315" w:lineRule="auto"/>
        <w:ind w:left="5" w:right="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教研室承担着课程建设、组织教学管理、教研活动和开展科学研究等重要职责，</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2"/>
          <w:sz w:val="24"/>
          <w:szCs w:val="24"/>
        </w:rPr>
        <w:t>在教学常规管理、教学质量保障和学生学习指导等方面发挥重要作用。</w:t>
      </w:r>
    </w:p>
    <w:p>
      <w:pPr>
        <w:spacing w:before="3" w:line="277" w:lineRule="auto"/>
        <w:ind w:right="77"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1、在学院（部）</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9"/>
          <w:sz w:val="24"/>
          <w:szCs w:val="24"/>
        </w:rPr>
        <w:t>领导下按照各专业人才培养方案及教学计划，</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组织落实本教研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室所承担课程的教学及其它各项教学任务，负责对各个教学工作环节（如备课、授</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课、辅导答疑、作业布置与批改、考试或考查、实验、实习、课程设计、毕业论文</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
          <w:sz w:val="24"/>
          <w:szCs w:val="24"/>
        </w:rPr>
        <w:t>或设计等）进行指导、检查和督促，保证按要求完成各项教学工作。</w:t>
      </w:r>
    </w:p>
    <w:p>
      <w:pPr>
        <w:spacing w:before="215" w:line="253" w:lineRule="auto"/>
        <w:ind w:left="10" w:right="78"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2、在学院组织下参与专业建设工作。参与制订专业建设规划，</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参与新专业论证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与办学水平评估工作；落实重点专业、特色专业建设任务。</w:t>
      </w:r>
    </w:p>
    <w:p>
      <w:pPr>
        <w:spacing w:before="176" w:line="315" w:lineRule="auto"/>
        <w:ind w:left="8"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3、组织并实施课程建设工作。制定课程建设工作规划；</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根据教学计划组织教学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大纲的编写工作；组织对教材的选用和编写工作；组织开展精品课程建设；引进或</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开发多媒体课件；参与课程相关的实验室和资料室等辅助教学设施的建设。</w:t>
      </w:r>
    </w:p>
    <w:p>
      <w:pPr>
        <w:spacing w:before="7" w:line="310" w:lineRule="auto"/>
        <w:ind w:left="5"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4、组织开展业务学习和教学研讨活动。组织教师学习教育理论，</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9"/>
          <w:sz w:val="24"/>
          <w:szCs w:val="24"/>
        </w:rPr>
        <w:t>更新教育观念，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提高理论素养；通过互相听课、观摩教学、教学讨论等形式总结交流教学情况和经</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验，解决教学活动中出现的各种问题，不断提高教育教学质量。</w:t>
      </w:r>
    </w:p>
    <w:p>
      <w:pPr>
        <w:spacing w:before="16" w:line="312" w:lineRule="auto"/>
        <w:ind w:left="1" w:right="7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5、组织开展教育教学研究、科学研究和各种学术性活动。结合学科特点，</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制定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研究计划，组织教师申报项目和参与课题研究工作。积极组织有关学术讲座，参加</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学术交流，活跃学术氛围，提高学术水平。</w:t>
      </w:r>
    </w:p>
    <w:p>
      <w:pPr>
        <w:spacing w:before="20" w:line="239" w:lineRule="auto"/>
        <w:ind w:left="12" w:right="78"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6、配合学校和院（部）</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9"/>
          <w:sz w:val="24"/>
          <w:szCs w:val="24"/>
        </w:rPr>
        <w:t>做好教师培养和培训工作，</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做好教研室人员的日常管理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和考核工作，做好青年教师的指导工作。</w:t>
      </w:r>
    </w:p>
    <w:p>
      <w:pPr>
        <w:spacing w:before="216" w:line="239" w:lineRule="auto"/>
        <w:ind w:left="5" w:right="78"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7、做好本教研室教学、科研、学科建设、师资培训、业务考核、规章制度等档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案资料的保存和管理。</w:t>
      </w:r>
    </w:p>
    <w:p>
      <w:pPr>
        <w:spacing w:before="219" w:line="180"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8、完成学院（部）交办的其他工作。</w:t>
      </w:r>
    </w:p>
    <w:p>
      <w:pPr>
        <w:spacing w:before="180" w:line="180"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三、教研室主任及其职责</w:t>
      </w:r>
    </w:p>
    <w:p>
      <w:pPr>
        <w:spacing w:before="153" w:line="314" w:lineRule="auto"/>
        <w:ind w:left="2"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1、教研室主任是教研室教学与科研工作的组织者，</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2"/>
          <w:sz w:val="24"/>
          <w:szCs w:val="24"/>
        </w:rPr>
        <w:t>一般设教研室主任</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2"/>
          <w:sz w:val="24"/>
          <w:szCs w:val="24"/>
        </w:rPr>
        <w:t>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名，</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2"/>
          <w:sz w:val="24"/>
          <w:szCs w:val="24"/>
        </w:rPr>
        <w:t>10</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人以上的教研室可设副主任</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名。教研室主任、副主任由教研室全体教师民主推荐，</w:t>
      </w:r>
    </w:p>
    <w:p>
      <w:pPr>
        <w:sectPr>
          <w:footerReference r:id="rId50" w:type="default"/>
          <w:pgSz w:w="11905" w:h="16840"/>
          <w:pgMar w:top="1431" w:right="1508" w:bottom="1395" w:left="1588" w:header="0" w:footer="1250" w:gutter="0"/>
          <w:cols w:space="720" w:num="1"/>
        </w:sectPr>
      </w:pPr>
    </w:p>
    <w:p>
      <w:pPr>
        <w:spacing w:before="311"/>
        <w:ind w:left="4" w:right="15"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学院（部）考核任命（聘任</w:t>
      </w:r>
      <w:r>
        <w:rPr>
          <w:rFonts w:ascii="方正书宋简体" w:hAnsi="方正书宋简体" w:eastAsia="方正书宋简体" w:cs="方正书宋简体"/>
          <w:spacing w:val="-103"/>
          <w:sz w:val="24"/>
          <w:szCs w:val="24"/>
        </w:rPr>
        <w:t>），</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7"/>
          <w:sz w:val="24"/>
          <w:szCs w:val="24"/>
        </w:rPr>
        <w:t>并报学校教务处、人事处备案。教研室主任任期三年，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可以连任。</w:t>
      </w:r>
    </w:p>
    <w:p>
      <w:pPr>
        <w:spacing w:before="215"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2、教研室主任的任职条件：</w:t>
      </w:r>
    </w:p>
    <w:p>
      <w:pPr>
        <w:spacing w:before="193" w:line="253" w:lineRule="auto"/>
        <w:ind w:left="7" w:right="93"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（1）具有良好的思想道德素质，有较强的事业感、责任心，有一定的组织管理</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能力和协调能力，对常规教学工作较熟悉。</w:t>
      </w:r>
    </w:p>
    <w:p>
      <w:pPr>
        <w:spacing w:before="180" w:line="239" w:lineRule="auto"/>
        <w:ind w:left="3" w:right="9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（2）教学经验比较丰富，教学、科研能力强，在本学科领域中的某一方面有较</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深的造诣，是学科建设和课程建设的骨干。</w:t>
      </w:r>
    </w:p>
    <w:p>
      <w:pPr>
        <w:spacing w:before="215" w:line="316" w:lineRule="auto"/>
        <w:ind w:left="2"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（3）教研室主任一般应由具有高级专业技术职务的专业对口人员担任。讲师担</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任教研室主任，原则上应具有硕士及以上学位。</w:t>
      </w:r>
    </w:p>
    <w:p>
      <w:pPr>
        <w:spacing w:before="1"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3、教研室主任职责：</w:t>
      </w:r>
    </w:p>
    <w:p>
      <w:pPr>
        <w:spacing w:before="158"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（1）在学院（部）院长（主任）领导下，全面负责教研室日常管理工作。</w:t>
      </w:r>
    </w:p>
    <w:p>
      <w:pPr>
        <w:spacing w:before="195" w:line="238" w:lineRule="auto"/>
        <w:ind w:left="4" w:right="93"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（2）根据学院（部）的教学和科研任务，制定教研室工作计划，搞好学期、学</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年教研室工作总结。</w:t>
      </w:r>
    </w:p>
    <w:p>
      <w:pPr>
        <w:spacing w:before="215" w:line="315" w:lineRule="auto"/>
        <w:ind w:right="78"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组织教师参与制定专业建设规划和人才培养方案，组织制定、修订和实施教学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计划、教学大纲以及教研室的有关规章制度，组织教材的选用与评价及教材编写工作。</w:t>
      </w:r>
    </w:p>
    <w:p>
      <w:pPr>
        <w:spacing w:before="5" w:line="239" w:lineRule="auto"/>
        <w:ind w:left="5" w:right="93"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（4）执行教学计划，落实各项教学任务，组织、督促、检查教学各项环节的落</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实，保证教学质量。</w:t>
      </w:r>
    </w:p>
    <w:p>
      <w:pPr>
        <w:spacing w:before="217" w:line="238" w:lineRule="auto"/>
        <w:ind w:left="2"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（5）负责组织本教研室教师开展教学观摩、教学经验交流等教学研究活动，组</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织和指导教师开展学术交流活动。</w:t>
      </w:r>
    </w:p>
    <w:p>
      <w:pPr>
        <w:spacing w:before="207"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（6）</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8"/>
          <w:sz w:val="24"/>
          <w:szCs w:val="24"/>
        </w:rPr>
        <w:t>负责本教研室教师培训计划安排和考核，</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8"/>
          <w:sz w:val="24"/>
          <w:szCs w:val="24"/>
        </w:rPr>
        <w:t>负责青年教师的指导和培养工作。</w:t>
      </w:r>
    </w:p>
    <w:p>
      <w:pPr>
        <w:spacing w:before="206" w:line="315" w:lineRule="auto"/>
        <w:ind w:right="116"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（7）负责对本教研室教师工作情况进行考核，对本教研室教师的聘任、晋职、</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评优等提出推荐意见。</w:t>
      </w:r>
    </w:p>
    <w:p>
      <w:pPr>
        <w:spacing w:before="2" w:line="201"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（8）负责教研室经费使用管理，组织教研室经费使用计划的制定和实施。</w:t>
      </w:r>
    </w:p>
    <w:p>
      <w:pPr>
        <w:spacing w:before="151"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四、教研室的管理</w:t>
      </w:r>
    </w:p>
    <w:p>
      <w:pPr>
        <w:spacing w:before="149"/>
        <w:ind w:right="79"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教研室要认真执行学校、学院（部）的各种教学与管理规章制度，并可以根据具体</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3"/>
          <w:sz w:val="24"/>
          <w:szCs w:val="24"/>
        </w:rPr>
        <w:t>情况制定本教研室的实施办法，规范教研室的活动内容和活动方式，进行科学管理。</w:t>
      </w:r>
    </w:p>
    <w:p>
      <w:pPr>
        <w:spacing w:before="217" w:line="315" w:lineRule="auto"/>
        <w:ind w:left="1" w:right="9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1、岗位责任制度。学院院长是教研室建设的第一责任人，</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教学副院长是教研室</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建设的主要责任人，专业系（部）主任是教研室建设的重要责任人，教研室主任是</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教研室建设的直接责任人。教研室应对全体人员工作岗位提出工作责任，明确工作</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职责，其中包括教研室主任职责、主讲教师职责及各工作环节的责任和要求。</w:t>
      </w:r>
    </w:p>
    <w:p>
      <w:pPr>
        <w:sectPr>
          <w:footerReference r:id="rId51" w:type="default"/>
          <w:pgSz w:w="11905" w:h="16840"/>
          <w:pgMar w:top="1431" w:right="1494" w:bottom="1395" w:left="1590" w:header="0" w:footer="1250" w:gutter="0"/>
          <w:cols w:space="720" w:num="1"/>
        </w:sectPr>
      </w:pPr>
    </w:p>
    <w:p>
      <w:pPr>
        <w:spacing w:before="314" w:line="309" w:lineRule="auto"/>
        <w:ind w:left="6" w:right="157"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2、教研活动制度。教研室原则上</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2</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2"/>
          <w:sz w:val="24"/>
          <w:szCs w:val="24"/>
        </w:rPr>
        <w:t>周召开一次教学研究活动，定期举行室务会议。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每学期初，要集体研究安排教研室工作计划；每学期末，</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15"/>
          <w:sz w:val="24"/>
          <w:szCs w:val="24"/>
        </w:rPr>
        <w:t>要进行教研室工作总结。教研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室举行的集体活动和会议应做好活动（会议）记录，做到时间、人员、内容三落实。</w:t>
      </w:r>
    </w:p>
    <w:p>
      <w:pPr>
        <w:spacing w:before="27" w:line="310" w:lineRule="auto"/>
        <w:ind w:left="1" w:right="24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3、听、评课制度。教研室主任、副主任要深入课堂听课，</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6"/>
          <w:sz w:val="24"/>
          <w:szCs w:val="24"/>
        </w:rPr>
        <w:t>每学期必须听本教研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室教师</w:t>
      </w:r>
      <w:r>
        <w:rPr>
          <w:rFonts w:ascii="方正书宋简体" w:hAnsi="方正书宋简体" w:eastAsia="方正书宋简体" w:cs="方正书宋简体"/>
          <w:spacing w:val="68"/>
          <w:w w:val="101"/>
          <w:sz w:val="24"/>
          <w:szCs w:val="24"/>
        </w:rPr>
        <w:t xml:space="preserve"> </w:t>
      </w:r>
      <w:r>
        <w:rPr>
          <w:rFonts w:ascii="方正书宋简体" w:hAnsi="方正书宋简体" w:eastAsia="方正书宋简体" w:cs="方正书宋简体"/>
          <w:spacing w:val="-2"/>
          <w:sz w:val="24"/>
          <w:szCs w:val="24"/>
        </w:rPr>
        <w:t>4</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2"/>
          <w:sz w:val="24"/>
          <w:szCs w:val="24"/>
        </w:rPr>
        <w:t>节课以上，及时了解教师的教学情况，指出存在的问题，提出整改意见；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组织教师集体听课和相互听课，开展观摩教学，每人每学期听课时数</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节以上。</w:t>
      </w:r>
    </w:p>
    <w:p>
      <w:pPr>
        <w:spacing w:before="19" w:line="316" w:lineRule="auto"/>
        <w:ind w:left="2" w:right="240"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4、检查、考核制度。教研室应根据岗位职责的要求，</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6"/>
          <w:sz w:val="24"/>
          <w:szCs w:val="24"/>
        </w:rPr>
        <w:t>从德、能、勤、绩等方面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加强对教研室人员工作和学习情况的检查、考核。教研室每学期要集中组织进行开</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学初的教学准备工作检查、期中教学检查和学期末的教学质量检查，对教研室人员</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检查、考核的情况，应作为评优、晋职的依据。</w:t>
      </w:r>
    </w:p>
    <w:p>
      <w:pPr>
        <w:spacing w:line="239" w:lineRule="auto"/>
        <w:ind w:right="23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5、档案资料管理制度。教研室应注重收集、积累、整理应归档的资料，</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7"/>
          <w:sz w:val="24"/>
          <w:szCs w:val="24"/>
        </w:rPr>
        <w:t>做好档案的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保存和管理工作。具体要求参照《吉首大学教学档案管理办法》的有关规定执行。</w:t>
      </w:r>
    </w:p>
    <w:p>
      <w:pPr>
        <w:spacing w:before="204"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五、教研室的评估与奖励</w:t>
      </w:r>
    </w:p>
    <w:p>
      <w:pPr>
        <w:spacing w:before="150" w:line="316" w:lineRule="auto"/>
        <w:ind w:right="163"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1、为了更好的促进教研室建设与管理，</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9"/>
          <w:sz w:val="24"/>
          <w:szCs w:val="24"/>
        </w:rPr>
        <w:t>学校每学年将对教研室进行检查与评估，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评选优秀教研室，进行表彰和奖励，并择优推荐申报省级优秀教研室。</w:t>
      </w:r>
    </w:p>
    <w:p>
      <w:pPr>
        <w:spacing w:before="1" w:line="273" w:lineRule="auto"/>
        <w:ind w:left="1" w:right="23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2、教研室检查和评估内容主要包括教研室的日常工作、教学及过程管理情况、</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教学研究与改革成效等几方面。具体内容和要求见《吉首大学教研室建设评估指标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3"/>
          <w:w w:val="97"/>
          <w:sz w:val="24"/>
          <w:szCs w:val="24"/>
        </w:rPr>
        <w:t>体系（试行）》。</w:t>
      </w:r>
    </w:p>
    <w:p>
      <w:pPr>
        <w:spacing w:before="180"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3、教研室的评估与奖励办法</w:t>
      </w:r>
    </w:p>
    <w:p>
      <w:pPr>
        <w:spacing w:before="194"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（1）学院（部）自评、自查</w:t>
      </w:r>
    </w:p>
    <w:p>
      <w:pPr>
        <w:spacing w:before="187"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①各教研室对照《教研室建设评估指标体系》要求进行自查、自评；</w:t>
      </w:r>
    </w:p>
    <w:p>
      <w:pPr>
        <w:spacing w:before="176" w:line="316" w:lineRule="auto"/>
        <w:ind w:left="3" w:right="162"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②各学院（部）</w:t>
      </w:r>
      <w:r>
        <w:rPr>
          <w:rFonts w:ascii="方正书宋简体" w:hAnsi="方正书宋简体" w:eastAsia="方正书宋简体" w:cs="方正书宋简体"/>
          <w:spacing w:val="57"/>
          <w:w w:val="101"/>
          <w:sz w:val="24"/>
          <w:szCs w:val="24"/>
        </w:rPr>
        <w:t xml:space="preserve"> </w:t>
      </w:r>
      <w:r>
        <w:rPr>
          <w:rFonts w:ascii="方正书宋简体" w:hAnsi="方正书宋简体" w:eastAsia="方正书宋简体" w:cs="方正书宋简体"/>
          <w:spacing w:val="-10"/>
          <w:sz w:val="24"/>
          <w:szCs w:val="24"/>
        </w:rPr>
        <w:t>成立教研室评估检查小组，</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组织本单位教研室进行自评和考核，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根据检查情况择优向学校推荐优秀教研室，并填报《吉首大学优秀教研室申请表》。</w:t>
      </w:r>
    </w:p>
    <w:p>
      <w:pPr>
        <w:spacing w:before="2" w:line="202"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（2）学校评估和奖励</w:t>
      </w:r>
    </w:p>
    <w:p>
      <w:pPr>
        <w:spacing w:before="157"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①学校组织专家组对各单位推荐的优秀教研室进行现场考察和审查评估。</w:t>
      </w:r>
    </w:p>
    <w:p>
      <w:pPr>
        <w:spacing w:before="196" w:line="265"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②学校根据专家评估结果，</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评选出全校优秀教研室。对评选出的“优秀教研室”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将授予“优秀教研室”荣誉称号，进行表彰和奖励，具体参照《吉首大学教学工作</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4"/>
          <w:sz w:val="24"/>
          <w:szCs w:val="24"/>
        </w:rPr>
        <w:t>奖励办法》执行。</w:t>
      </w:r>
    </w:p>
    <w:p>
      <w:pPr>
        <w:spacing w:before="214"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附件：1、吉首大学教研室建设评估指标体系</w:t>
      </w:r>
    </w:p>
    <w:p>
      <w:pPr>
        <w:spacing w:before="19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2、吉首大学优秀教研室建设绩效评价指标体系</w:t>
      </w:r>
    </w:p>
    <w:p>
      <w:pPr>
        <w:sectPr>
          <w:footerReference r:id="rId52" w:type="default"/>
          <w:pgSz w:w="11905" w:h="16840"/>
          <w:pgMar w:top="1431" w:right="1345" w:bottom="1395" w:left="1590" w:header="0" w:footer="1250" w:gutter="0"/>
          <w:cols w:space="720" w:num="1"/>
        </w:sectPr>
      </w:pPr>
    </w:p>
    <w:p>
      <w:pPr>
        <w:spacing w:line="430" w:lineRule="auto"/>
        <w:rPr>
          <w:rFonts w:ascii="Malgun Gothic"/>
          <w:sz w:val="21"/>
        </w:rPr>
      </w:pPr>
    </w:p>
    <w:p>
      <w:pPr>
        <w:spacing w:before="85" w:line="180" w:lineRule="auto"/>
        <w:ind w:firstLine="30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1：</w:t>
      </w:r>
    </w:p>
    <w:p>
      <w:pPr>
        <w:spacing w:before="132" w:line="161" w:lineRule="auto"/>
        <w:ind w:firstLine="473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吉首大学教研室建设评估指标体系</w:t>
      </w:r>
    </w:p>
    <w:tbl>
      <w:tblPr>
        <w:tblStyle w:val="4"/>
        <w:tblW w:w="1422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2158"/>
        <w:gridCol w:w="4858"/>
        <w:gridCol w:w="4650"/>
        <w:gridCol w:w="454"/>
        <w:gridCol w:w="454"/>
        <w:gridCol w:w="456"/>
        <w:gridCol w:w="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30" w:type="dxa"/>
            <w:vMerge w:val="restart"/>
            <w:tcBorders>
              <w:top w:val="single" w:color="000000" w:sz="6" w:space="0"/>
              <w:left w:val="single" w:color="000000" w:sz="6" w:space="0"/>
              <w:bottom w:val="nil"/>
            </w:tcBorders>
            <w:vAlign w:val="top"/>
          </w:tcPr>
          <w:p>
            <w:pPr>
              <w:spacing w:before="62" w:line="218" w:lineRule="auto"/>
              <w:ind w:firstLine="15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评估</w:t>
            </w:r>
          </w:p>
          <w:p>
            <w:pPr>
              <w:spacing w:line="197" w:lineRule="auto"/>
              <w:ind w:firstLine="15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项目</w:t>
            </w:r>
          </w:p>
        </w:tc>
        <w:tc>
          <w:tcPr>
            <w:tcW w:w="2158" w:type="dxa"/>
            <w:vMerge w:val="restart"/>
            <w:tcBorders>
              <w:top w:val="single" w:color="000000" w:sz="6" w:space="0"/>
              <w:bottom w:val="nil"/>
            </w:tcBorders>
            <w:vAlign w:val="top"/>
          </w:tcPr>
          <w:p>
            <w:pPr>
              <w:spacing w:before="226" w:line="180" w:lineRule="auto"/>
              <w:ind w:firstLine="65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评估内容</w:t>
            </w:r>
          </w:p>
        </w:tc>
        <w:tc>
          <w:tcPr>
            <w:tcW w:w="9508" w:type="dxa"/>
            <w:gridSpan w:val="2"/>
            <w:tcBorders>
              <w:top w:val="single" w:color="000000" w:sz="6" w:space="0"/>
            </w:tcBorders>
            <w:vAlign w:val="top"/>
          </w:tcPr>
          <w:p>
            <w:pPr>
              <w:spacing w:before="63" w:line="180" w:lineRule="auto"/>
              <w:ind w:firstLine="4019"/>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等</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5"/>
                <w:sz w:val="21"/>
                <w:szCs w:val="21"/>
              </w:rPr>
              <w:t>级</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5"/>
                <w:sz w:val="21"/>
                <w:szCs w:val="21"/>
              </w:rPr>
              <w:t>标</w:t>
            </w:r>
            <w:r>
              <w:rPr>
                <w:rFonts w:ascii="Microsoft JhengHei" w:hAnsi="Microsoft JhengHei" w:eastAsia="Microsoft JhengHei" w:cs="Microsoft JhengHei"/>
                <w:spacing w:val="3"/>
                <w:sz w:val="21"/>
                <w:szCs w:val="21"/>
              </w:rPr>
              <w:t xml:space="preserve">    </w:t>
            </w:r>
            <w:r>
              <w:rPr>
                <w:rFonts w:ascii="Microsoft JhengHei" w:hAnsi="Microsoft JhengHei" w:eastAsia="Microsoft JhengHei" w:cs="Microsoft JhengHei"/>
                <w:spacing w:val="-5"/>
                <w:sz w:val="21"/>
                <w:szCs w:val="21"/>
              </w:rPr>
              <w:t>准</w:t>
            </w:r>
          </w:p>
        </w:tc>
        <w:tc>
          <w:tcPr>
            <w:tcW w:w="1828" w:type="dxa"/>
            <w:gridSpan w:val="4"/>
            <w:tcBorders>
              <w:top w:val="single" w:color="000000" w:sz="6" w:space="0"/>
              <w:right w:val="single" w:color="000000" w:sz="6" w:space="0"/>
            </w:tcBorders>
            <w:vAlign w:val="top"/>
          </w:tcPr>
          <w:p>
            <w:pPr>
              <w:spacing w:before="63" w:line="180" w:lineRule="auto"/>
              <w:ind w:firstLine="49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评估等级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30" w:type="dxa"/>
            <w:vMerge w:val="continue"/>
            <w:tcBorders>
              <w:top w:val="nil"/>
              <w:left w:val="single" w:color="000000" w:sz="6" w:space="0"/>
            </w:tcBorders>
            <w:vAlign w:val="top"/>
          </w:tcPr>
          <w:p>
            <w:pPr>
              <w:rPr>
                <w:rFonts w:ascii="Malgun Gothic"/>
                <w:sz w:val="21"/>
              </w:rPr>
            </w:pPr>
          </w:p>
        </w:tc>
        <w:tc>
          <w:tcPr>
            <w:tcW w:w="2158" w:type="dxa"/>
            <w:vMerge w:val="continue"/>
            <w:tcBorders>
              <w:top w:val="nil"/>
            </w:tcBorders>
            <w:vAlign w:val="top"/>
          </w:tcPr>
          <w:p>
            <w:pPr>
              <w:rPr>
                <w:rFonts w:ascii="Malgun Gothic"/>
                <w:sz w:val="21"/>
              </w:rPr>
            </w:pPr>
          </w:p>
        </w:tc>
        <w:tc>
          <w:tcPr>
            <w:tcW w:w="4858" w:type="dxa"/>
            <w:vAlign w:val="top"/>
          </w:tcPr>
          <w:p>
            <w:pPr>
              <w:spacing w:before="57" w:line="180" w:lineRule="auto"/>
              <w:ind w:firstLine="2013"/>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4"/>
                <w:sz w:val="21"/>
                <w:szCs w:val="21"/>
              </w:rPr>
              <w:t>级标准</w:t>
            </w:r>
          </w:p>
        </w:tc>
        <w:tc>
          <w:tcPr>
            <w:tcW w:w="4650" w:type="dxa"/>
            <w:vAlign w:val="top"/>
          </w:tcPr>
          <w:p>
            <w:pPr>
              <w:spacing w:before="57" w:line="180" w:lineRule="auto"/>
              <w:ind w:firstLine="1915"/>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1"/>
                <w:sz w:val="21"/>
                <w:szCs w:val="21"/>
              </w:rPr>
              <w:t>级标准</w:t>
            </w:r>
          </w:p>
        </w:tc>
        <w:tc>
          <w:tcPr>
            <w:tcW w:w="454" w:type="dxa"/>
            <w:vAlign w:val="top"/>
          </w:tcPr>
          <w:p>
            <w:pPr>
              <w:spacing w:before="92" w:line="213" w:lineRule="exact"/>
              <w:ind w:firstLine="161"/>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454" w:type="dxa"/>
            <w:vAlign w:val="top"/>
          </w:tcPr>
          <w:p>
            <w:pPr>
              <w:spacing w:before="92" w:line="213" w:lineRule="exact"/>
              <w:ind w:firstLine="174"/>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B</w:t>
            </w:r>
          </w:p>
        </w:tc>
        <w:tc>
          <w:tcPr>
            <w:tcW w:w="456" w:type="dxa"/>
            <w:vAlign w:val="top"/>
          </w:tcPr>
          <w:p>
            <w:pPr>
              <w:spacing w:before="88" w:line="216" w:lineRule="exact"/>
              <w:ind w:firstLine="162"/>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464" w:type="dxa"/>
            <w:tcBorders>
              <w:right w:val="single" w:color="000000" w:sz="6" w:space="0"/>
            </w:tcBorders>
            <w:vAlign w:val="top"/>
          </w:tcPr>
          <w:p>
            <w:pPr>
              <w:spacing w:before="92" w:line="213" w:lineRule="exact"/>
              <w:ind w:firstLine="170"/>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restart"/>
            <w:tcBorders>
              <w:left w:val="single" w:color="000000" w:sz="6" w:space="0"/>
              <w:bottom w:val="nil"/>
            </w:tcBorders>
            <w:vAlign w:val="top"/>
          </w:tcPr>
          <w:p>
            <w:pPr>
              <w:spacing w:before="252" w:line="227" w:lineRule="auto"/>
              <w:ind w:firstLine="32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p>
            <w:pPr>
              <w:spacing w:line="204"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61" w:line="180" w:lineRule="auto"/>
              <w:ind w:firstLine="25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研</w:t>
            </w:r>
          </w:p>
          <w:p>
            <w:pPr>
              <w:spacing w:before="89" w:line="180" w:lineRule="auto"/>
              <w:ind w:firstLine="25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室</w:t>
            </w:r>
          </w:p>
          <w:p>
            <w:pPr>
              <w:spacing w:before="94" w:line="241"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日</w:t>
            </w:r>
          </w:p>
          <w:p>
            <w:pPr>
              <w:spacing w:line="204" w:lineRule="auto"/>
              <w:ind w:firstLine="25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常</w:t>
            </w:r>
          </w:p>
          <w:p>
            <w:pPr>
              <w:spacing w:before="60" w:line="180" w:lineRule="auto"/>
              <w:ind w:firstLine="25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管</w:t>
            </w:r>
          </w:p>
          <w:p>
            <w:pPr>
              <w:spacing w:before="100"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理</w:t>
            </w:r>
          </w:p>
        </w:tc>
        <w:tc>
          <w:tcPr>
            <w:tcW w:w="2158" w:type="dxa"/>
            <w:vAlign w:val="top"/>
          </w:tcPr>
          <w:p>
            <w:pPr>
              <w:spacing w:before="197" w:line="180" w:lineRule="auto"/>
              <w:ind w:firstLine="1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1.1</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3"/>
                <w:sz w:val="21"/>
                <w:szCs w:val="21"/>
              </w:rPr>
              <w:t>工作计划与总结</w:t>
            </w:r>
          </w:p>
        </w:tc>
        <w:tc>
          <w:tcPr>
            <w:tcW w:w="4858" w:type="dxa"/>
            <w:vAlign w:val="top"/>
          </w:tcPr>
          <w:p>
            <w:pPr>
              <w:spacing w:before="35" w:line="209" w:lineRule="auto"/>
              <w:ind w:left="103" w:right="1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教研室年度、学期工作计划与总结材料规范齐全；</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
                <w:sz w:val="21"/>
                <w:szCs w:val="21"/>
              </w:rPr>
              <w:t>教研室工作计划落实好，圆满完成教学目标</w:t>
            </w:r>
          </w:p>
        </w:tc>
        <w:tc>
          <w:tcPr>
            <w:tcW w:w="4650" w:type="dxa"/>
            <w:vAlign w:val="top"/>
          </w:tcPr>
          <w:p>
            <w:pPr>
              <w:spacing w:before="35" w:line="209" w:lineRule="auto"/>
              <w:ind w:left="108" w:right="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教研室年度、学期工作计划与总结材料齐全；计</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划符合规划要求，总结全面</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197" w:line="180" w:lineRule="auto"/>
              <w:ind w:firstLine="1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1.2</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3"/>
                <w:sz w:val="21"/>
                <w:szCs w:val="21"/>
              </w:rPr>
              <w:t>规章制度与执行</w:t>
            </w:r>
          </w:p>
        </w:tc>
        <w:tc>
          <w:tcPr>
            <w:tcW w:w="4858" w:type="dxa"/>
            <w:vAlign w:val="top"/>
          </w:tcPr>
          <w:p>
            <w:pPr>
              <w:spacing w:before="40" w:line="206" w:lineRule="auto"/>
              <w:ind w:left="102"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各类规章制度健全，严格执行，无教学事故等违纪</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违规情况</w:t>
            </w:r>
          </w:p>
        </w:tc>
        <w:tc>
          <w:tcPr>
            <w:tcW w:w="4650" w:type="dxa"/>
            <w:vAlign w:val="top"/>
          </w:tcPr>
          <w:p>
            <w:pPr>
              <w:spacing w:before="197"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各类规章制度齐全，执行情况较好</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199" w:line="180" w:lineRule="auto"/>
              <w:ind w:firstLine="19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1.3</w:t>
            </w:r>
            <w:r>
              <w:rPr>
                <w:rFonts w:ascii="方正书宋简体" w:hAnsi="方正书宋简体" w:eastAsia="方正书宋简体" w:cs="方正书宋简体"/>
                <w:spacing w:val="30"/>
                <w:w w:val="101"/>
                <w:sz w:val="21"/>
                <w:szCs w:val="21"/>
              </w:rPr>
              <w:t xml:space="preserve"> </w:t>
            </w:r>
            <w:r>
              <w:rPr>
                <w:rFonts w:ascii="方正书宋简体" w:hAnsi="方正书宋简体" w:eastAsia="方正书宋简体" w:cs="方正书宋简体"/>
                <w:spacing w:val="-5"/>
                <w:sz w:val="21"/>
                <w:szCs w:val="21"/>
              </w:rPr>
              <w:t>岗位职责与履行</w:t>
            </w:r>
          </w:p>
        </w:tc>
        <w:tc>
          <w:tcPr>
            <w:tcW w:w="4858" w:type="dxa"/>
            <w:vAlign w:val="top"/>
          </w:tcPr>
          <w:p>
            <w:pPr>
              <w:spacing w:before="39" w:line="193"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岗位、工作职责明确；</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6"/>
                <w:sz w:val="21"/>
                <w:szCs w:val="21"/>
              </w:rPr>
              <w:t>教研室各项工作落实好，</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6"/>
                <w:sz w:val="21"/>
                <w:szCs w:val="21"/>
              </w:rPr>
              <w:t>圆</w:t>
            </w:r>
          </w:p>
          <w:p>
            <w:pPr>
              <w:spacing w:before="77"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满完成各项工作任务</w:t>
            </w:r>
          </w:p>
        </w:tc>
        <w:tc>
          <w:tcPr>
            <w:tcW w:w="4650" w:type="dxa"/>
            <w:vAlign w:val="top"/>
          </w:tcPr>
          <w:p>
            <w:pPr>
              <w:spacing w:before="199" w:line="180" w:lineRule="auto"/>
              <w:ind w:firstLine="12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岗位、工作职责明确，能较好履行岗位职责</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202" w:line="180" w:lineRule="auto"/>
              <w:ind w:firstLine="40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1.4</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4"/>
                <w:sz w:val="21"/>
                <w:szCs w:val="21"/>
              </w:rPr>
              <w:t>会议与纪录</w:t>
            </w:r>
          </w:p>
        </w:tc>
        <w:tc>
          <w:tcPr>
            <w:tcW w:w="4858" w:type="dxa"/>
            <w:vAlign w:val="top"/>
          </w:tcPr>
          <w:p>
            <w:pPr>
              <w:spacing w:before="41" w:line="208" w:lineRule="auto"/>
              <w:ind w:left="102" w:right="103"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定期召开会议，会议主题明确；记录完整规范，</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7"/>
                <w:sz w:val="21"/>
                <w:szCs w:val="21"/>
              </w:rPr>
              <w:t>内</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容符合要求</w:t>
            </w:r>
          </w:p>
        </w:tc>
        <w:tc>
          <w:tcPr>
            <w:tcW w:w="4650" w:type="dxa"/>
            <w:vAlign w:val="top"/>
          </w:tcPr>
          <w:p>
            <w:pPr>
              <w:spacing w:before="201"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执行会议制度，会议记录完整</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30" w:type="dxa"/>
            <w:vMerge w:val="continue"/>
            <w:tcBorders>
              <w:top w:val="nil"/>
              <w:left w:val="single" w:color="000000" w:sz="6" w:space="0"/>
            </w:tcBorders>
            <w:vAlign w:val="top"/>
          </w:tcPr>
          <w:p>
            <w:pPr>
              <w:rPr>
                <w:rFonts w:ascii="Malgun Gothic"/>
                <w:sz w:val="21"/>
              </w:rPr>
            </w:pPr>
          </w:p>
        </w:tc>
        <w:tc>
          <w:tcPr>
            <w:tcW w:w="2158" w:type="dxa"/>
            <w:vAlign w:val="top"/>
          </w:tcPr>
          <w:p>
            <w:pPr>
              <w:spacing w:before="46"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1.5</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4"/>
                <w:sz w:val="21"/>
                <w:szCs w:val="21"/>
              </w:rPr>
              <w:t>档案资料管理</w:t>
            </w:r>
          </w:p>
        </w:tc>
        <w:tc>
          <w:tcPr>
            <w:tcW w:w="4858" w:type="dxa"/>
            <w:vAlign w:val="top"/>
          </w:tcPr>
          <w:p>
            <w:pPr>
              <w:spacing w:before="45"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各类教学文档资料分类整理，摆放整齐，管理规范</w:t>
            </w:r>
          </w:p>
        </w:tc>
        <w:tc>
          <w:tcPr>
            <w:tcW w:w="4650" w:type="dxa"/>
            <w:vAlign w:val="top"/>
          </w:tcPr>
          <w:p>
            <w:pPr>
              <w:spacing w:before="46"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各类教学文档资料整理、保存齐全</w:t>
            </w:r>
          </w:p>
        </w:tc>
        <w:tc>
          <w:tcPr>
            <w:tcW w:w="454" w:type="dxa"/>
            <w:vAlign w:val="top"/>
          </w:tcPr>
          <w:p>
            <w:pPr>
              <w:spacing w:line="317" w:lineRule="exact"/>
              <w:rPr>
                <w:rFonts w:ascii="Malgun Gothic"/>
                <w:sz w:val="18"/>
              </w:rPr>
            </w:pPr>
          </w:p>
        </w:tc>
        <w:tc>
          <w:tcPr>
            <w:tcW w:w="454" w:type="dxa"/>
            <w:vAlign w:val="top"/>
          </w:tcPr>
          <w:p>
            <w:pPr>
              <w:spacing w:line="317" w:lineRule="exact"/>
              <w:rPr>
                <w:rFonts w:ascii="Malgun Gothic"/>
                <w:sz w:val="18"/>
              </w:rPr>
            </w:pPr>
          </w:p>
        </w:tc>
        <w:tc>
          <w:tcPr>
            <w:tcW w:w="456" w:type="dxa"/>
            <w:vAlign w:val="top"/>
          </w:tcPr>
          <w:p>
            <w:pPr>
              <w:spacing w:line="317" w:lineRule="exact"/>
              <w:rPr>
                <w:rFonts w:ascii="Malgun Gothic"/>
                <w:sz w:val="18"/>
              </w:rPr>
            </w:pPr>
          </w:p>
        </w:tc>
        <w:tc>
          <w:tcPr>
            <w:tcW w:w="464" w:type="dxa"/>
            <w:tcBorders>
              <w:right w:val="single" w:color="000000" w:sz="6" w:space="0"/>
            </w:tcBorders>
            <w:vAlign w:val="top"/>
          </w:tcPr>
          <w:p>
            <w:pPr>
              <w:spacing w:line="317" w:lineRule="exact"/>
              <w:rPr>
                <w:rFonts w:ascii="Malgun Gothic"/>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restart"/>
            <w:tcBorders>
              <w:left w:val="single" w:color="000000" w:sz="6" w:space="0"/>
              <w:bottom w:val="nil"/>
            </w:tcBorders>
            <w:vAlign w:val="top"/>
          </w:tcPr>
          <w:p>
            <w:pPr>
              <w:spacing w:before="242" w:line="228" w:lineRule="auto"/>
              <w:ind w:firstLine="30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p>
            <w:pPr>
              <w:spacing w:line="204"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58"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104"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工</w:t>
            </w:r>
          </w:p>
          <w:p>
            <w:pPr>
              <w:spacing w:before="69" w:line="180" w:lineRule="auto"/>
              <w:ind w:firstLine="2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作</w:t>
            </w:r>
          </w:p>
        </w:tc>
        <w:tc>
          <w:tcPr>
            <w:tcW w:w="2158" w:type="dxa"/>
            <w:vAlign w:val="top"/>
          </w:tcPr>
          <w:p>
            <w:pPr>
              <w:spacing w:before="48" w:line="205" w:lineRule="auto"/>
              <w:ind w:left="756" w:right="107" w:hanging="65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2.1</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5"/>
                <w:w w:val="99"/>
                <w:sz w:val="21"/>
                <w:szCs w:val="21"/>
              </w:rPr>
              <w:t>教学大纲（含实践</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教学）</w:t>
            </w:r>
          </w:p>
        </w:tc>
        <w:tc>
          <w:tcPr>
            <w:tcW w:w="4858" w:type="dxa"/>
            <w:vAlign w:val="top"/>
          </w:tcPr>
          <w:p>
            <w:pPr>
              <w:spacing w:before="47" w:line="207" w:lineRule="auto"/>
              <w:ind w:left="105" w:right="103" w:hanging="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教研室承担的所有课程有教学大纲并能为培养目标</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
                <w:sz w:val="21"/>
                <w:szCs w:val="21"/>
              </w:rPr>
              <w:t>服务，符合教学规律，体现教育理念</w:t>
            </w:r>
          </w:p>
        </w:tc>
        <w:tc>
          <w:tcPr>
            <w:tcW w:w="4650" w:type="dxa"/>
            <w:vAlign w:val="top"/>
          </w:tcPr>
          <w:p>
            <w:pPr>
              <w:spacing w:before="46" w:line="207" w:lineRule="auto"/>
              <w:ind w:left="129" w:right="134" w:hanging="2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不同教学对象的课程教学大纲齐全，编写规范，</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rPr>
              <w:t>内容基本符合要求</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198" w:line="193" w:lineRule="auto"/>
              <w:ind w:firstLine="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教材选用与评价</w:t>
            </w:r>
          </w:p>
        </w:tc>
        <w:tc>
          <w:tcPr>
            <w:tcW w:w="4858" w:type="dxa"/>
            <w:vAlign w:val="top"/>
          </w:tcPr>
          <w:p>
            <w:pPr>
              <w:spacing w:before="42" w:line="222" w:lineRule="auto"/>
              <w:ind w:left="102" w:right="103"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使用国家统编教材、新教材或高质量教材（含实践</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教学教材</w:t>
            </w:r>
            <w:r>
              <w:rPr>
                <w:rFonts w:ascii="方正书宋简体" w:hAnsi="方正书宋简体" w:eastAsia="方正书宋简体" w:cs="方正书宋简体"/>
                <w:spacing w:val="5"/>
                <w:sz w:val="21"/>
                <w:szCs w:val="21"/>
              </w:rPr>
              <w:t>），</w:t>
            </w:r>
            <w:r>
              <w:rPr>
                <w:rFonts w:ascii="方正书宋简体" w:hAnsi="方正书宋简体" w:eastAsia="方正书宋简体" w:cs="方正书宋简体"/>
                <w:spacing w:val="-1"/>
                <w:sz w:val="21"/>
                <w:szCs w:val="21"/>
              </w:rPr>
              <w:t>教材选用与评估制度运行好</w:t>
            </w:r>
          </w:p>
        </w:tc>
        <w:tc>
          <w:tcPr>
            <w:tcW w:w="4650" w:type="dxa"/>
            <w:vAlign w:val="top"/>
          </w:tcPr>
          <w:p>
            <w:pPr>
              <w:spacing w:before="42" w:line="222" w:lineRule="auto"/>
              <w:ind w:left="109" w:right="97"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使用合适的教材（含实践教学教材</w:t>
            </w:r>
            <w:r>
              <w:rPr>
                <w:rFonts w:ascii="方正书宋简体" w:hAnsi="方正书宋简体" w:eastAsia="方正书宋简体" w:cs="方正书宋简体"/>
                <w:spacing w:val="-17"/>
                <w:sz w:val="21"/>
                <w:szCs w:val="21"/>
              </w:rPr>
              <w:t>），</w:t>
            </w:r>
            <w:r>
              <w:rPr>
                <w:rFonts w:ascii="方正书宋简体" w:hAnsi="方正书宋简体" w:eastAsia="方正书宋简体" w:cs="方正书宋简体"/>
                <w:spacing w:val="25"/>
                <w:sz w:val="21"/>
                <w:szCs w:val="21"/>
              </w:rPr>
              <w:t xml:space="preserve">  </w:t>
            </w:r>
            <w:r>
              <w:rPr>
                <w:rFonts w:ascii="方正书宋简体" w:hAnsi="方正书宋简体" w:eastAsia="方正书宋简体" w:cs="方正书宋简体"/>
                <w:spacing w:val="-5"/>
                <w:sz w:val="21"/>
                <w:szCs w:val="21"/>
              </w:rPr>
              <w:t>能执行教</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材选用、教材质量信息反馈和评估制度</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continue"/>
            <w:tcBorders>
              <w:top w:val="nil"/>
              <w:left w:val="single" w:color="000000" w:sz="6" w:space="0"/>
            </w:tcBorders>
            <w:vAlign w:val="top"/>
          </w:tcPr>
          <w:p>
            <w:pPr>
              <w:rPr>
                <w:rFonts w:ascii="Malgun Gothic"/>
                <w:sz w:val="21"/>
              </w:rPr>
            </w:pPr>
          </w:p>
        </w:tc>
        <w:tc>
          <w:tcPr>
            <w:tcW w:w="2158" w:type="dxa"/>
            <w:vAlign w:val="top"/>
          </w:tcPr>
          <w:p>
            <w:pPr>
              <w:spacing w:before="204" w:line="180" w:lineRule="auto"/>
              <w:ind w:firstLine="28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2"/>
                <w:sz w:val="21"/>
                <w:szCs w:val="21"/>
              </w:rPr>
              <w:t>教学任务落实</w:t>
            </w:r>
          </w:p>
        </w:tc>
        <w:tc>
          <w:tcPr>
            <w:tcW w:w="4858" w:type="dxa"/>
            <w:vAlign w:val="top"/>
          </w:tcPr>
          <w:p>
            <w:pPr>
              <w:spacing w:before="48" w:line="207" w:lineRule="auto"/>
              <w:ind w:left="104" w:right="10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按照专业培养目标和教学计划要求，各项教学任务</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落实好，任务分配合理</w:t>
            </w:r>
          </w:p>
        </w:tc>
        <w:tc>
          <w:tcPr>
            <w:tcW w:w="4650" w:type="dxa"/>
            <w:vAlign w:val="top"/>
          </w:tcPr>
          <w:p>
            <w:pPr>
              <w:spacing w:before="204"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课程教学任务落实较好，教学计划执行有保证</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restart"/>
            <w:tcBorders>
              <w:left w:val="single" w:color="000000" w:sz="6" w:space="0"/>
              <w:bottom w:val="nil"/>
            </w:tcBorders>
            <w:vAlign w:val="top"/>
          </w:tcPr>
          <w:p>
            <w:pPr>
              <w:spacing w:before="402" w:line="227" w:lineRule="auto"/>
              <w:ind w:firstLine="30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p>
            <w:pPr>
              <w:spacing w:line="204"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58"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104"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工</w:t>
            </w:r>
          </w:p>
          <w:p>
            <w:pPr>
              <w:spacing w:before="69" w:line="180" w:lineRule="auto"/>
              <w:ind w:firstLine="2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作</w:t>
            </w:r>
          </w:p>
        </w:tc>
        <w:tc>
          <w:tcPr>
            <w:tcW w:w="2158" w:type="dxa"/>
            <w:vAlign w:val="top"/>
          </w:tcPr>
          <w:p>
            <w:pPr>
              <w:spacing w:before="208"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教学运行</w:t>
            </w:r>
          </w:p>
        </w:tc>
        <w:tc>
          <w:tcPr>
            <w:tcW w:w="4858" w:type="dxa"/>
            <w:vAlign w:val="top"/>
          </w:tcPr>
          <w:p>
            <w:pPr>
              <w:spacing w:before="49" w:line="207" w:lineRule="auto"/>
              <w:ind w:left="103" w:right="34"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严格执行课程进程计划，</w:t>
            </w:r>
            <w:r>
              <w:rPr>
                <w:rFonts w:ascii="方正书宋简体" w:hAnsi="方正书宋简体" w:eastAsia="方正书宋简体" w:cs="方正书宋简体"/>
                <w:spacing w:val="37"/>
                <w:w w:val="101"/>
                <w:sz w:val="21"/>
                <w:szCs w:val="21"/>
              </w:rPr>
              <w:t xml:space="preserve"> </w:t>
            </w:r>
            <w:r>
              <w:rPr>
                <w:rFonts w:ascii="方正书宋简体" w:hAnsi="方正书宋简体" w:eastAsia="方正书宋简体" w:cs="方正书宋简体"/>
                <w:spacing w:val="-9"/>
                <w:sz w:val="21"/>
                <w:szCs w:val="21"/>
              </w:rPr>
              <w:t>教学进程与学校保持一致，</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变动经过批准，教学日历、日志填写规范</w:t>
            </w:r>
          </w:p>
        </w:tc>
        <w:tc>
          <w:tcPr>
            <w:tcW w:w="4650" w:type="dxa"/>
            <w:vAlign w:val="top"/>
          </w:tcPr>
          <w:p>
            <w:pPr>
              <w:spacing w:before="49" w:line="207" w:lineRule="auto"/>
              <w:ind w:left="104" w:right="117" w:firstLine="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任课教师名单、教学进度表、教学日历、日志、</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课程表齐全，不擅自变动</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364"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2.5</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考试管理</w:t>
            </w:r>
          </w:p>
        </w:tc>
        <w:tc>
          <w:tcPr>
            <w:tcW w:w="4858" w:type="dxa"/>
            <w:vAlign w:val="top"/>
          </w:tcPr>
          <w:p>
            <w:pPr>
              <w:spacing w:before="44" w:line="232" w:lineRule="auto"/>
              <w:ind w:left="103" w:right="1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根据考试大纲（结合题库、试卷库）命题；考后及</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z w:val="21"/>
                <w:szCs w:val="21"/>
              </w:rPr>
              <w:t>时进行试卷的批阅、分析，成绩登录无误；考试试</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
                <w:sz w:val="21"/>
                <w:szCs w:val="21"/>
              </w:rPr>
              <w:t>卷、答卷、试卷分析等材料规范存档，保存完整</w:t>
            </w:r>
          </w:p>
        </w:tc>
        <w:tc>
          <w:tcPr>
            <w:tcW w:w="4650" w:type="dxa"/>
            <w:vAlign w:val="top"/>
          </w:tcPr>
          <w:p>
            <w:pPr>
              <w:spacing w:before="46" w:line="219" w:lineRule="auto"/>
              <w:ind w:left="107" w:right="97"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认真组织考试命题；试卷批阅、成绩登录按要求</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完成；考试试卷、答卷、试卷分析等材料保存齐</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z w:val="21"/>
                <w:szCs w:val="21"/>
              </w:rPr>
              <w:t>全</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trPr>
        <w:tc>
          <w:tcPr>
            <w:tcW w:w="730" w:type="dxa"/>
            <w:vMerge w:val="continue"/>
            <w:tcBorders>
              <w:top w:val="nil"/>
              <w:left w:val="single" w:color="000000" w:sz="6" w:space="0"/>
              <w:bottom w:val="single" w:color="000000" w:sz="6" w:space="0"/>
            </w:tcBorders>
            <w:vAlign w:val="top"/>
          </w:tcPr>
          <w:p>
            <w:pPr>
              <w:rPr>
                <w:rFonts w:ascii="Malgun Gothic"/>
                <w:sz w:val="21"/>
              </w:rPr>
            </w:pPr>
          </w:p>
        </w:tc>
        <w:tc>
          <w:tcPr>
            <w:tcW w:w="2158" w:type="dxa"/>
            <w:tcBorders>
              <w:bottom w:val="single" w:color="000000" w:sz="6" w:space="0"/>
            </w:tcBorders>
            <w:vAlign w:val="top"/>
          </w:tcPr>
          <w:p>
            <w:pPr>
              <w:spacing w:before="209"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2.6</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工作纪律</w:t>
            </w:r>
          </w:p>
        </w:tc>
        <w:tc>
          <w:tcPr>
            <w:tcW w:w="4858" w:type="dxa"/>
            <w:tcBorders>
              <w:bottom w:val="single" w:color="000000" w:sz="6" w:space="0"/>
            </w:tcBorders>
            <w:vAlign w:val="top"/>
          </w:tcPr>
          <w:p>
            <w:pPr>
              <w:spacing w:before="51" w:line="207" w:lineRule="auto"/>
              <w:ind w:left="99" w:right="103"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严格遵守教学工作纪律，课程调整手续完备，无调</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课、停课、迟到、提前下课等教学事故发生。</w:t>
            </w:r>
          </w:p>
        </w:tc>
        <w:tc>
          <w:tcPr>
            <w:tcW w:w="4650" w:type="dxa"/>
            <w:tcBorders>
              <w:bottom w:val="single" w:color="000000" w:sz="6" w:space="0"/>
            </w:tcBorders>
            <w:vAlign w:val="top"/>
          </w:tcPr>
          <w:p>
            <w:pPr>
              <w:spacing w:before="53" w:line="206" w:lineRule="auto"/>
              <w:ind w:left="108" w:right="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较好遵守教学工作纪律，教师调课、停课、授课</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rPr>
              <w:t>迟到、提前下课的现象较少。</w:t>
            </w:r>
          </w:p>
        </w:tc>
        <w:tc>
          <w:tcPr>
            <w:tcW w:w="454" w:type="dxa"/>
            <w:tcBorders>
              <w:bottom w:val="single" w:color="000000" w:sz="6" w:space="0"/>
            </w:tcBorders>
            <w:vAlign w:val="top"/>
          </w:tcPr>
          <w:p>
            <w:pPr>
              <w:rPr>
                <w:rFonts w:ascii="Malgun Gothic"/>
                <w:sz w:val="21"/>
              </w:rPr>
            </w:pPr>
          </w:p>
        </w:tc>
        <w:tc>
          <w:tcPr>
            <w:tcW w:w="454" w:type="dxa"/>
            <w:tcBorders>
              <w:bottom w:val="single" w:color="000000" w:sz="6" w:space="0"/>
            </w:tcBorders>
            <w:vAlign w:val="top"/>
          </w:tcPr>
          <w:p>
            <w:pPr>
              <w:rPr>
                <w:rFonts w:ascii="Malgun Gothic"/>
                <w:sz w:val="21"/>
              </w:rPr>
            </w:pPr>
          </w:p>
        </w:tc>
        <w:tc>
          <w:tcPr>
            <w:tcW w:w="456" w:type="dxa"/>
            <w:tcBorders>
              <w:bottom w:val="single" w:color="000000" w:sz="6" w:space="0"/>
            </w:tcBorders>
            <w:vAlign w:val="top"/>
          </w:tcPr>
          <w:p>
            <w:pPr>
              <w:rPr>
                <w:rFonts w:ascii="Malgun Gothic"/>
                <w:sz w:val="21"/>
              </w:rPr>
            </w:pPr>
          </w:p>
        </w:tc>
        <w:tc>
          <w:tcPr>
            <w:tcW w:w="464" w:type="dxa"/>
            <w:tcBorders>
              <w:bottom w:val="single" w:color="000000" w:sz="6" w:space="0"/>
              <w:right w:val="single" w:color="000000" w:sz="6" w:space="0"/>
            </w:tcBorders>
            <w:vAlign w:val="top"/>
          </w:tcPr>
          <w:p>
            <w:pPr>
              <w:rPr>
                <w:rFonts w:ascii="Malgun Gothic"/>
                <w:sz w:val="21"/>
              </w:rPr>
            </w:pPr>
          </w:p>
        </w:tc>
      </w:tr>
    </w:tbl>
    <w:p>
      <w:pPr>
        <w:rPr>
          <w:rFonts w:ascii="Malgun Gothic"/>
          <w:sz w:val="21"/>
        </w:rPr>
      </w:pPr>
    </w:p>
    <w:p>
      <w:pPr>
        <w:sectPr>
          <w:footerReference r:id="rId53" w:type="default"/>
          <w:pgSz w:w="16840" w:h="11905"/>
          <w:pgMar w:top="1011" w:right="1302" w:bottom="1177" w:left="1298" w:header="0" w:footer="1033" w:gutter="0"/>
          <w:cols w:space="720" w:num="1"/>
        </w:sectPr>
      </w:pPr>
    </w:p>
    <w:p/>
    <w:p/>
    <w:p>
      <w:pPr>
        <w:spacing w:line="206" w:lineRule="exact"/>
      </w:pPr>
    </w:p>
    <w:tbl>
      <w:tblPr>
        <w:tblStyle w:val="4"/>
        <w:tblW w:w="1422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2158"/>
        <w:gridCol w:w="4858"/>
        <w:gridCol w:w="4650"/>
        <w:gridCol w:w="454"/>
        <w:gridCol w:w="454"/>
        <w:gridCol w:w="456"/>
        <w:gridCol w:w="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30" w:type="dxa"/>
            <w:vMerge w:val="restart"/>
            <w:tcBorders>
              <w:top w:val="single" w:color="000000" w:sz="6" w:space="0"/>
              <w:left w:val="single" w:color="000000" w:sz="6" w:space="0"/>
              <w:bottom w:val="nil"/>
            </w:tcBorders>
            <w:vAlign w:val="top"/>
          </w:tcPr>
          <w:p>
            <w:pPr>
              <w:spacing w:before="62" w:line="218" w:lineRule="auto"/>
              <w:ind w:firstLine="15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评估</w:t>
            </w:r>
          </w:p>
          <w:p>
            <w:pPr>
              <w:spacing w:line="196" w:lineRule="auto"/>
              <w:ind w:firstLine="15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项目</w:t>
            </w:r>
          </w:p>
        </w:tc>
        <w:tc>
          <w:tcPr>
            <w:tcW w:w="2158" w:type="dxa"/>
            <w:vMerge w:val="restart"/>
            <w:tcBorders>
              <w:top w:val="single" w:color="000000" w:sz="6" w:space="0"/>
              <w:bottom w:val="nil"/>
            </w:tcBorders>
            <w:vAlign w:val="top"/>
          </w:tcPr>
          <w:p>
            <w:pPr>
              <w:spacing w:before="225" w:line="180" w:lineRule="auto"/>
              <w:ind w:firstLine="65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评估内容</w:t>
            </w:r>
          </w:p>
        </w:tc>
        <w:tc>
          <w:tcPr>
            <w:tcW w:w="9508" w:type="dxa"/>
            <w:gridSpan w:val="2"/>
            <w:tcBorders>
              <w:top w:val="single" w:color="000000" w:sz="6" w:space="0"/>
            </w:tcBorders>
            <w:vAlign w:val="top"/>
          </w:tcPr>
          <w:p>
            <w:pPr>
              <w:spacing w:before="63" w:line="180" w:lineRule="auto"/>
              <w:ind w:firstLine="4019"/>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等</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5"/>
                <w:sz w:val="21"/>
                <w:szCs w:val="21"/>
              </w:rPr>
              <w:t>级</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5"/>
                <w:sz w:val="21"/>
                <w:szCs w:val="21"/>
              </w:rPr>
              <w:t>标</w:t>
            </w:r>
            <w:r>
              <w:rPr>
                <w:rFonts w:ascii="Microsoft JhengHei" w:hAnsi="Microsoft JhengHei" w:eastAsia="Microsoft JhengHei" w:cs="Microsoft JhengHei"/>
                <w:spacing w:val="3"/>
                <w:sz w:val="21"/>
                <w:szCs w:val="21"/>
              </w:rPr>
              <w:t xml:space="preserve">    </w:t>
            </w:r>
            <w:r>
              <w:rPr>
                <w:rFonts w:ascii="Microsoft JhengHei" w:hAnsi="Microsoft JhengHei" w:eastAsia="Microsoft JhengHei" w:cs="Microsoft JhengHei"/>
                <w:spacing w:val="-5"/>
                <w:sz w:val="21"/>
                <w:szCs w:val="21"/>
              </w:rPr>
              <w:t>准</w:t>
            </w:r>
          </w:p>
        </w:tc>
        <w:tc>
          <w:tcPr>
            <w:tcW w:w="1828" w:type="dxa"/>
            <w:gridSpan w:val="4"/>
            <w:tcBorders>
              <w:top w:val="single" w:color="000000" w:sz="6" w:space="0"/>
              <w:right w:val="single" w:color="000000" w:sz="6" w:space="0"/>
            </w:tcBorders>
            <w:vAlign w:val="top"/>
          </w:tcPr>
          <w:p>
            <w:pPr>
              <w:spacing w:before="63" w:line="180" w:lineRule="auto"/>
              <w:ind w:firstLine="49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评估等级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730" w:type="dxa"/>
            <w:vMerge w:val="continue"/>
            <w:tcBorders>
              <w:top w:val="nil"/>
              <w:left w:val="single" w:color="000000" w:sz="6" w:space="0"/>
            </w:tcBorders>
            <w:vAlign w:val="top"/>
          </w:tcPr>
          <w:p>
            <w:pPr>
              <w:rPr>
                <w:rFonts w:ascii="Malgun Gothic"/>
                <w:sz w:val="21"/>
              </w:rPr>
            </w:pPr>
          </w:p>
        </w:tc>
        <w:tc>
          <w:tcPr>
            <w:tcW w:w="2158" w:type="dxa"/>
            <w:vMerge w:val="continue"/>
            <w:tcBorders>
              <w:top w:val="nil"/>
            </w:tcBorders>
            <w:vAlign w:val="top"/>
          </w:tcPr>
          <w:p>
            <w:pPr>
              <w:rPr>
                <w:rFonts w:ascii="Malgun Gothic"/>
                <w:sz w:val="21"/>
              </w:rPr>
            </w:pPr>
          </w:p>
        </w:tc>
        <w:tc>
          <w:tcPr>
            <w:tcW w:w="4858" w:type="dxa"/>
            <w:vAlign w:val="top"/>
          </w:tcPr>
          <w:p>
            <w:pPr>
              <w:spacing w:before="56" w:line="180" w:lineRule="auto"/>
              <w:ind w:firstLine="2013"/>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4"/>
                <w:sz w:val="21"/>
                <w:szCs w:val="21"/>
              </w:rPr>
              <w:t>级标准</w:t>
            </w:r>
          </w:p>
        </w:tc>
        <w:tc>
          <w:tcPr>
            <w:tcW w:w="4650" w:type="dxa"/>
            <w:vAlign w:val="top"/>
          </w:tcPr>
          <w:p>
            <w:pPr>
              <w:spacing w:before="56" w:line="180" w:lineRule="auto"/>
              <w:ind w:firstLine="1915"/>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1"/>
                <w:sz w:val="21"/>
                <w:szCs w:val="21"/>
              </w:rPr>
              <w:t>级标准</w:t>
            </w:r>
          </w:p>
        </w:tc>
        <w:tc>
          <w:tcPr>
            <w:tcW w:w="454" w:type="dxa"/>
            <w:vAlign w:val="top"/>
          </w:tcPr>
          <w:p>
            <w:pPr>
              <w:spacing w:before="92" w:line="213" w:lineRule="exact"/>
              <w:ind w:firstLine="161"/>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454" w:type="dxa"/>
            <w:vAlign w:val="top"/>
          </w:tcPr>
          <w:p>
            <w:pPr>
              <w:spacing w:before="92" w:line="213" w:lineRule="exact"/>
              <w:ind w:firstLine="174"/>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B</w:t>
            </w:r>
          </w:p>
        </w:tc>
        <w:tc>
          <w:tcPr>
            <w:tcW w:w="456" w:type="dxa"/>
            <w:vAlign w:val="top"/>
          </w:tcPr>
          <w:p>
            <w:pPr>
              <w:spacing w:before="88" w:line="216" w:lineRule="exact"/>
              <w:ind w:firstLine="162"/>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464" w:type="dxa"/>
            <w:tcBorders>
              <w:right w:val="single" w:color="000000" w:sz="6" w:space="0"/>
            </w:tcBorders>
            <w:vAlign w:val="top"/>
          </w:tcPr>
          <w:p>
            <w:pPr>
              <w:spacing w:before="92" w:line="213" w:lineRule="exact"/>
              <w:ind w:firstLine="170"/>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restart"/>
            <w:tcBorders>
              <w:left w:val="single" w:color="000000" w:sz="6" w:space="0"/>
              <w:bottom w:val="nil"/>
            </w:tcBorders>
            <w:vAlign w:val="top"/>
          </w:tcPr>
          <w:p>
            <w:pPr>
              <w:spacing w:before="63" w:line="185" w:lineRule="auto"/>
              <w:ind w:firstLine="31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p>
            <w:pPr>
              <w:spacing w:line="204"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5" w:line="199"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7" w:line="197"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效</w:t>
            </w:r>
          </w:p>
          <w:p>
            <w:pPr>
              <w:spacing w:before="19" w:line="187" w:lineRule="auto"/>
              <w:ind w:firstLine="2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果</w:t>
            </w:r>
          </w:p>
          <w:p>
            <w:pPr>
              <w:spacing w:before="23" w:line="185"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30"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质</w:t>
            </w:r>
          </w:p>
          <w:p>
            <w:pPr>
              <w:spacing w:before="40"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量</w:t>
            </w:r>
          </w:p>
          <w:p>
            <w:pPr>
              <w:spacing w:before="36" w:line="180" w:lineRule="auto"/>
              <w:ind w:firstLine="2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监</w:t>
            </w:r>
          </w:p>
          <w:p>
            <w:pPr>
              <w:spacing w:before="38"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控</w:t>
            </w:r>
          </w:p>
        </w:tc>
        <w:tc>
          <w:tcPr>
            <w:tcW w:w="2158" w:type="dxa"/>
            <w:vAlign w:val="top"/>
          </w:tcPr>
          <w:p>
            <w:pPr>
              <w:spacing w:before="195"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2"/>
                <w:sz w:val="21"/>
                <w:szCs w:val="21"/>
              </w:rPr>
              <w:t>教学信息与反馈</w:t>
            </w:r>
          </w:p>
        </w:tc>
        <w:tc>
          <w:tcPr>
            <w:tcW w:w="4858" w:type="dxa"/>
            <w:vAlign w:val="top"/>
          </w:tcPr>
          <w:p>
            <w:pPr>
              <w:spacing w:before="38" w:line="207" w:lineRule="auto"/>
              <w:ind w:left="100" w:right="103" w:firstLine="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全面收集教学信息，及时反馈给教师和学生，及时</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
                <w:sz w:val="21"/>
                <w:szCs w:val="21"/>
              </w:rPr>
              <w:t>解决教学存在的问题</w:t>
            </w:r>
          </w:p>
        </w:tc>
        <w:tc>
          <w:tcPr>
            <w:tcW w:w="4650" w:type="dxa"/>
            <w:vAlign w:val="top"/>
          </w:tcPr>
          <w:p>
            <w:pPr>
              <w:spacing w:before="195"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较全面收集教学信息，能及时反馈给教师和学生</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43" w:line="180"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教学过程检查</w:t>
            </w:r>
          </w:p>
        </w:tc>
        <w:tc>
          <w:tcPr>
            <w:tcW w:w="4858" w:type="dxa"/>
            <w:vAlign w:val="top"/>
          </w:tcPr>
          <w:p>
            <w:pPr>
              <w:spacing w:before="37" w:line="193"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6"/>
                <w:sz w:val="21"/>
                <w:szCs w:val="21"/>
              </w:rPr>
              <w:t>定期开展听评课、专项检查和抽查，</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20"/>
                <w:w w:val="96"/>
                <w:sz w:val="21"/>
                <w:szCs w:val="21"/>
              </w:rPr>
              <w:t>检查材料和记录完整</w:t>
            </w:r>
          </w:p>
        </w:tc>
        <w:tc>
          <w:tcPr>
            <w:tcW w:w="4650" w:type="dxa"/>
            <w:vAlign w:val="top"/>
          </w:tcPr>
          <w:p>
            <w:pPr>
              <w:spacing w:before="37" w:line="193"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开展教学过程检查，有检查材料和记录</w:t>
            </w:r>
          </w:p>
        </w:tc>
        <w:tc>
          <w:tcPr>
            <w:tcW w:w="454" w:type="dxa"/>
            <w:vAlign w:val="top"/>
          </w:tcPr>
          <w:p>
            <w:pPr>
              <w:spacing w:line="317" w:lineRule="exact"/>
              <w:rPr>
                <w:rFonts w:ascii="Malgun Gothic"/>
                <w:sz w:val="18"/>
              </w:rPr>
            </w:pPr>
          </w:p>
        </w:tc>
        <w:tc>
          <w:tcPr>
            <w:tcW w:w="454" w:type="dxa"/>
            <w:vAlign w:val="top"/>
          </w:tcPr>
          <w:p>
            <w:pPr>
              <w:spacing w:line="317" w:lineRule="exact"/>
              <w:rPr>
                <w:rFonts w:ascii="Malgun Gothic"/>
                <w:sz w:val="18"/>
              </w:rPr>
            </w:pPr>
          </w:p>
        </w:tc>
        <w:tc>
          <w:tcPr>
            <w:tcW w:w="456" w:type="dxa"/>
            <w:vAlign w:val="top"/>
          </w:tcPr>
          <w:p>
            <w:pPr>
              <w:spacing w:line="317" w:lineRule="exact"/>
              <w:rPr>
                <w:rFonts w:ascii="Malgun Gothic"/>
                <w:sz w:val="18"/>
              </w:rPr>
            </w:pPr>
          </w:p>
        </w:tc>
        <w:tc>
          <w:tcPr>
            <w:tcW w:w="464" w:type="dxa"/>
            <w:tcBorders>
              <w:right w:val="single" w:color="000000" w:sz="6" w:space="0"/>
            </w:tcBorders>
            <w:vAlign w:val="top"/>
          </w:tcPr>
          <w:p>
            <w:pPr>
              <w:spacing w:line="317" w:lineRule="exact"/>
              <w:rPr>
                <w:rFonts w:ascii="Malgun Gothic"/>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45" w:line="180"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
                <w:sz w:val="21"/>
                <w:szCs w:val="21"/>
              </w:rPr>
              <w:t>课程教学分析</w:t>
            </w:r>
          </w:p>
        </w:tc>
        <w:tc>
          <w:tcPr>
            <w:tcW w:w="4858" w:type="dxa"/>
            <w:vAlign w:val="top"/>
          </w:tcPr>
          <w:p>
            <w:pPr>
              <w:spacing w:before="42" w:line="180" w:lineRule="auto"/>
              <w:ind w:firstLine="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课程教学符合教学实际，改进提高的措施切实可行</w:t>
            </w:r>
          </w:p>
        </w:tc>
        <w:tc>
          <w:tcPr>
            <w:tcW w:w="4650" w:type="dxa"/>
            <w:vAlign w:val="top"/>
          </w:tcPr>
          <w:p>
            <w:pPr>
              <w:spacing w:before="42"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基本符合教学实际，有改进提高的意见</w:t>
            </w:r>
          </w:p>
        </w:tc>
        <w:tc>
          <w:tcPr>
            <w:tcW w:w="454" w:type="dxa"/>
            <w:vAlign w:val="top"/>
          </w:tcPr>
          <w:p>
            <w:pPr>
              <w:spacing w:line="317" w:lineRule="exact"/>
              <w:rPr>
                <w:rFonts w:ascii="Malgun Gothic"/>
                <w:sz w:val="18"/>
              </w:rPr>
            </w:pPr>
          </w:p>
        </w:tc>
        <w:tc>
          <w:tcPr>
            <w:tcW w:w="454" w:type="dxa"/>
            <w:vAlign w:val="top"/>
          </w:tcPr>
          <w:p>
            <w:pPr>
              <w:spacing w:line="317" w:lineRule="exact"/>
              <w:rPr>
                <w:rFonts w:ascii="Malgun Gothic"/>
                <w:sz w:val="18"/>
              </w:rPr>
            </w:pPr>
          </w:p>
        </w:tc>
        <w:tc>
          <w:tcPr>
            <w:tcW w:w="456" w:type="dxa"/>
            <w:vAlign w:val="top"/>
          </w:tcPr>
          <w:p>
            <w:pPr>
              <w:spacing w:line="317" w:lineRule="exact"/>
              <w:rPr>
                <w:rFonts w:ascii="Malgun Gothic"/>
                <w:sz w:val="18"/>
              </w:rPr>
            </w:pPr>
          </w:p>
        </w:tc>
        <w:tc>
          <w:tcPr>
            <w:tcW w:w="464" w:type="dxa"/>
            <w:tcBorders>
              <w:right w:val="single" w:color="000000" w:sz="6" w:space="0"/>
            </w:tcBorders>
            <w:vAlign w:val="top"/>
          </w:tcPr>
          <w:p>
            <w:pPr>
              <w:spacing w:line="317" w:lineRule="exact"/>
              <w:rPr>
                <w:rFonts w:ascii="Malgun Gothic"/>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199"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3.4</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课程考核与分析</w:t>
            </w:r>
          </w:p>
        </w:tc>
        <w:tc>
          <w:tcPr>
            <w:tcW w:w="4858" w:type="dxa"/>
            <w:vAlign w:val="top"/>
          </w:tcPr>
          <w:p>
            <w:pPr>
              <w:spacing w:before="43" w:line="220" w:lineRule="auto"/>
              <w:ind w:left="101" w:right="10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命题难易度、题量、题型合理，与教学大纲要求一</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
                <w:sz w:val="21"/>
                <w:szCs w:val="21"/>
              </w:rPr>
              <w:t>致；学生成绩呈正态分布</w:t>
            </w:r>
          </w:p>
        </w:tc>
        <w:tc>
          <w:tcPr>
            <w:tcW w:w="4650" w:type="dxa"/>
            <w:vAlign w:val="top"/>
          </w:tcPr>
          <w:p>
            <w:pPr>
              <w:spacing w:before="43" w:line="220" w:lineRule="auto"/>
              <w:ind w:left="105" w:right="97"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命题难易度、题量、题型基本合理，与教学大纲</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
                <w:sz w:val="21"/>
                <w:szCs w:val="21"/>
              </w:rPr>
              <w:t>要求基本一致；学生成绩基本呈正态分布</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30" w:type="dxa"/>
            <w:vMerge w:val="continue"/>
            <w:tcBorders>
              <w:top w:val="nil"/>
              <w:left w:val="single" w:color="000000" w:sz="6" w:space="0"/>
            </w:tcBorders>
            <w:vAlign w:val="top"/>
          </w:tcPr>
          <w:p>
            <w:pPr>
              <w:rPr>
                <w:rFonts w:ascii="Malgun Gothic"/>
                <w:sz w:val="21"/>
              </w:rPr>
            </w:pPr>
          </w:p>
        </w:tc>
        <w:tc>
          <w:tcPr>
            <w:tcW w:w="2158" w:type="dxa"/>
            <w:vAlign w:val="top"/>
          </w:tcPr>
          <w:p>
            <w:pPr>
              <w:spacing w:before="247" w:line="180"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3.5</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教学质量测评</w:t>
            </w:r>
          </w:p>
        </w:tc>
        <w:tc>
          <w:tcPr>
            <w:tcW w:w="4858" w:type="dxa"/>
            <w:vAlign w:val="top"/>
          </w:tcPr>
          <w:p>
            <w:pPr>
              <w:spacing w:before="83" w:line="239" w:lineRule="auto"/>
              <w:ind w:left="100" w:right="103" w:firstLine="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教学质量测评认真，符合教学质量监控要求；学生</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
                <w:sz w:val="21"/>
                <w:szCs w:val="21"/>
              </w:rPr>
              <w:t>评教优良率在</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
                <w:sz w:val="21"/>
                <w:szCs w:val="21"/>
              </w:rPr>
              <w:t>85％以上</w:t>
            </w:r>
          </w:p>
        </w:tc>
        <w:tc>
          <w:tcPr>
            <w:tcW w:w="4650" w:type="dxa"/>
            <w:vAlign w:val="top"/>
          </w:tcPr>
          <w:p>
            <w:pPr>
              <w:spacing w:before="243" w:line="180"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开展教学质量测评，</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8"/>
                <w:sz w:val="21"/>
                <w:szCs w:val="21"/>
              </w:rPr>
              <w:t>学生评教优良率在</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8"/>
                <w:sz w:val="21"/>
                <w:szCs w:val="21"/>
              </w:rPr>
              <w:t>70％以上</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restart"/>
            <w:tcBorders>
              <w:left w:val="single" w:color="000000" w:sz="6" w:space="0"/>
              <w:bottom w:val="nil"/>
            </w:tcBorders>
            <w:vAlign w:val="top"/>
          </w:tcPr>
          <w:p>
            <w:pPr>
              <w:spacing w:before="94" w:line="227" w:lineRule="auto"/>
              <w:ind w:firstLine="30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p>
            <w:pPr>
              <w:spacing w:line="204"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58"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91" w:line="180" w:lineRule="auto"/>
              <w:ind w:firstLine="25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研</w:t>
            </w:r>
          </w:p>
          <w:p>
            <w:pPr>
              <w:spacing w:before="83" w:line="180" w:lineRule="auto"/>
              <w:ind w:firstLine="2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究</w:t>
            </w:r>
          </w:p>
          <w:p>
            <w:pPr>
              <w:spacing w:before="96" w:line="180" w:lineRule="auto"/>
              <w:ind w:firstLine="2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和</w:t>
            </w:r>
          </w:p>
          <w:p>
            <w:pPr>
              <w:spacing w:before="84" w:line="180" w:lineRule="auto"/>
              <w:ind w:firstLine="25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改</w:t>
            </w:r>
          </w:p>
          <w:p>
            <w:pPr>
              <w:spacing w:before="85"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革</w:t>
            </w:r>
          </w:p>
        </w:tc>
        <w:tc>
          <w:tcPr>
            <w:tcW w:w="2158" w:type="dxa"/>
            <w:vAlign w:val="top"/>
          </w:tcPr>
          <w:p>
            <w:pPr>
              <w:spacing w:before="203" w:line="180" w:lineRule="auto"/>
              <w:ind w:firstLine="2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课程教学改革</w:t>
            </w:r>
          </w:p>
        </w:tc>
        <w:tc>
          <w:tcPr>
            <w:tcW w:w="4858" w:type="dxa"/>
            <w:vAlign w:val="top"/>
          </w:tcPr>
          <w:p>
            <w:pPr>
              <w:spacing w:before="46" w:line="206" w:lineRule="auto"/>
              <w:ind w:left="100"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具有现代教育思想和观念，教学内容更新及时，</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6"/>
                <w:sz w:val="21"/>
                <w:szCs w:val="21"/>
              </w:rPr>
              <w:t>实</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施效果好</w:t>
            </w:r>
          </w:p>
        </w:tc>
        <w:tc>
          <w:tcPr>
            <w:tcW w:w="4650" w:type="dxa"/>
            <w:vAlign w:val="top"/>
          </w:tcPr>
          <w:p>
            <w:pPr>
              <w:spacing w:before="46" w:line="207" w:lineRule="auto"/>
              <w:ind w:left="108" w:right="9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有较先进的教育思想观念，</w:t>
            </w:r>
            <w:r>
              <w:rPr>
                <w:rFonts w:ascii="方正书宋简体" w:hAnsi="方正书宋简体" w:eastAsia="方正书宋简体" w:cs="方正书宋简体"/>
                <w:spacing w:val="23"/>
                <w:w w:val="101"/>
                <w:sz w:val="21"/>
                <w:szCs w:val="21"/>
              </w:rPr>
              <w:t xml:space="preserve">  </w:t>
            </w:r>
            <w:r>
              <w:rPr>
                <w:rFonts w:ascii="方正书宋简体" w:hAnsi="方正书宋简体" w:eastAsia="方正书宋简体" w:cs="方正书宋简体"/>
                <w:spacing w:val="-6"/>
                <w:sz w:val="21"/>
                <w:szCs w:val="21"/>
              </w:rPr>
              <w:t>有教学内容改革的计</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划和方案，积极组织实施并有一定效果</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49" w:line="205" w:lineRule="auto"/>
              <w:ind w:left="864" w:right="188" w:hanging="6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
                <w:sz w:val="21"/>
                <w:szCs w:val="21"/>
              </w:rPr>
              <w:t>教学方法与手段</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改革</w:t>
            </w:r>
          </w:p>
        </w:tc>
        <w:tc>
          <w:tcPr>
            <w:tcW w:w="4858" w:type="dxa"/>
            <w:vAlign w:val="top"/>
          </w:tcPr>
          <w:p>
            <w:pPr>
              <w:spacing w:before="47" w:line="220" w:lineRule="auto"/>
              <w:ind w:left="102" w:right="10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课程教学积极采用启发式、研究式、讨论式等教学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方法；多媒体授课比例达</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
                <w:sz w:val="21"/>
                <w:szCs w:val="21"/>
              </w:rPr>
              <w:t>30%以上</w:t>
            </w:r>
          </w:p>
        </w:tc>
        <w:tc>
          <w:tcPr>
            <w:tcW w:w="4650" w:type="dxa"/>
            <w:vAlign w:val="top"/>
          </w:tcPr>
          <w:p>
            <w:pPr>
              <w:spacing w:before="47" w:line="220" w:lineRule="auto"/>
              <w:ind w:left="108" w:right="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有教学方法、教学手段改革的计划和方案，</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4"/>
                <w:sz w:val="21"/>
                <w:szCs w:val="21"/>
              </w:rPr>
              <w:t>积极组</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5"/>
                <w:sz w:val="21"/>
                <w:szCs w:val="21"/>
              </w:rPr>
              <w:t>织实施并有一定效果；</w:t>
            </w:r>
            <w:r>
              <w:rPr>
                <w:rFonts w:ascii="方正书宋简体" w:hAnsi="方正书宋简体" w:eastAsia="方正书宋简体" w:cs="方正书宋简体"/>
                <w:spacing w:val="51"/>
                <w:sz w:val="21"/>
                <w:szCs w:val="21"/>
              </w:rPr>
              <w:t xml:space="preserve"> </w:t>
            </w:r>
            <w:r>
              <w:rPr>
                <w:rFonts w:ascii="方正书宋简体" w:hAnsi="方正书宋简体" w:eastAsia="方正书宋简体" w:cs="方正书宋简体"/>
                <w:spacing w:val="-15"/>
                <w:sz w:val="21"/>
                <w:szCs w:val="21"/>
              </w:rPr>
              <w:t>多媒体授课比例达</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5"/>
                <w:sz w:val="21"/>
                <w:szCs w:val="21"/>
              </w:rPr>
              <w:t>15％以上</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730" w:type="dxa"/>
            <w:vMerge w:val="continue"/>
            <w:tcBorders>
              <w:top w:val="nil"/>
              <w:left w:val="single" w:color="000000" w:sz="6" w:space="0"/>
              <w:bottom w:val="nil"/>
            </w:tcBorders>
            <w:vAlign w:val="top"/>
          </w:tcPr>
          <w:p>
            <w:pPr>
              <w:rPr>
                <w:rFonts w:ascii="Malgun Gothic"/>
                <w:sz w:val="21"/>
              </w:rPr>
            </w:pPr>
          </w:p>
        </w:tc>
        <w:tc>
          <w:tcPr>
            <w:tcW w:w="2158" w:type="dxa"/>
            <w:vAlign w:val="top"/>
          </w:tcPr>
          <w:p>
            <w:pPr>
              <w:spacing w:before="208" w:line="180" w:lineRule="auto"/>
              <w:ind w:firstLine="4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教研活动</w:t>
            </w:r>
          </w:p>
        </w:tc>
        <w:tc>
          <w:tcPr>
            <w:tcW w:w="4858" w:type="dxa"/>
            <w:vAlign w:val="top"/>
          </w:tcPr>
          <w:p>
            <w:pPr>
              <w:spacing w:before="47" w:line="208" w:lineRule="auto"/>
              <w:ind w:left="112" w:right="103" w:hanging="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专题教研活动每学期开展</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
                <w:sz w:val="21"/>
                <w:szCs w:val="21"/>
              </w:rPr>
              <w:t>5</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
                <w:sz w:val="21"/>
                <w:szCs w:val="21"/>
              </w:rPr>
              <w:t>次以上，主题明确，记</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录完整，取得较好效果</w:t>
            </w:r>
          </w:p>
        </w:tc>
        <w:tc>
          <w:tcPr>
            <w:tcW w:w="4650" w:type="dxa"/>
            <w:vAlign w:val="top"/>
          </w:tcPr>
          <w:p>
            <w:pPr>
              <w:spacing w:before="206"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较正常开展教研活动，有活动内容，有记录</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30" w:type="dxa"/>
            <w:vMerge w:val="continue"/>
            <w:tcBorders>
              <w:top w:val="nil"/>
              <w:left w:val="single" w:color="000000" w:sz="6" w:space="0"/>
            </w:tcBorders>
            <w:vAlign w:val="top"/>
          </w:tcPr>
          <w:p>
            <w:pPr>
              <w:rPr>
                <w:rFonts w:ascii="Malgun Gothic"/>
                <w:sz w:val="21"/>
              </w:rPr>
            </w:pPr>
          </w:p>
        </w:tc>
        <w:tc>
          <w:tcPr>
            <w:tcW w:w="2158" w:type="dxa"/>
            <w:vAlign w:val="top"/>
          </w:tcPr>
          <w:p>
            <w:pPr>
              <w:spacing w:before="207" w:line="180" w:lineRule="auto"/>
              <w:ind w:firstLine="1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4.4</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教学研究与成果</w:t>
            </w:r>
          </w:p>
        </w:tc>
        <w:tc>
          <w:tcPr>
            <w:tcW w:w="4858" w:type="dxa"/>
            <w:vAlign w:val="top"/>
          </w:tcPr>
          <w:p>
            <w:pPr>
              <w:spacing w:before="52" w:line="205" w:lineRule="auto"/>
              <w:ind w:left="105" w:right="140"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教研室主持校级以上教学研究项目或结题或获奖，</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或公开发表教学与教学管理论文</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
                <w:sz w:val="21"/>
                <w:szCs w:val="21"/>
              </w:rPr>
              <w:t>2</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
                <w:sz w:val="21"/>
                <w:szCs w:val="21"/>
              </w:rPr>
              <w:t>篇以上</w:t>
            </w:r>
          </w:p>
        </w:tc>
        <w:tc>
          <w:tcPr>
            <w:tcW w:w="4650" w:type="dxa"/>
            <w:vAlign w:val="top"/>
          </w:tcPr>
          <w:p>
            <w:pPr>
              <w:spacing w:before="47" w:line="207" w:lineRule="auto"/>
              <w:ind w:left="109" w:right="97"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参加校级以上教学研究项目或结题或获奖，或发</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表教学与教学管理研究论文</w:t>
            </w:r>
          </w:p>
        </w:tc>
        <w:tc>
          <w:tcPr>
            <w:tcW w:w="454" w:type="dxa"/>
            <w:vAlign w:val="top"/>
          </w:tcPr>
          <w:p>
            <w:pPr>
              <w:rPr>
                <w:rFonts w:ascii="Malgun Gothic"/>
                <w:sz w:val="21"/>
              </w:rPr>
            </w:pPr>
          </w:p>
        </w:tc>
        <w:tc>
          <w:tcPr>
            <w:tcW w:w="454" w:type="dxa"/>
            <w:vAlign w:val="top"/>
          </w:tcPr>
          <w:p>
            <w:pPr>
              <w:rPr>
                <w:rFonts w:ascii="Malgun Gothic"/>
                <w:sz w:val="21"/>
              </w:rPr>
            </w:pPr>
          </w:p>
        </w:tc>
        <w:tc>
          <w:tcPr>
            <w:tcW w:w="456" w:type="dxa"/>
            <w:vAlign w:val="top"/>
          </w:tcPr>
          <w:p>
            <w:pPr>
              <w:rPr>
                <w:rFonts w:ascii="Malgun Gothic"/>
                <w:sz w:val="21"/>
              </w:rPr>
            </w:pPr>
          </w:p>
        </w:tc>
        <w:tc>
          <w:tcPr>
            <w:tcW w:w="4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888" w:type="dxa"/>
            <w:gridSpan w:val="2"/>
            <w:tcBorders>
              <w:left w:val="single" w:color="000000" w:sz="6" w:space="0"/>
            </w:tcBorders>
            <w:vAlign w:val="top"/>
          </w:tcPr>
          <w:p>
            <w:pPr>
              <w:spacing w:before="53" w:line="180" w:lineRule="auto"/>
              <w:ind w:firstLine="102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特色项目</w:t>
            </w:r>
          </w:p>
        </w:tc>
        <w:tc>
          <w:tcPr>
            <w:tcW w:w="9508" w:type="dxa"/>
            <w:gridSpan w:val="2"/>
            <w:vAlign w:val="top"/>
          </w:tcPr>
          <w:p>
            <w:pPr>
              <w:spacing w:before="50"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教研室在教学管理、教学效果及质量控制、教学研究与改革或课程建设等方面的特色。</w:t>
            </w:r>
          </w:p>
        </w:tc>
        <w:tc>
          <w:tcPr>
            <w:tcW w:w="454" w:type="dxa"/>
            <w:vAlign w:val="top"/>
          </w:tcPr>
          <w:p>
            <w:pPr>
              <w:spacing w:line="316" w:lineRule="exact"/>
              <w:rPr>
                <w:rFonts w:ascii="Malgun Gothic"/>
                <w:sz w:val="18"/>
              </w:rPr>
            </w:pPr>
          </w:p>
        </w:tc>
        <w:tc>
          <w:tcPr>
            <w:tcW w:w="454" w:type="dxa"/>
            <w:vAlign w:val="top"/>
          </w:tcPr>
          <w:p>
            <w:pPr>
              <w:spacing w:line="316" w:lineRule="exact"/>
              <w:rPr>
                <w:rFonts w:ascii="Malgun Gothic"/>
                <w:sz w:val="18"/>
              </w:rPr>
            </w:pPr>
          </w:p>
        </w:tc>
        <w:tc>
          <w:tcPr>
            <w:tcW w:w="456" w:type="dxa"/>
            <w:vAlign w:val="top"/>
          </w:tcPr>
          <w:p>
            <w:pPr>
              <w:spacing w:line="316" w:lineRule="exact"/>
              <w:rPr>
                <w:rFonts w:ascii="Malgun Gothic"/>
                <w:sz w:val="18"/>
              </w:rPr>
            </w:pPr>
          </w:p>
        </w:tc>
        <w:tc>
          <w:tcPr>
            <w:tcW w:w="464" w:type="dxa"/>
            <w:tcBorders>
              <w:right w:val="single" w:color="000000" w:sz="6" w:space="0"/>
            </w:tcBorders>
            <w:vAlign w:val="top"/>
          </w:tcPr>
          <w:p>
            <w:pPr>
              <w:spacing w:line="316" w:lineRule="exact"/>
              <w:rPr>
                <w:rFonts w:ascii="Malgun Gothic"/>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2888" w:type="dxa"/>
            <w:gridSpan w:val="2"/>
            <w:tcBorders>
              <w:left w:val="single" w:color="000000" w:sz="6" w:space="0"/>
              <w:bottom w:val="single" w:color="000000" w:sz="6" w:space="0"/>
            </w:tcBorders>
            <w:vAlign w:val="top"/>
          </w:tcPr>
          <w:p>
            <w:pPr>
              <w:spacing w:before="56" w:line="180" w:lineRule="auto"/>
              <w:ind w:firstLine="10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评价结论</w:t>
            </w:r>
          </w:p>
        </w:tc>
        <w:tc>
          <w:tcPr>
            <w:tcW w:w="9508" w:type="dxa"/>
            <w:gridSpan w:val="2"/>
            <w:tcBorders>
              <w:bottom w:val="single" w:color="000000" w:sz="6" w:space="0"/>
            </w:tcBorders>
            <w:vAlign w:val="top"/>
          </w:tcPr>
          <w:p>
            <w:pPr>
              <w:spacing w:line="328" w:lineRule="exact"/>
              <w:rPr>
                <w:rFonts w:ascii="Malgun Gothic"/>
                <w:sz w:val="19"/>
              </w:rPr>
            </w:pPr>
          </w:p>
        </w:tc>
        <w:tc>
          <w:tcPr>
            <w:tcW w:w="454" w:type="dxa"/>
            <w:tcBorders>
              <w:bottom w:val="single" w:color="000000" w:sz="6" w:space="0"/>
            </w:tcBorders>
            <w:vAlign w:val="top"/>
          </w:tcPr>
          <w:p>
            <w:pPr>
              <w:spacing w:line="328" w:lineRule="exact"/>
              <w:rPr>
                <w:rFonts w:ascii="Malgun Gothic"/>
                <w:sz w:val="19"/>
              </w:rPr>
            </w:pPr>
          </w:p>
        </w:tc>
        <w:tc>
          <w:tcPr>
            <w:tcW w:w="454" w:type="dxa"/>
            <w:tcBorders>
              <w:bottom w:val="single" w:color="000000" w:sz="6" w:space="0"/>
            </w:tcBorders>
            <w:vAlign w:val="top"/>
          </w:tcPr>
          <w:p>
            <w:pPr>
              <w:spacing w:line="328" w:lineRule="exact"/>
              <w:rPr>
                <w:rFonts w:ascii="Malgun Gothic"/>
                <w:sz w:val="19"/>
              </w:rPr>
            </w:pPr>
          </w:p>
        </w:tc>
        <w:tc>
          <w:tcPr>
            <w:tcW w:w="456" w:type="dxa"/>
            <w:tcBorders>
              <w:bottom w:val="single" w:color="000000" w:sz="6" w:space="0"/>
            </w:tcBorders>
            <w:vAlign w:val="top"/>
          </w:tcPr>
          <w:p>
            <w:pPr>
              <w:spacing w:line="328" w:lineRule="exact"/>
              <w:rPr>
                <w:rFonts w:ascii="Malgun Gothic"/>
                <w:sz w:val="19"/>
              </w:rPr>
            </w:pPr>
          </w:p>
        </w:tc>
        <w:tc>
          <w:tcPr>
            <w:tcW w:w="464" w:type="dxa"/>
            <w:tcBorders>
              <w:bottom w:val="single" w:color="000000" w:sz="6" w:space="0"/>
              <w:right w:val="single" w:color="000000" w:sz="6" w:space="0"/>
            </w:tcBorders>
            <w:vAlign w:val="top"/>
          </w:tcPr>
          <w:p>
            <w:pPr>
              <w:spacing w:line="328" w:lineRule="exact"/>
              <w:rPr>
                <w:rFonts w:ascii="Malgun Gothic"/>
                <w:sz w:val="19"/>
              </w:rPr>
            </w:pPr>
          </w:p>
        </w:tc>
      </w:tr>
    </w:tbl>
    <w:p>
      <w:pPr>
        <w:spacing w:before="31" w:line="180" w:lineRule="auto"/>
        <w:ind w:firstLine="715"/>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14:textOutline w14:w="2667" w14:cap="flat" w14:cmpd="sng">
            <w14:solidFill>
              <w14:srgbClr w14:val="000000"/>
            </w14:solidFill>
            <w14:prstDash w14:val="solid"/>
            <w14:miter w14:val="1"/>
          </w14:textOutline>
        </w:rPr>
        <w:t>备注：</w:t>
      </w:r>
    </w:p>
    <w:p>
      <w:pPr>
        <w:spacing w:before="30" w:line="197" w:lineRule="auto"/>
        <w:ind w:left="292" w:right="220" w:firstLine="439"/>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1、评价内容</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9"/>
          <w:sz w:val="21"/>
          <w:szCs w:val="21"/>
        </w:rPr>
        <w:t>20</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9"/>
          <w:sz w:val="21"/>
          <w:szCs w:val="21"/>
        </w:rPr>
        <w:t>个，</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重点内容</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9"/>
          <w:sz w:val="21"/>
          <w:szCs w:val="21"/>
        </w:rPr>
        <w:t>14</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9"/>
          <w:sz w:val="21"/>
          <w:szCs w:val="21"/>
        </w:rPr>
        <w:t>个（其中评价内容中的黑体内容为重点内容</w:t>
      </w:r>
      <w:r>
        <w:rPr>
          <w:rFonts w:ascii="方正书宋简体" w:hAnsi="方正书宋简体" w:eastAsia="方正书宋简体" w:cs="方正书宋简体"/>
          <w:spacing w:val="-56"/>
          <w:sz w:val="21"/>
          <w:szCs w:val="21"/>
        </w:rPr>
        <w:t>），</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9"/>
          <w:sz w:val="21"/>
          <w:szCs w:val="21"/>
        </w:rPr>
        <w:t>每项评价等级分为</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9"/>
          <w:sz w:val="21"/>
          <w:szCs w:val="21"/>
        </w:rPr>
        <w:t>A、B、C、D</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9"/>
          <w:sz w:val="21"/>
          <w:szCs w:val="21"/>
        </w:rPr>
        <w:t>四级，</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9"/>
          <w:sz w:val="21"/>
          <w:szCs w:val="21"/>
        </w:rPr>
        <w:t>评价标准给出</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9"/>
          <w:sz w:val="21"/>
          <w:szCs w:val="21"/>
        </w:rPr>
        <w:t>A、C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9"/>
          <w:sz w:val="21"/>
          <w:szCs w:val="21"/>
        </w:rPr>
        <w:t>两级，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介于</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4"/>
          <w:sz w:val="21"/>
          <w:szCs w:val="21"/>
        </w:rPr>
        <w:t>A、C</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4"/>
          <w:sz w:val="21"/>
          <w:szCs w:val="21"/>
        </w:rPr>
        <w:t>之间的为</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B</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4"/>
          <w:sz w:val="21"/>
          <w:szCs w:val="21"/>
        </w:rPr>
        <w:t>级，低于</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4"/>
          <w:sz w:val="21"/>
          <w:szCs w:val="21"/>
        </w:rPr>
        <w:t>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4"/>
          <w:sz w:val="21"/>
          <w:szCs w:val="21"/>
        </w:rPr>
        <w:t>级的为</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4"/>
          <w:sz w:val="21"/>
          <w:szCs w:val="21"/>
        </w:rPr>
        <w:t>D</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rPr>
        <w:t>级。</w:t>
      </w:r>
    </w:p>
    <w:p>
      <w:pPr>
        <w:spacing w:before="31" w:line="206"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2、评价结论分为优秀、良好、合格、不合格四种，其标准如下：</w:t>
      </w:r>
    </w:p>
    <w:p>
      <w:pPr>
        <w:spacing w:line="204" w:lineRule="auto"/>
        <w:ind w:firstLine="7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优秀：</w:t>
      </w:r>
      <w:r>
        <w:rPr>
          <w:rFonts w:ascii="方正书宋简体" w:hAnsi="方正书宋简体" w:eastAsia="方正书宋简体" w:cs="方正书宋简体"/>
          <w:spacing w:val="28"/>
          <w:w w:val="101"/>
          <w:sz w:val="21"/>
          <w:szCs w:val="21"/>
        </w:rPr>
        <w:t xml:space="preserve">  </w:t>
      </w:r>
      <w:r>
        <w:rPr>
          <w:rFonts w:ascii="方正书宋简体" w:hAnsi="方正书宋简体" w:eastAsia="方正书宋简体" w:cs="方正书宋简体"/>
          <w:spacing w:val="-19"/>
          <w:sz w:val="21"/>
          <w:szCs w:val="21"/>
        </w:rPr>
        <w:t>A≥18，</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9"/>
          <w:sz w:val="21"/>
          <w:szCs w:val="21"/>
        </w:rPr>
        <w:t>C≤1，</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9"/>
          <w:sz w:val="21"/>
          <w:szCs w:val="21"/>
        </w:rPr>
        <w:t>D＝0，教学及管理特色鲜明；</w:t>
      </w:r>
    </w:p>
    <w:p>
      <w:pPr>
        <w:spacing w:before="4" w:line="209" w:lineRule="auto"/>
        <w:ind w:firstLine="7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良好：</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16"/>
          <w:sz w:val="21"/>
          <w:szCs w:val="21"/>
        </w:rPr>
        <w:t>A＋B≥17，</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6"/>
          <w:sz w:val="21"/>
          <w:szCs w:val="21"/>
        </w:rPr>
        <w:t>D≤1，教学及管理有特色；</w:t>
      </w:r>
    </w:p>
    <w:p>
      <w:pPr>
        <w:spacing w:line="204" w:lineRule="auto"/>
        <w:ind w:firstLine="7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5"/>
          <w:sz w:val="21"/>
          <w:szCs w:val="21"/>
        </w:rPr>
        <w:t>合格：</w:t>
      </w:r>
      <w:r>
        <w:rPr>
          <w:rFonts w:ascii="方正书宋简体" w:hAnsi="方正书宋简体" w:eastAsia="方正书宋简体" w:cs="方正书宋简体"/>
          <w:spacing w:val="23"/>
          <w:w w:val="101"/>
          <w:sz w:val="21"/>
          <w:szCs w:val="21"/>
        </w:rPr>
        <w:t xml:space="preserve">  </w:t>
      </w:r>
      <w:r>
        <w:rPr>
          <w:rFonts w:ascii="方正书宋简体" w:hAnsi="方正书宋简体" w:eastAsia="方正书宋简体" w:cs="方正书宋简体"/>
          <w:spacing w:val="-20"/>
          <w:w w:val="95"/>
          <w:sz w:val="21"/>
          <w:szCs w:val="21"/>
        </w:rPr>
        <w:t>D≤3；</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0"/>
          <w:w w:val="95"/>
          <w:sz w:val="21"/>
          <w:szCs w:val="21"/>
        </w:rPr>
        <w:t>不合格：</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20"/>
          <w:w w:val="95"/>
          <w:sz w:val="21"/>
          <w:szCs w:val="21"/>
        </w:rPr>
        <w:t>D≥4.</w:t>
      </w:r>
    </w:p>
    <w:p>
      <w:pPr>
        <w:sectPr>
          <w:footerReference r:id="rId54" w:type="default"/>
          <w:pgSz w:w="16840" w:h="11905"/>
          <w:pgMar w:top="1011" w:right="1302" w:bottom="1177" w:left="1298" w:header="0" w:footer="1033" w:gutter="0"/>
          <w:cols w:space="720" w:num="1"/>
        </w:sectPr>
      </w:pPr>
    </w:p>
    <w:p>
      <w:pPr>
        <w:spacing w:before="429" w:line="180" w:lineRule="auto"/>
        <w:ind w:firstLine="44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附件</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0"/>
          <w:sz w:val="24"/>
          <w:szCs w:val="24"/>
        </w:rPr>
        <w:t>2：</w:t>
      </w:r>
    </w:p>
    <w:p>
      <w:pPr>
        <w:spacing w:before="112" w:line="180" w:lineRule="auto"/>
        <w:ind w:firstLine="1756"/>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吉首大学优秀教研室建设绩效评价指标体系</w:t>
      </w:r>
    </w:p>
    <w:p>
      <w:pPr>
        <w:spacing w:before="116" w:line="180" w:lineRule="auto"/>
        <w:ind w:firstLine="4087"/>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（2014</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z w:val="24"/>
          <w:szCs w:val="24"/>
        </w:rPr>
        <w:t>年）</w:t>
      </w:r>
    </w:p>
    <w:p>
      <w:pPr>
        <w:spacing w:line="33" w:lineRule="exact"/>
      </w:pPr>
    </w:p>
    <w:tbl>
      <w:tblPr>
        <w:tblStyle w:val="4"/>
        <w:tblW w:w="9557"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2"/>
        <w:gridCol w:w="707"/>
        <w:gridCol w:w="455"/>
        <w:gridCol w:w="820"/>
        <w:gridCol w:w="6110"/>
        <w:gridCol w:w="592"/>
        <w:gridCol w:w="4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472" w:type="dxa"/>
            <w:tcBorders>
              <w:top w:val="single" w:color="000000" w:sz="6" w:space="0"/>
              <w:left w:val="single" w:color="000000" w:sz="6" w:space="0"/>
            </w:tcBorders>
            <w:textDirection w:val="tbRlV"/>
            <w:vAlign w:val="top"/>
          </w:tcPr>
          <w:p>
            <w:pPr>
              <w:spacing w:before="127" w:line="180" w:lineRule="auto"/>
              <w:ind w:firstLine="74"/>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序</w:t>
            </w:r>
            <w:r>
              <w:rPr>
                <w:rFonts w:ascii="Microsoft JhengHei" w:hAnsi="Microsoft JhengHei" w:eastAsia="Microsoft JhengHei" w:cs="Microsoft JhengHei"/>
                <w:spacing w:val="17"/>
                <w:sz w:val="21"/>
                <w:szCs w:val="21"/>
              </w:rPr>
              <w:t xml:space="preserve"> </w:t>
            </w:r>
            <w:r>
              <w:rPr>
                <w:rFonts w:ascii="Microsoft JhengHei" w:hAnsi="Microsoft JhengHei" w:eastAsia="Microsoft JhengHei" w:cs="Microsoft JhengHei"/>
                <w:spacing w:val="22"/>
                <w:w w:val="102"/>
                <w:sz w:val="21"/>
                <w:szCs w:val="21"/>
              </w:rPr>
              <w:t>号</w:t>
            </w:r>
          </w:p>
        </w:tc>
        <w:tc>
          <w:tcPr>
            <w:tcW w:w="707" w:type="dxa"/>
            <w:tcBorders>
              <w:top w:val="single" w:color="000000" w:sz="6" w:space="0"/>
            </w:tcBorders>
            <w:vAlign w:val="top"/>
          </w:tcPr>
          <w:p>
            <w:pPr>
              <w:spacing w:before="63" w:line="202" w:lineRule="auto"/>
              <w:ind w:firstLine="14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3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455" w:type="dxa"/>
            <w:tcBorders>
              <w:top w:val="single" w:color="000000" w:sz="6" w:space="0"/>
            </w:tcBorders>
            <w:textDirection w:val="tbRlV"/>
            <w:vAlign w:val="top"/>
          </w:tcPr>
          <w:p>
            <w:pPr>
              <w:spacing w:before="122" w:line="180" w:lineRule="auto"/>
              <w:ind w:firstLine="74"/>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7"/>
                <w:sz w:val="21"/>
                <w:szCs w:val="21"/>
              </w:rPr>
              <w:t xml:space="preserve"> </w:t>
            </w:r>
            <w:r>
              <w:rPr>
                <w:rFonts w:ascii="Microsoft JhengHei" w:hAnsi="Microsoft JhengHei" w:eastAsia="Microsoft JhengHei" w:cs="Microsoft JhengHei"/>
                <w:spacing w:val="22"/>
                <w:w w:val="102"/>
                <w:sz w:val="21"/>
                <w:szCs w:val="21"/>
              </w:rPr>
              <w:t>值</w:t>
            </w:r>
          </w:p>
        </w:tc>
        <w:tc>
          <w:tcPr>
            <w:tcW w:w="820" w:type="dxa"/>
            <w:tcBorders>
              <w:top w:val="single" w:color="000000" w:sz="6" w:space="0"/>
            </w:tcBorders>
            <w:vAlign w:val="top"/>
          </w:tcPr>
          <w:p>
            <w:pPr>
              <w:spacing w:before="75" w:line="202" w:lineRule="auto"/>
              <w:ind w:firstLine="201"/>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4" w:lineRule="auto"/>
              <w:ind w:firstLine="197"/>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6110" w:type="dxa"/>
            <w:tcBorders>
              <w:top w:val="single" w:color="000000" w:sz="6" w:space="0"/>
            </w:tcBorders>
            <w:vAlign w:val="top"/>
          </w:tcPr>
          <w:p>
            <w:pPr>
              <w:spacing w:before="227" w:line="180" w:lineRule="auto"/>
              <w:ind w:firstLine="263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指标内涵</w:t>
            </w:r>
          </w:p>
        </w:tc>
        <w:tc>
          <w:tcPr>
            <w:tcW w:w="592" w:type="dxa"/>
            <w:tcBorders>
              <w:top w:val="single" w:color="000000" w:sz="6" w:space="0"/>
            </w:tcBorders>
            <w:textDirection w:val="tbRlV"/>
            <w:vAlign w:val="top"/>
          </w:tcPr>
          <w:p>
            <w:pPr>
              <w:spacing w:before="179" w:line="180" w:lineRule="auto"/>
              <w:ind w:firstLine="62"/>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41"/>
                <w:sz w:val="21"/>
                <w:szCs w:val="21"/>
              </w:rPr>
              <w:t xml:space="preserve"> </w:t>
            </w:r>
            <w:r>
              <w:rPr>
                <w:rFonts w:ascii="Microsoft JhengHei" w:hAnsi="Microsoft JhengHei" w:eastAsia="Microsoft JhengHei" w:cs="Microsoft JhengHei"/>
                <w:spacing w:val="22"/>
                <w:w w:val="102"/>
                <w:sz w:val="21"/>
                <w:szCs w:val="21"/>
              </w:rPr>
              <w:t>值</w:t>
            </w:r>
          </w:p>
        </w:tc>
        <w:tc>
          <w:tcPr>
            <w:tcW w:w="401" w:type="dxa"/>
            <w:tcBorders>
              <w:top w:val="single" w:color="000000" w:sz="6" w:space="0"/>
              <w:right w:val="single" w:color="000000" w:sz="6" w:space="0"/>
            </w:tcBorders>
            <w:textDirection w:val="tbRlV"/>
            <w:vAlign w:val="top"/>
          </w:tcPr>
          <w:p>
            <w:pPr>
              <w:spacing w:before="68" w:line="180" w:lineRule="auto"/>
              <w:ind w:firstLine="74"/>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得</w:t>
            </w:r>
            <w:r>
              <w:rPr>
                <w:rFonts w:ascii="Microsoft JhengHei" w:hAnsi="Microsoft JhengHei" w:eastAsia="Microsoft JhengHei" w:cs="Microsoft JhengHei"/>
                <w:spacing w:val="17"/>
                <w:sz w:val="21"/>
                <w:szCs w:val="21"/>
              </w:rPr>
              <w:t xml:space="preserve"> </w:t>
            </w:r>
            <w:r>
              <w:rPr>
                <w:rFonts w:ascii="Microsoft JhengHei" w:hAnsi="Microsoft JhengHei" w:eastAsia="Microsoft JhengHei" w:cs="Microsoft JhengHei"/>
                <w:spacing w:val="22"/>
                <w:w w:val="102"/>
                <w:sz w:val="21"/>
                <w:szCs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472" w:type="dxa"/>
            <w:vMerge w:val="restart"/>
            <w:tcBorders>
              <w:left w:val="single" w:color="000000" w:sz="6" w:space="0"/>
              <w:bottom w:val="nil"/>
            </w:tcBorders>
            <w:vAlign w:val="top"/>
          </w:tcPr>
          <w:p>
            <w:pPr>
              <w:spacing w:line="347" w:lineRule="auto"/>
              <w:rPr>
                <w:rFonts w:ascii="Malgun Gothic"/>
                <w:sz w:val="21"/>
              </w:rPr>
            </w:pPr>
          </w:p>
          <w:p>
            <w:pPr>
              <w:spacing w:before="75" w:line="180" w:lineRule="auto"/>
              <w:ind w:firstLine="1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707" w:type="dxa"/>
            <w:vMerge w:val="restart"/>
            <w:tcBorders>
              <w:bottom w:val="nil"/>
            </w:tcBorders>
            <w:vAlign w:val="top"/>
          </w:tcPr>
          <w:p>
            <w:pPr>
              <w:spacing w:before="415" w:line="309" w:lineRule="exact"/>
              <w:ind w:firstLine="1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组织</w:t>
            </w:r>
          </w:p>
          <w:p>
            <w:pPr>
              <w:spacing w:line="204"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455" w:type="dxa"/>
            <w:vMerge w:val="restart"/>
            <w:tcBorders>
              <w:bottom w:val="nil"/>
            </w:tcBorders>
            <w:vAlign w:val="top"/>
          </w:tcPr>
          <w:p>
            <w:pPr>
              <w:spacing w:line="347" w:lineRule="auto"/>
              <w:rPr>
                <w:rFonts w:ascii="Malgun Gothic"/>
                <w:sz w:val="21"/>
              </w:rPr>
            </w:pPr>
          </w:p>
          <w:p>
            <w:pPr>
              <w:spacing w:before="75"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820" w:type="dxa"/>
            <w:vAlign w:val="top"/>
          </w:tcPr>
          <w:p>
            <w:pPr>
              <w:spacing w:before="61" w:line="338" w:lineRule="exact"/>
              <w:ind w:firstLine="21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position w:val="10"/>
                <w:sz w:val="21"/>
                <w:szCs w:val="21"/>
              </w:rPr>
              <w:t>队伍</w:t>
            </w:r>
          </w:p>
          <w:p>
            <w:pPr>
              <w:spacing w:line="204"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6110" w:type="dxa"/>
            <w:vAlign w:val="top"/>
          </w:tcPr>
          <w:p>
            <w:pPr>
              <w:spacing w:before="77" w:line="206" w:lineRule="auto"/>
              <w:ind w:left="103" w:right="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教研室成立</w:t>
            </w:r>
            <w:r>
              <w:rPr>
                <w:rFonts w:ascii="方正书宋简体" w:hAnsi="方正书宋简体" w:eastAsia="方正书宋简体" w:cs="方正书宋简体"/>
                <w:spacing w:val="54"/>
                <w:w w:val="101"/>
                <w:sz w:val="21"/>
                <w:szCs w:val="21"/>
              </w:rPr>
              <w:t xml:space="preserve"> </w:t>
            </w:r>
            <w:r>
              <w:rPr>
                <w:rFonts w:ascii="方正书宋简体" w:hAnsi="方正书宋简体" w:eastAsia="方正书宋简体" w:cs="方正书宋简体"/>
                <w:spacing w:val="-10"/>
                <w:w w:val="98"/>
                <w:sz w:val="21"/>
                <w:szCs w:val="21"/>
              </w:rPr>
              <w:t>3</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0"/>
                <w:w w:val="98"/>
                <w:sz w:val="21"/>
                <w:szCs w:val="21"/>
              </w:rPr>
              <w:t>年以上，</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0"/>
                <w:w w:val="98"/>
                <w:sz w:val="21"/>
                <w:szCs w:val="21"/>
              </w:rPr>
              <w:t>有</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0"/>
                <w:w w:val="98"/>
                <w:sz w:val="21"/>
                <w:szCs w:val="21"/>
              </w:rPr>
              <w:t>5</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0"/>
                <w:w w:val="98"/>
                <w:sz w:val="21"/>
                <w:szCs w:val="21"/>
              </w:rPr>
              <w:t>人及以上成员，</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0"/>
                <w:w w:val="98"/>
                <w:sz w:val="21"/>
                <w:szCs w:val="21"/>
              </w:rPr>
              <w:t>年龄结构、学历结构、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学缘结构合理。教研室主任组织与领导教研教改工作能力较强。</w:t>
            </w:r>
          </w:p>
        </w:tc>
        <w:tc>
          <w:tcPr>
            <w:tcW w:w="592" w:type="dxa"/>
            <w:vMerge w:val="restart"/>
            <w:tcBorders>
              <w:bottom w:val="nil"/>
            </w:tcBorders>
            <w:vAlign w:val="top"/>
          </w:tcPr>
          <w:p>
            <w:pPr>
              <w:spacing w:line="347" w:lineRule="auto"/>
              <w:rPr>
                <w:rFonts w:ascii="Malgun Gothic"/>
                <w:sz w:val="21"/>
              </w:rPr>
            </w:pPr>
          </w:p>
          <w:p>
            <w:pPr>
              <w:spacing w:before="75"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01" w:type="dxa"/>
            <w:vMerge w:val="restart"/>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472" w:type="dxa"/>
            <w:vMerge w:val="continue"/>
            <w:tcBorders>
              <w:top w:val="nil"/>
              <w:left w:val="single" w:color="000000" w:sz="6" w:space="0"/>
            </w:tcBorders>
            <w:vAlign w:val="top"/>
          </w:tcPr>
          <w:p>
            <w:pPr>
              <w:rPr>
                <w:rFonts w:ascii="Malgun Gothic"/>
                <w:sz w:val="21"/>
              </w:rPr>
            </w:pPr>
          </w:p>
        </w:tc>
        <w:tc>
          <w:tcPr>
            <w:tcW w:w="707" w:type="dxa"/>
            <w:vMerge w:val="continue"/>
            <w:tcBorders>
              <w:top w:val="nil"/>
            </w:tcBorders>
            <w:vAlign w:val="top"/>
          </w:tcPr>
          <w:p>
            <w:pPr>
              <w:rPr>
                <w:rFonts w:ascii="Malgun Gothic"/>
                <w:sz w:val="21"/>
              </w:rPr>
            </w:pPr>
          </w:p>
        </w:tc>
        <w:tc>
          <w:tcPr>
            <w:tcW w:w="455" w:type="dxa"/>
            <w:vMerge w:val="continue"/>
            <w:tcBorders>
              <w:top w:val="nil"/>
            </w:tcBorders>
            <w:vAlign w:val="top"/>
          </w:tcPr>
          <w:p>
            <w:pPr>
              <w:rPr>
                <w:rFonts w:ascii="Malgun Gothic"/>
                <w:sz w:val="21"/>
              </w:rPr>
            </w:pPr>
          </w:p>
        </w:tc>
        <w:tc>
          <w:tcPr>
            <w:tcW w:w="820" w:type="dxa"/>
            <w:vAlign w:val="top"/>
          </w:tcPr>
          <w:p>
            <w:pPr>
              <w:spacing w:before="65" w:line="311"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制度</w:t>
            </w:r>
          </w:p>
          <w:p>
            <w:pPr>
              <w:spacing w:line="204"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6110" w:type="dxa"/>
            <w:vAlign w:val="top"/>
          </w:tcPr>
          <w:p>
            <w:pPr>
              <w:spacing w:before="64" w:line="220" w:lineRule="auto"/>
              <w:ind w:left="104" w:right="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6"/>
                <w:sz w:val="21"/>
                <w:szCs w:val="21"/>
              </w:rPr>
              <w:t>教研室有健全的规章制度，</w:t>
            </w:r>
            <w:r>
              <w:rPr>
                <w:rFonts w:ascii="方正书宋简体" w:hAnsi="方正书宋简体" w:eastAsia="方正书宋简体" w:cs="方正书宋简体"/>
                <w:spacing w:val="32"/>
                <w:sz w:val="21"/>
                <w:szCs w:val="21"/>
              </w:rPr>
              <w:t xml:space="preserve">  </w:t>
            </w:r>
            <w:r>
              <w:rPr>
                <w:rFonts w:ascii="方正书宋简体" w:hAnsi="方正书宋简体" w:eastAsia="方正书宋简体" w:cs="方正书宋简体"/>
                <w:spacing w:val="-20"/>
                <w:w w:val="96"/>
                <w:sz w:val="21"/>
                <w:szCs w:val="21"/>
              </w:rPr>
              <w:t>如会议制度、听课制度等，</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0"/>
                <w:w w:val="96"/>
                <w:sz w:val="21"/>
                <w:szCs w:val="21"/>
              </w:rPr>
              <w:t>并认真执行。有</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0"/>
                <w:w w:val="95"/>
                <w:sz w:val="21"/>
                <w:szCs w:val="21"/>
              </w:rPr>
              <w:t>年度工作计划、工作重点与工作总结。管理科学，</w:t>
            </w:r>
            <w:r>
              <w:rPr>
                <w:rFonts w:ascii="方正书宋简体" w:hAnsi="方正书宋简体" w:eastAsia="方正书宋简体" w:cs="方正书宋简体"/>
                <w:spacing w:val="91"/>
                <w:sz w:val="21"/>
                <w:szCs w:val="21"/>
              </w:rPr>
              <w:t xml:space="preserve"> </w:t>
            </w:r>
            <w:r>
              <w:rPr>
                <w:rFonts w:ascii="方正书宋简体" w:hAnsi="方正书宋简体" w:eastAsia="方正书宋简体" w:cs="方正书宋简体"/>
                <w:spacing w:val="-20"/>
                <w:w w:val="95"/>
                <w:sz w:val="21"/>
                <w:szCs w:val="21"/>
              </w:rPr>
              <w:t>执行有力，</w:t>
            </w:r>
            <w:r>
              <w:rPr>
                <w:rFonts w:ascii="方正书宋简体" w:hAnsi="方正书宋简体" w:eastAsia="方正书宋简体" w:cs="方正书宋简体"/>
                <w:spacing w:val="48"/>
                <w:w w:val="101"/>
                <w:sz w:val="21"/>
                <w:szCs w:val="21"/>
              </w:rPr>
              <w:t xml:space="preserve"> </w:t>
            </w:r>
            <w:r>
              <w:rPr>
                <w:rFonts w:ascii="方正书宋简体" w:hAnsi="方正书宋简体" w:eastAsia="方正书宋简体" w:cs="方正书宋简体"/>
                <w:spacing w:val="-20"/>
                <w:w w:val="95"/>
                <w:sz w:val="21"/>
                <w:szCs w:val="21"/>
              </w:rPr>
              <w:t>落实到位。</w:t>
            </w:r>
          </w:p>
        </w:tc>
        <w:tc>
          <w:tcPr>
            <w:tcW w:w="592" w:type="dxa"/>
            <w:vMerge w:val="continue"/>
            <w:tcBorders>
              <w:top w:val="nil"/>
            </w:tcBorders>
            <w:vAlign w:val="top"/>
          </w:tcPr>
          <w:p>
            <w:pPr>
              <w:rPr>
                <w:rFonts w:ascii="Malgun Gothic"/>
                <w:sz w:val="21"/>
              </w:rPr>
            </w:pPr>
          </w:p>
        </w:tc>
        <w:tc>
          <w:tcPr>
            <w:tcW w:w="401"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472" w:type="dxa"/>
            <w:vMerge w:val="restart"/>
            <w:tcBorders>
              <w:left w:val="single" w:color="000000" w:sz="6" w:space="0"/>
              <w:bottom w:val="nil"/>
            </w:tcBorders>
            <w:vAlign w:val="top"/>
          </w:tcPr>
          <w:p>
            <w:pPr>
              <w:spacing w:line="282"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before="75" w:line="180" w:lineRule="auto"/>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07" w:type="dxa"/>
            <w:vMerge w:val="restart"/>
            <w:tcBorders>
              <w:bottom w:val="nil"/>
            </w:tcBorders>
            <w:vAlign w:val="top"/>
          </w:tcPr>
          <w:p>
            <w:pPr>
              <w:spacing w:line="258"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before="75"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p>
            <w:pPr>
              <w:spacing w:before="111" w:line="180" w:lineRule="auto"/>
              <w:ind w:firstLine="14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活动</w:t>
            </w:r>
          </w:p>
          <w:p>
            <w:pPr>
              <w:spacing w:before="111" w:line="180" w:lineRule="auto"/>
              <w:ind w:firstLine="24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08" w:line="180" w:lineRule="auto"/>
              <w:ind w:firstLine="1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w:t>
            </w:r>
          </w:p>
        </w:tc>
        <w:tc>
          <w:tcPr>
            <w:tcW w:w="455" w:type="dxa"/>
            <w:vMerge w:val="restart"/>
            <w:tcBorders>
              <w:bottom w:val="nil"/>
            </w:tcBorders>
            <w:vAlign w:val="top"/>
          </w:tcPr>
          <w:p>
            <w:pPr>
              <w:spacing w:line="281" w:lineRule="auto"/>
              <w:rPr>
                <w:rFonts w:ascii="Malgun Gothic"/>
                <w:sz w:val="21"/>
              </w:rPr>
            </w:pPr>
          </w:p>
          <w:p>
            <w:pPr>
              <w:spacing w:line="281"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before="75" w:line="180" w:lineRule="auto"/>
              <w:ind w:firstLine="1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65</w:t>
            </w:r>
          </w:p>
        </w:tc>
        <w:tc>
          <w:tcPr>
            <w:tcW w:w="820" w:type="dxa"/>
            <w:vAlign w:val="top"/>
          </w:tcPr>
          <w:p>
            <w:pPr>
              <w:spacing w:before="67" w:line="310"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任务</w:t>
            </w:r>
          </w:p>
        </w:tc>
        <w:tc>
          <w:tcPr>
            <w:tcW w:w="6110" w:type="dxa"/>
            <w:vAlign w:val="top"/>
          </w:tcPr>
          <w:p>
            <w:pPr>
              <w:spacing w:before="64" w:line="207" w:lineRule="auto"/>
              <w:ind w:left="103" w:right="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教研室成员积极承担教学任务，教学工作量饱满，各项教学任务</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2"/>
                <w:sz w:val="21"/>
                <w:szCs w:val="21"/>
              </w:rPr>
              <w:t>完成效果好，无教学事故发生。</w:t>
            </w:r>
          </w:p>
        </w:tc>
        <w:tc>
          <w:tcPr>
            <w:tcW w:w="592" w:type="dxa"/>
            <w:vAlign w:val="top"/>
          </w:tcPr>
          <w:p>
            <w:pPr>
              <w:spacing w:before="252"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472" w:type="dxa"/>
            <w:vMerge w:val="continue"/>
            <w:tcBorders>
              <w:top w:val="nil"/>
              <w:left w:val="single" w:color="000000" w:sz="6" w:space="0"/>
              <w:bottom w:val="nil"/>
            </w:tcBorders>
            <w:vAlign w:val="top"/>
          </w:tcPr>
          <w:p>
            <w:pPr>
              <w:rPr>
                <w:rFonts w:ascii="Malgun Gothic"/>
                <w:sz w:val="21"/>
              </w:rPr>
            </w:pPr>
          </w:p>
        </w:tc>
        <w:tc>
          <w:tcPr>
            <w:tcW w:w="707" w:type="dxa"/>
            <w:vMerge w:val="continue"/>
            <w:tcBorders>
              <w:top w:val="nil"/>
              <w:bottom w:val="nil"/>
            </w:tcBorders>
            <w:vAlign w:val="top"/>
          </w:tcPr>
          <w:p>
            <w:pPr>
              <w:rPr>
                <w:rFonts w:ascii="Malgun Gothic"/>
                <w:sz w:val="21"/>
              </w:rPr>
            </w:pPr>
          </w:p>
        </w:tc>
        <w:tc>
          <w:tcPr>
            <w:tcW w:w="455" w:type="dxa"/>
            <w:vMerge w:val="continue"/>
            <w:tcBorders>
              <w:top w:val="nil"/>
              <w:bottom w:val="nil"/>
            </w:tcBorders>
            <w:vAlign w:val="top"/>
          </w:tcPr>
          <w:p>
            <w:pPr>
              <w:rPr>
                <w:rFonts w:ascii="Malgun Gothic"/>
                <w:sz w:val="21"/>
              </w:rPr>
            </w:pPr>
          </w:p>
        </w:tc>
        <w:tc>
          <w:tcPr>
            <w:tcW w:w="820" w:type="dxa"/>
            <w:vAlign w:val="top"/>
          </w:tcPr>
          <w:p>
            <w:pPr>
              <w:spacing w:before="69" w:line="312"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研讨</w:t>
            </w:r>
          </w:p>
        </w:tc>
        <w:tc>
          <w:tcPr>
            <w:tcW w:w="6110" w:type="dxa"/>
            <w:vAlign w:val="top"/>
          </w:tcPr>
          <w:p>
            <w:pPr>
              <w:spacing w:before="63" w:line="208" w:lineRule="auto"/>
              <w:ind w:left="101" w:right="9"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教研室积极开展集体备课、集体制作多媒体课件与公开课教学等主题</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20"/>
                <w:w w:val="97"/>
                <w:sz w:val="21"/>
                <w:szCs w:val="21"/>
              </w:rPr>
              <w:t>研讨活动，</w:t>
            </w:r>
            <w:r>
              <w:rPr>
                <w:rFonts w:ascii="方正书宋简体" w:hAnsi="方正书宋简体" w:eastAsia="方正书宋简体" w:cs="方正书宋简体"/>
                <w:spacing w:val="51"/>
                <w:sz w:val="21"/>
                <w:szCs w:val="21"/>
              </w:rPr>
              <w:t xml:space="preserve"> </w:t>
            </w:r>
            <w:r>
              <w:rPr>
                <w:rFonts w:ascii="方正书宋简体" w:hAnsi="方正书宋简体" w:eastAsia="方正书宋简体" w:cs="方正书宋简体"/>
                <w:spacing w:val="-20"/>
                <w:w w:val="97"/>
                <w:sz w:val="21"/>
                <w:szCs w:val="21"/>
              </w:rPr>
              <w:t>组织教师相互听课、评课与交流，</w:t>
            </w:r>
            <w:r>
              <w:rPr>
                <w:rFonts w:ascii="方正书宋简体" w:hAnsi="方正书宋简体" w:eastAsia="方正书宋简体" w:cs="方正书宋简体"/>
                <w:spacing w:val="49"/>
                <w:sz w:val="21"/>
                <w:szCs w:val="21"/>
              </w:rPr>
              <w:t xml:space="preserve"> </w:t>
            </w:r>
            <w:r>
              <w:rPr>
                <w:rFonts w:ascii="方正书宋简体" w:hAnsi="方正书宋简体" w:eastAsia="方正书宋简体" w:cs="方正书宋简体"/>
                <w:spacing w:val="-20"/>
                <w:w w:val="97"/>
                <w:sz w:val="21"/>
                <w:szCs w:val="21"/>
              </w:rPr>
              <w:t>有记录，</w:t>
            </w:r>
            <w:r>
              <w:rPr>
                <w:rFonts w:ascii="方正书宋简体" w:hAnsi="方正书宋简体" w:eastAsia="方正书宋简体" w:cs="方正书宋简体"/>
                <w:spacing w:val="39"/>
                <w:sz w:val="21"/>
                <w:szCs w:val="21"/>
              </w:rPr>
              <w:t xml:space="preserve"> </w:t>
            </w:r>
            <w:r>
              <w:rPr>
                <w:rFonts w:ascii="方正书宋简体" w:hAnsi="方正书宋简体" w:eastAsia="方正书宋简体" w:cs="方正书宋简体"/>
                <w:spacing w:val="-20"/>
                <w:w w:val="97"/>
                <w:sz w:val="21"/>
                <w:szCs w:val="21"/>
              </w:rPr>
              <w:t>文档保存完整。</w:t>
            </w:r>
          </w:p>
        </w:tc>
        <w:tc>
          <w:tcPr>
            <w:tcW w:w="592" w:type="dxa"/>
            <w:vAlign w:val="top"/>
          </w:tcPr>
          <w:p>
            <w:pPr>
              <w:spacing w:before="254" w:line="180" w:lineRule="auto"/>
              <w:ind w:firstLine="1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472" w:type="dxa"/>
            <w:vMerge w:val="continue"/>
            <w:tcBorders>
              <w:top w:val="nil"/>
              <w:left w:val="single" w:color="000000" w:sz="6" w:space="0"/>
              <w:bottom w:val="nil"/>
            </w:tcBorders>
            <w:vAlign w:val="top"/>
          </w:tcPr>
          <w:p>
            <w:pPr>
              <w:rPr>
                <w:rFonts w:ascii="Malgun Gothic"/>
                <w:sz w:val="21"/>
              </w:rPr>
            </w:pPr>
          </w:p>
        </w:tc>
        <w:tc>
          <w:tcPr>
            <w:tcW w:w="707" w:type="dxa"/>
            <w:vMerge w:val="continue"/>
            <w:tcBorders>
              <w:top w:val="nil"/>
              <w:bottom w:val="nil"/>
            </w:tcBorders>
            <w:vAlign w:val="top"/>
          </w:tcPr>
          <w:p>
            <w:pPr>
              <w:rPr>
                <w:rFonts w:ascii="Malgun Gothic"/>
                <w:sz w:val="21"/>
              </w:rPr>
            </w:pPr>
          </w:p>
        </w:tc>
        <w:tc>
          <w:tcPr>
            <w:tcW w:w="455" w:type="dxa"/>
            <w:vMerge w:val="continue"/>
            <w:tcBorders>
              <w:top w:val="nil"/>
              <w:bottom w:val="nil"/>
            </w:tcBorders>
            <w:vAlign w:val="top"/>
          </w:tcPr>
          <w:p>
            <w:pPr>
              <w:rPr>
                <w:rFonts w:ascii="Malgun Gothic"/>
                <w:sz w:val="21"/>
              </w:rPr>
            </w:pPr>
          </w:p>
        </w:tc>
        <w:tc>
          <w:tcPr>
            <w:tcW w:w="820" w:type="dxa"/>
            <w:vAlign w:val="top"/>
          </w:tcPr>
          <w:p>
            <w:pPr>
              <w:spacing w:before="71" w:line="313"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w:t>
            </w:r>
          </w:p>
        </w:tc>
        <w:tc>
          <w:tcPr>
            <w:tcW w:w="6110" w:type="dxa"/>
            <w:vAlign w:val="top"/>
          </w:tcPr>
          <w:p>
            <w:pPr>
              <w:spacing w:before="68" w:line="207" w:lineRule="auto"/>
              <w:ind w:left="103" w:right="12"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积极开展课程教学质量与效果的分析和评价，教研室成员任教的课</w:t>
            </w:r>
            <w:r>
              <w:rPr>
                <w:rFonts w:ascii="方正书宋简体" w:hAnsi="方正书宋简体" w:eastAsia="方正书宋简体" w:cs="方正书宋简体"/>
                <w:spacing w:val="8"/>
                <w:w w:val="102"/>
                <w:sz w:val="21"/>
                <w:szCs w:val="21"/>
              </w:rPr>
              <w:t xml:space="preserve">  </w:t>
            </w:r>
            <w:r>
              <w:rPr>
                <w:rFonts w:ascii="方正书宋简体" w:hAnsi="方正书宋简体" w:eastAsia="方正书宋简体" w:cs="方正书宋简体"/>
                <w:spacing w:val="-15"/>
                <w:sz w:val="21"/>
                <w:szCs w:val="21"/>
              </w:rPr>
              <w:t>程在专家评价、同行评价、学生评价中获得好评，</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5"/>
                <w:sz w:val="21"/>
                <w:szCs w:val="21"/>
              </w:rPr>
              <w:t>没有不合格评价。</w:t>
            </w:r>
          </w:p>
        </w:tc>
        <w:tc>
          <w:tcPr>
            <w:tcW w:w="592" w:type="dxa"/>
            <w:vAlign w:val="top"/>
          </w:tcPr>
          <w:p>
            <w:pPr>
              <w:spacing w:before="256"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472" w:type="dxa"/>
            <w:vMerge w:val="continue"/>
            <w:tcBorders>
              <w:top w:val="nil"/>
              <w:left w:val="single" w:color="000000" w:sz="6" w:space="0"/>
              <w:bottom w:val="nil"/>
            </w:tcBorders>
            <w:vAlign w:val="top"/>
          </w:tcPr>
          <w:p>
            <w:pPr>
              <w:rPr>
                <w:rFonts w:ascii="Malgun Gothic"/>
                <w:sz w:val="21"/>
              </w:rPr>
            </w:pPr>
          </w:p>
        </w:tc>
        <w:tc>
          <w:tcPr>
            <w:tcW w:w="707" w:type="dxa"/>
            <w:vMerge w:val="continue"/>
            <w:tcBorders>
              <w:top w:val="nil"/>
              <w:bottom w:val="nil"/>
            </w:tcBorders>
            <w:vAlign w:val="top"/>
          </w:tcPr>
          <w:p>
            <w:pPr>
              <w:rPr>
                <w:rFonts w:ascii="Malgun Gothic"/>
                <w:sz w:val="21"/>
              </w:rPr>
            </w:pPr>
          </w:p>
        </w:tc>
        <w:tc>
          <w:tcPr>
            <w:tcW w:w="455" w:type="dxa"/>
            <w:vMerge w:val="continue"/>
            <w:tcBorders>
              <w:top w:val="nil"/>
              <w:bottom w:val="nil"/>
            </w:tcBorders>
            <w:vAlign w:val="top"/>
          </w:tcPr>
          <w:p>
            <w:pPr>
              <w:rPr>
                <w:rFonts w:ascii="Malgun Gothic"/>
                <w:sz w:val="21"/>
              </w:rPr>
            </w:pPr>
          </w:p>
        </w:tc>
        <w:tc>
          <w:tcPr>
            <w:tcW w:w="820" w:type="dxa"/>
            <w:vAlign w:val="top"/>
          </w:tcPr>
          <w:p>
            <w:pPr>
              <w:spacing w:before="73" w:line="313"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教师</w:t>
            </w:r>
          </w:p>
          <w:p>
            <w:pPr>
              <w:spacing w:line="204"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p>
            <w:pPr>
              <w:spacing w:before="53" w:line="180"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w:t>
            </w:r>
          </w:p>
        </w:tc>
        <w:tc>
          <w:tcPr>
            <w:tcW w:w="6110" w:type="dxa"/>
            <w:vAlign w:val="top"/>
          </w:tcPr>
          <w:p>
            <w:pPr>
              <w:spacing w:before="69" w:line="222" w:lineRule="auto"/>
              <w:ind w:left="102" w:right="9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组织教研室成员积极参加学校组织的各项教学竞赛活动，</w:t>
            </w:r>
            <w:r>
              <w:rPr>
                <w:rFonts w:ascii="方正书宋简体" w:hAnsi="方正书宋简体" w:eastAsia="方正书宋简体" w:cs="方正书宋简体"/>
                <w:spacing w:val="29"/>
                <w:sz w:val="21"/>
                <w:szCs w:val="21"/>
              </w:rPr>
              <w:t xml:space="preserve">  </w:t>
            </w:r>
            <w:r>
              <w:rPr>
                <w:rFonts w:ascii="方正书宋简体" w:hAnsi="方正书宋简体" w:eastAsia="方正书宋简体" w:cs="方正书宋简体"/>
                <w:spacing w:val="-5"/>
                <w:sz w:val="21"/>
                <w:szCs w:val="21"/>
              </w:rPr>
              <w:t>获得过</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z w:val="21"/>
                <w:szCs w:val="21"/>
              </w:rPr>
              <w:t>校级、省级、国家级课堂教学竞赛、微课教学竞赛、现代教育技</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3"/>
                <w:sz w:val="21"/>
                <w:szCs w:val="21"/>
              </w:rPr>
              <w:t>术应用竞赛奖励等。</w:t>
            </w:r>
          </w:p>
        </w:tc>
        <w:tc>
          <w:tcPr>
            <w:tcW w:w="592" w:type="dxa"/>
            <w:vAlign w:val="top"/>
          </w:tcPr>
          <w:p>
            <w:pPr>
              <w:spacing w:before="415"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472" w:type="dxa"/>
            <w:vMerge w:val="continue"/>
            <w:tcBorders>
              <w:top w:val="nil"/>
              <w:left w:val="single" w:color="000000" w:sz="6" w:space="0"/>
            </w:tcBorders>
            <w:vAlign w:val="top"/>
          </w:tcPr>
          <w:p>
            <w:pPr>
              <w:rPr>
                <w:rFonts w:ascii="Malgun Gothic"/>
                <w:sz w:val="21"/>
              </w:rPr>
            </w:pPr>
          </w:p>
        </w:tc>
        <w:tc>
          <w:tcPr>
            <w:tcW w:w="707" w:type="dxa"/>
            <w:vMerge w:val="continue"/>
            <w:tcBorders>
              <w:top w:val="nil"/>
            </w:tcBorders>
            <w:vAlign w:val="top"/>
          </w:tcPr>
          <w:p>
            <w:pPr>
              <w:rPr>
                <w:rFonts w:ascii="Malgun Gothic"/>
                <w:sz w:val="21"/>
              </w:rPr>
            </w:pPr>
          </w:p>
        </w:tc>
        <w:tc>
          <w:tcPr>
            <w:tcW w:w="455" w:type="dxa"/>
            <w:vMerge w:val="continue"/>
            <w:tcBorders>
              <w:top w:val="nil"/>
            </w:tcBorders>
            <w:vAlign w:val="top"/>
          </w:tcPr>
          <w:p>
            <w:pPr>
              <w:rPr>
                <w:rFonts w:ascii="Malgun Gothic"/>
                <w:sz w:val="21"/>
              </w:rPr>
            </w:pPr>
          </w:p>
        </w:tc>
        <w:tc>
          <w:tcPr>
            <w:tcW w:w="820" w:type="dxa"/>
            <w:vAlign w:val="top"/>
          </w:tcPr>
          <w:p>
            <w:pPr>
              <w:spacing w:before="76" w:line="205" w:lineRule="auto"/>
              <w:ind w:left="116" w:right="104"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学生学</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科竞赛</w:t>
            </w:r>
          </w:p>
        </w:tc>
        <w:tc>
          <w:tcPr>
            <w:tcW w:w="6110" w:type="dxa"/>
            <w:vAlign w:val="top"/>
          </w:tcPr>
          <w:p>
            <w:pPr>
              <w:spacing w:before="71" w:line="207" w:lineRule="auto"/>
              <w:ind w:left="104" w:right="94" w:hanging="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教研室成员鼓励与组织学生积极参加各种学科教学竞赛活动，指</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2"/>
                <w:sz w:val="21"/>
                <w:szCs w:val="21"/>
              </w:rPr>
              <w:t>导学生获得过校级、省级、国家级各类学科竞赛奖励。</w:t>
            </w:r>
          </w:p>
        </w:tc>
        <w:tc>
          <w:tcPr>
            <w:tcW w:w="592" w:type="dxa"/>
            <w:vAlign w:val="top"/>
          </w:tcPr>
          <w:p>
            <w:pPr>
              <w:spacing w:before="258"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15</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472" w:type="dxa"/>
            <w:vMerge w:val="restart"/>
            <w:tcBorders>
              <w:left w:val="single" w:color="000000" w:sz="6" w:space="0"/>
              <w:bottom w:val="nil"/>
            </w:tcBorders>
            <w:vAlign w:val="top"/>
          </w:tcPr>
          <w:p>
            <w:pPr>
              <w:spacing w:line="299" w:lineRule="auto"/>
              <w:rPr>
                <w:rFonts w:ascii="Malgun Gothic"/>
                <w:sz w:val="21"/>
              </w:rPr>
            </w:pPr>
          </w:p>
          <w:p>
            <w:pPr>
              <w:spacing w:line="299" w:lineRule="auto"/>
              <w:rPr>
                <w:rFonts w:ascii="Malgun Gothic"/>
                <w:sz w:val="21"/>
              </w:rPr>
            </w:pPr>
          </w:p>
          <w:p>
            <w:pPr>
              <w:spacing w:line="300" w:lineRule="auto"/>
              <w:rPr>
                <w:rFonts w:ascii="Malgun Gothic"/>
                <w:sz w:val="21"/>
              </w:rPr>
            </w:pPr>
          </w:p>
          <w:p>
            <w:pPr>
              <w:spacing w:before="76" w:line="180" w:lineRule="auto"/>
              <w:ind w:firstLine="18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07" w:type="dxa"/>
            <w:vMerge w:val="restart"/>
            <w:tcBorders>
              <w:bottom w:val="nil"/>
            </w:tcBorders>
            <w:vAlign w:val="top"/>
          </w:tcPr>
          <w:p>
            <w:pPr>
              <w:spacing w:line="280" w:lineRule="auto"/>
              <w:rPr>
                <w:rFonts w:ascii="Malgun Gothic"/>
                <w:sz w:val="21"/>
              </w:rPr>
            </w:pPr>
          </w:p>
          <w:p>
            <w:pPr>
              <w:spacing w:line="281" w:lineRule="auto"/>
              <w:rPr>
                <w:rFonts w:ascii="Malgun Gothic"/>
                <w:sz w:val="21"/>
              </w:rPr>
            </w:pPr>
          </w:p>
          <w:p>
            <w:pPr>
              <w:spacing w:before="75" w:line="180" w:lineRule="auto"/>
              <w:ind w:firstLine="13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p>
            <w:pPr>
              <w:spacing w:before="86" w:line="180" w:lineRule="auto"/>
              <w:ind w:firstLine="1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w:t>
            </w:r>
          </w:p>
          <w:p>
            <w:pPr>
              <w:spacing w:before="88" w:line="180" w:lineRule="auto"/>
              <w:ind w:firstLine="24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09"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455" w:type="dxa"/>
            <w:vMerge w:val="restart"/>
            <w:tcBorders>
              <w:bottom w:val="nil"/>
            </w:tcBorders>
            <w:vAlign w:val="top"/>
          </w:tcPr>
          <w:p>
            <w:pPr>
              <w:spacing w:line="299" w:lineRule="auto"/>
              <w:rPr>
                <w:rFonts w:ascii="Malgun Gothic"/>
                <w:sz w:val="21"/>
              </w:rPr>
            </w:pPr>
          </w:p>
          <w:p>
            <w:pPr>
              <w:spacing w:line="299" w:lineRule="auto"/>
              <w:rPr>
                <w:rFonts w:ascii="Malgun Gothic"/>
                <w:sz w:val="21"/>
              </w:rPr>
            </w:pPr>
          </w:p>
          <w:p>
            <w:pPr>
              <w:spacing w:line="300" w:lineRule="auto"/>
              <w:rPr>
                <w:rFonts w:ascii="Malgun Gothic"/>
                <w:sz w:val="21"/>
              </w:rPr>
            </w:pPr>
          </w:p>
          <w:p>
            <w:pPr>
              <w:spacing w:before="76" w:line="180" w:lineRule="auto"/>
              <w:ind w:firstLine="11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820" w:type="dxa"/>
            <w:vAlign w:val="top"/>
          </w:tcPr>
          <w:p>
            <w:pPr>
              <w:spacing w:before="73" w:line="312"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w:t>
            </w:r>
          </w:p>
        </w:tc>
        <w:tc>
          <w:tcPr>
            <w:tcW w:w="6110" w:type="dxa"/>
            <w:vAlign w:val="top"/>
          </w:tcPr>
          <w:p>
            <w:pPr>
              <w:spacing w:before="72" w:line="205" w:lineRule="auto"/>
              <w:ind w:left="103" w:right="2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组织教研室成员积极开展教学内容、教学方法与手段的改革研究，</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2"/>
                <w:sz w:val="21"/>
                <w:szCs w:val="21"/>
              </w:rPr>
              <w:t>有校级、省级或国家级教学改革研究立项项目。</w:t>
            </w:r>
          </w:p>
        </w:tc>
        <w:tc>
          <w:tcPr>
            <w:tcW w:w="592" w:type="dxa"/>
            <w:vAlign w:val="top"/>
          </w:tcPr>
          <w:p>
            <w:pPr>
              <w:spacing w:before="258"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472" w:type="dxa"/>
            <w:vMerge w:val="continue"/>
            <w:tcBorders>
              <w:top w:val="nil"/>
              <w:left w:val="single" w:color="000000" w:sz="6" w:space="0"/>
              <w:bottom w:val="nil"/>
            </w:tcBorders>
            <w:vAlign w:val="top"/>
          </w:tcPr>
          <w:p>
            <w:pPr>
              <w:rPr>
                <w:rFonts w:ascii="Malgun Gothic"/>
                <w:sz w:val="21"/>
              </w:rPr>
            </w:pPr>
          </w:p>
        </w:tc>
        <w:tc>
          <w:tcPr>
            <w:tcW w:w="707" w:type="dxa"/>
            <w:vMerge w:val="continue"/>
            <w:tcBorders>
              <w:top w:val="nil"/>
              <w:bottom w:val="nil"/>
            </w:tcBorders>
            <w:vAlign w:val="top"/>
          </w:tcPr>
          <w:p>
            <w:pPr>
              <w:rPr>
                <w:rFonts w:ascii="Malgun Gothic"/>
                <w:sz w:val="21"/>
              </w:rPr>
            </w:pPr>
          </w:p>
        </w:tc>
        <w:tc>
          <w:tcPr>
            <w:tcW w:w="455" w:type="dxa"/>
            <w:vMerge w:val="continue"/>
            <w:tcBorders>
              <w:top w:val="nil"/>
              <w:bottom w:val="nil"/>
            </w:tcBorders>
            <w:vAlign w:val="top"/>
          </w:tcPr>
          <w:p>
            <w:pPr>
              <w:rPr>
                <w:rFonts w:ascii="Malgun Gothic"/>
                <w:sz w:val="21"/>
              </w:rPr>
            </w:pPr>
          </w:p>
        </w:tc>
        <w:tc>
          <w:tcPr>
            <w:tcW w:w="820" w:type="dxa"/>
            <w:vAlign w:val="top"/>
          </w:tcPr>
          <w:p>
            <w:pPr>
              <w:spacing w:before="77" w:line="331" w:lineRule="exact"/>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rPr>
              <w:t>论文</w:t>
            </w:r>
          </w:p>
          <w:p>
            <w:pPr>
              <w:spacing w:line="204"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专著</w:t>
            </w:r>
          </w:p>
        </w:tc>
        <w:tc>
          <w:tcPr>
            <w:tcW w:w="6110" w:type="dxa"/>
            <w:vAlign w:val="top"/>
          </w:tcPr>
          <w:p>
            <w:pPr>
              <w:spacing w:before="73" w:line="251" w:lineRule="auto"/>
              <w:ind w:left="104" w:right="96"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教研室成员发表了</w:t>
            </w:r>
            <w:r>
              <w:rPr>
                <w:rFonts w:ascii="方正书宋简体" w:hAnsi="方正书宋简体" w:eastAsia="方正书宋简体" w:cs="方正书宋简体"/>
                <w:spacing w:val="32"/>
                <w:w w:val="101"/>
                <w:sz w:val="21"/>
                <w:szCs w:val="21"/>
              </w:rPr>
              <w:t xml:space="preserve"> </w:t>
            </w:r>
            <w:r>
              <w:rPr>
                <w:rFonts w:ascii="方正书宋简体" w:hAnsi="方正书宋简体" w:eastAsia="方正书宋简体" w:cs="方正书宋简体"/>
                <w:spacing w:val="-1"/>
                <w:sz w:val="21"/>
                <w:szCs w:val="21"/>
              </w:rPr>
              <w:t>3</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篇及以上教学研究与改革方面的论文。有核</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心级期刊教研教改论文。有</w:t>
            </w:r>
            <w:r>
              <w:rPr>
                <w:rFonts w:ascii="方正书宋简体" w:hAnsi="方正书宋简体" w:eastAsia="方正书宋简体" w:cs="方正书宋简体"/>
                <w:spacing w:val="29"/>
                <w:w w:val="101"/>
                <w:sz w:val="21"/>
                <w:szCs w:val="21"/>
              </w:rPr>
              <w:t xml:space="preserve"> </w:t>
            </w:r>
            <w:r>
              <w:rPr>
                <w:rFonts w:ascii="方正书宋简体" w:hAnsi="方正书宋简体" w:eastAsia="方正书宋简体" w:cs="方正书宋简体"/>
                <w:spacing w:val="-3"/>
                <w:sz w:val="21"/>
                <w:szCs w:val="21"/>
              </w:rPr>
              <w:t>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3"/>
                <w:sz w:val="21"/>
                <w:szCs w:val="21"/>
              </w:rPr>
              <w:t>部及以上专著。</w:t>
            </w:r>
          </w:p>
        </w:tc>
        <w:tc>
          <w:tcPr>
            <w:tcW w:w="592" w:type="dxa"/>
            <w:vAlign w:val="top"/>
          </w:tcPr>
          <w:p>
            <w:pPr>
              <w:spacing w:before="270" w:line="180"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4" w:hRule="atLeast"/>
        </w:trPr>
        <w:tc>
          <w:tcPr>
            <w:tcW w:w="472" w:type="dxa"/>
            <w:vMerge w:val="continue"/>
            <w:tcBorders>
              <w:top w:val="nil"/>
              <w:left w:val="single" w:color="000000" w:sz="6" w:space="0"/>
            </w:tcBorders>
            <w:vAlign w:val="top"/>
          </w:tcPr>
          <w:p>
            <w:pPr>
              <w:rPr>
                <w:rFonts w:ascii="Malgun Gothic"/>
                <w:sz w:val="21"/>
              </w:rPr>
            </w:pPr>
          </w:p>
        </w:tc>
        <w:tc>
          <w:tcPr>
            <w:tcW w:w="707" w:type="dxa"/>
            <w:vMerge w:val="continue"/>
            <w:tcBorders>
              <w:top w:val="nil"/>
            </w:tcBorders>
            <w:vAlign w:val="top"/>
          </w:tcPr>
          <w:p>
            <w:pPr>
              <w:rPr>
                <w:rFonts w:ascii="Malgun Gothic"/>
                <w:sz w:val="21"/>
              </w:rPr>
            </w:pPr>
          </w:p>
        </w:tc>
        <w:tc>
          <w:tcPr>
            <w:tcW w:w="455" w:type="dxa"/>
            <w:vMerge w:val="continue"/>
            <w:tcBorders>
              <w:top w:val="nil"/>
            </w:tcBorders>
            <w:vAlign w:val="top"/>
          </w:tcPr>
          <w:p>
            <w:pPr>
              <w:rPr>
                <w:rFonts w:ascii="Malgun Gothic"/>
                <w:sz w:val="21"/>
              </w:rPr>
            </w:pPr>
          </w:p>
        </w:tc>
        <w:tc>
          <w:tcPr>
            <w:tcW w:w="820" w:type="dxa"/>
            <w:vAlign w:val="top"/>
          </w:tcPr>
          <w:p>
            <w:pPr>
              <w:spacing w:before="389" w:line="331" w:lineRule="exact"/>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rPr>
              <w:t>课程</w:t>
            </w:r>
          </w:p>
          <w:p>
            <w:pPr>
              <w:spacing w:line="204"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教材</w:t>
            </w:r>
          </w:p>
          <w:p>
            <w:pPr>
              <w:spacing w:before="61"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建设</w:t>
            </w:r>
          </w:p>
        </w:tc>
        <w:tc>
          <w:tcPr>
            <w:tcW w:w="6110" w:type="dxa"/>
            <w:vAlign w:val="top"/>
          </w:tcPr>
          <w:p>
            <w:pPr>
              <w:spacing w:before="70" w:line="243" w:lineRule="auto"/>
              <w:ind w:left="101" w:right="53" w:firstLine="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1、教研室成员积极开设新课程，积极建设精品课程与双语课程，</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z w:val="21"/>
                <w:szCs w:val="21"/>
              </w:rPr>
              <w:t>成效好。有校级、省级、国家级精品课程、双语课程或精品视频</w:t>
            </w:r>
            <w:r>
              <w:rPr>
                <w:rFonts w:ascii="方正书宋简体" w:hAnsi="方正书宋简体" w:eastAsia="方正书宋简体" w:cs="方正书宋简体"/>
                <w:spacing w:val="11"/>
                <w:w w:val="103"/>
                <w:sz w:val="21"/>
                <w:szCs w:val="21"/>
              </w:rPr>
              <w:t xml:space="preserve">  </w:t>
            </w:r>
            <w:r>
              <w:rPr>
                <w:rFonts w:ascii="方正书宋简体" w:hAnsi="方正书宋简体" w:eastAsia="方正书宋简体" w:cs="方正书宋简体"/>
                <w:spacing w:val="-2"/>
                <w:sz w:val="21"/>
                <w:szCs w:val="21"/>
              </w:rPr>
              <w:t>公开课立项，或已立项的相关课程验收合格。</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9"/>
                <w:sz w:val="21"/>
                <w:szCs w:val="21"/>
              </w:rPr>
              <w:t>2、教研室成员积极编写精品教材与特色教材，</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10"/>
                <w:w w:val="99"/>
                <w:sz w:val="21"/>
                <w:szCs w:val="21"/>
              </w:rPr>
              <w:t>成效好，</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0"/>
                <w:w w:val="99"/>
                <w:sz w:val="21"/>
                <w:szCs w:val="21"/>
              </w:rPr>
              <w:t>获得过校</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级、省级、国家级优秀教材奖励。</w:t>
            </w:r>
          </w:p>
        </w:tc>
        <w:tc>
          <w:tcPr>
            <w:tcW w:w="592" w:type="dxa"/>
            <w:vAlign w:val="top"/>
          </w:tcPr>
          <w:p>
            <w:pPr>
              <w:spacing w:line="440" w:lineRule="auto"/>
              <w:rPr>
                <w:rFonts w:ascii="Malgun Gothic"/>
                <w:sz w:val="21"/>
              </w:rPr>
            </w:pPr>
          </w:p>
          <w:p>
            <w:pPr>
              <w:spacing w:before="75" w:line="180"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472" w:type="dxa"/>
            <w:tcBorders>
              <w:left w:val="single" w:color="000000" w:sz="6" w:space="0"/>
            </w:tcBorders>
            <w:vAlign w:val="top"/>
          </w:tcPr>
          <w:p>
            <w:pPr>
              <w:spacing w:line="347" w:lineRule="auto"/>
              <w:rPr>
                <w:rFonts w:ascii="Malgun Gothic"/>
                <w:sz w:val="21"/>
              </w:rPr>
            </w:pPr>
          </w:p>
          <w:p>
            <w:pPr>
              <w:spacing w:before="75" w:line="180" w:lineRule="auto"/>
              <w:ind w:firstLine="17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707" w:type="dxa"/>
            <w:vAlign w:val="top"/>
          </w:tcPr>
          <w:p>
            <w:pPr>
              <w:spacing w:before="414" w:line="313" w:lineRule="exact"/>
              <w:ind w:firstLine="13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成果</w:t>
            </w:r>
          </w:p>
        </w:tc>
        <w:tc>
          <w:tcPr>
            <w:tcW w:w="455" w:type="dxa"/>
            <w:vAlign w:val="top"/>
          </w:tcPr>
          <w:p>
            <w:pPr>
              <w:spacing w:line="345" w:lineRule="auto"/>
              <w:rPr>
                <w:rFonts w:ascii="Malgun Gothic"/>
                <w:sz w:val="21"/>
              </w:rPr>
            </w:pPr>
          </w:p>
          <w:p>
            <w:pPr>
              <w:spacing w:before="75" w:line="180" w:lineRule="auto"/>
              <w:ind w:firstLine="1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820" w:type="dxa"/>
            <w:vAlign w:val="top"/>
          </w:tcPr>
          <w:p>
            <w:pPr>
              <w:spacing w:before="414" w:line="313"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教学</w:t>
            </w:r>
          </w:p>
          <w:p>
            <w:pPr>
              <w:spacing w:line="204"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成果</w:t>
            </w:r>
          </w:p>
        </w:tc>
        <w:tc>
          <w:tcPr>
            <w:tcW w:w="6110" w:type="dxa"/>
            <w:vAlign w:val="top"/>
          </w:tcPr>
          <w:p>
            <w:pPr>
              <w:spacing w:before="76" w:line="180" w:lineRule="auto"/>
              <w:ind w:firstLine="12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1、教研室成员获得过校级及以上教学成果奖励。</w:t>
            </w:r>
          </w:p>
          <w:p>
            <w:pPr>
              <w:spacing w:before="109" w:line="207" w:lineRule="auto"/>
              <w:ind w:left="104" w:right="9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2、教研室成员获得过其他校级及以上教学奖励。如优秀毕业论文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指导老师，优秀实习指导老师，优秀创新工作室指导老师等。</w:t>
            </w:r>
          </w:p>
          <w:p>
            <w:pPr>
              <w:spacing w:before="134"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3、教研室成员入选国家级、省级、校级各类优秀人才培养项目。</w:t>
            </w:r>
          </w:p>
        </w:tc>
        <w:tc>
          <w:tcPr>
            <w:tcW w:w="592" w:type="dxa"/>
            <w:vAlign w:val="top"/>
          </w:tcPr>
          <w:p>
            <w:pPr>
              <w:spacing w:line="345" w:lineRule="auto"/>
              <w:rPr>
                <w:rFonts w:ascii="Malgun Gothic"/>
                <w:sz w:val="21"/>
              </w:rPr>
            </w:pPr>
          </w:p>
          <w:p>
            <w:pPr>
              <w:spacing w:before="75" w:line="180"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40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472" w:type="dxa"/>
            <w:tcBorders>
              <w:left w:val="single" w:color="000000" w:sz="6" w:space="0"/>
              <w:bottom w:val="single" w:color="000000" w:sz="6" w:space="0"/>
            </w:tcBorders>
            <w:vAlign w:val="top"/>
          </w:tcPr>
          <w:p>
            <w:pPr>
              <w:rPr>
                <w:rFonts w:ascii="Malgun Gothic"/>
                <w:sz w:val="21"/>
              </w:rPr>
            </w:pPr>
          </w:p>
        </w:tc>
        <w:tc>
          <w:tcPr>
            <w:tcW w:w="707" w:type="dxa"/>
            <w:tcBorders>
              <w:bottom w:val="single" w:color="000000" w:sz="6" w:space="0"/>
            </w:tcBorders>
            <w:vAlign w:val="top"/>
          </w:tcPr>
          <w:p>
            <w:pPr>
              <w:spacing w:before="78" w:line="180" w:lineRule="auto"/>
              <w:ind w:firstLine="143"/>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总分</w:t>
            </w:r>
          </w:p>
        </w:tc>
        <w:tc>
          <w:tcPr>
            <w:tcW w:w="455" w:type="dxa"/>
            <w:tcBorders>
              <w:bottom w:val="single" w:color="000000" w:sz="6" w:space="0"/>
            </w:tcBorders>
            <w:vAlign w:val="top"/>
          </w:tcPr>
          <w:p>
            <w:pPr>
              <w:rPr>
                <w:rFonts w:ascii="Malgun Gothic"/>
                <w:sz w:val="21"/>
              </w:rPr>
            </w:pPr>
          </w:p>
        </w:tc>
        <w:tc>
          <w:tcPr>
            <w:tcW w:w="820" w:type="dxa"/>
            <w:tcBorders>
              <w:bottom w:val="single" w:color="000000" w:sz="6" w:space="0"/>
            </w:tcBorders>
            <w:vAlign w:val="top"/>
          </w:tcPr>
          <w:p>
            <w:pPr>
              <w:rPr>
                <w:rFonts w:ascii="Malgun Gothic"/>
                <w:sz w:val="21"/>
              </w:rPr>
            </w:pPr>
          </w:p>
        </w:tc>
        <w:tc>
          <w:tcPr>
            <w:tcW w:w="6110" w:type="dxa"/>
            <w:tcBorders>
              <w:bottom w:val="single" w:color="000000" w:sz="6" w:space="0"/>
            </w:tcBorders>
            <w:vAlign w:val="top"/>
          </w:tcPr>
          <w:p>
            <w:pPr>
              <w:rPr>
                <w:rFonts w:ascii="Malgun Gothic"/>
                <w:sz w:val="21"/>
              </w:rPr>
            </w:pPr>
          </w:p>
        </w:tc>
        <w:tc>
          <w:tcPr>
            <w:tcW w:w="592" w:type="dxa"/>
            <w:tcBorders>
              <w:bottom w:val="single" w:color="000000" w:sz="6" w:space="0"/>
            </w:tcBorders>
            <w:vAlign w:val="top"/>
          </w:tcPr>
          <w:p>
            <w:pPr>
              <w:spacing w:before="107" w:line="180" w:lineRule="auto"/>
              <w:ind w:firstLine="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100</w:t>
            </w:r>
          </w:p>
        </w:tc>
        <w:tc>
          <w:tcPr>
            <w:tcW w:w="401" w:type="dxa"/>
            <w:tcBorders>
              <w:bottom w:val="single" w:color="000000" w:sz="6" w:space="0"/>
              <w:right w:val="single" w:color="000000" w:sz="6" w:space="0"/>
            </w:tcBorders>
            <w:vAlign w:val="top"/>
          </w:tcPr>
          <w:p>
            <w:pPr>
              <w:rPr>
                <w:rFonts w:ascii="Malgun Gothic"/>
                <w:sz w:val="21"/>
              </w:rPr>
            </w:pPr>
          </w:p>
        </w:tc>
      </w:tr>
    </w:tbl>
    <w:p>
      <w:pPr>
        <w:spacing w:before="59" w:line="238" w:lineRule="auto"/>
        <w:ind w:left="425" w:right="355" w:firstLine="41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说明：</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6"/>
          <w:sz w:val="21"/>
          <w:szCs w:val="21"/>
        </w:rPr>
        <w:t>1、每项指标计分分为</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6"/>
          <w:sz w:val="21"/>
          <w:szCs w:val="21"/>
        </w:rPr>
        <w:t>A、B、C</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6"/>
          <w:sz w:val="21"/>
          <w:szCs w:val="21"/>
        </w:rPr>
        <w:t>三个等级。①获得相应的国家级奖励或项目为</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6"/>
          <w:sz w:val="21"/>
          <w:szCs w:val="21"/>
        </w:rPr>
        <w:t>A</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6"/>
          <w:sz w:val="21"/>
          <w:szCs w:val="21"/>
        </w:rPr>
        <w:t>等，</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省级的奖励或项目为</w:t>
      </w:r>
      <w:r>
        <w:rPr>
          <w:rFonts w:ascii="方正书宋简体" w:hAnsi="方正书宋简体" w:eastAsia="方正书宋简体" w:cs="方正书宋简体"/>
          <w:spacing w:val="34"/>
          <w:w w:val="101"/>
          <w:sz w:val="21"/>
          <w:szCs w:val="21"/>
        </w:rPr>
        <w:t xml:space="preserve"> </w:t>
      </w:r>
      <w:r>
        <w:rPr>
          <w:rFonts w:ascii="方正书宋简体" w:hAnsi="方正书宋简体" w:eastAsia="方正书宋简体" w:cs="方正书宋简体"/>
          <w:spacing w:val="-1"/>
          <w:sz w:val="21"/>
          <w:szCs w:val="21"/>
        </w:rPr>
        <w:t>B</w:t>
      </w:r>
      <w:r>
        <w:rPr>
          <w:rFonts w:ascii="方正书宋简体" w:hAnsi="方正书宋简体" w:eastAsia="方正书宋简体" w:cs="方正书宋简体"/>
          <w:spacing w:val="25"/>
          <w:sz w:val="21"/>
          <w:szCs w:val="21"/>
        </w:rPr>
        <w:t xml:space="preserve"> </w:t>
      </w:r>
      <w:r>
        <w:rPr>
          <w:rFonts w:ascii="方正书宋简体" w:hAnsi="方正书宋简体" w:eastAsia="方正书宋简体" w:cs="方正书宋简体"/>
          <w:spacing w:val="-1"/>
          <w:sz w:val="21"/>
          <w:szCs w:val="21"/>
        </w:rPr>
        <w:t>等，校级的奖励或项目为</w:t>
      </w:r>
      <w:r>
        <w:rPr>
          <w:rFonts w:ascii="方正书宋简体" w:hAnsi="方正书宋简体" w:eastAsia="方正书宋简体" w:cs="方正书宋简体"/>
          <w:spacing w:val="29"/>
          <w:w w:val="101"/>
          <w:sz w:val="21"/>
          <w:szCs w:val="21"/>
        </w:rPr>
        <w:t xml:space="preserve"> </w:t>
      </w:r>
      <w:r>
        <w:rPr>
          <w:rFonts w:ascii="方正书宋简体" w:hAnsi="方正书宋简体" w:eastAsia="方正书宋简体" w:cs="方正书宋简体"/>
          <w:spacing w:val="-1"/>
          <w:sz w:val="21"/>
          <w:szCs w:val="21"/>
        </w:rPr>
        <w:t>C</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1"/>
          <w:sz w:val="21"/>
          <w:szCs w:val="21"/>
        </w:rPr>
        <w:t>等。②项目立项与结题同等对待，结题结论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7"/>
          <w:sz w:val="21"/>
          <w:szCs w:val="21"/>
        </w:rPr>
        <w:t>为合格的，</w:t>
      </w:r>
      <w:r>
        <w:rPr>
          <w:rFonts w:ascii="方正书宋简体" w:hAnsi="方正书宋简体" w:eastAsia="方正书宋简体" w:cs="方正书宋简体"/>
          <w:spacing w:val="34"/>
          <w:sz w:val="21"/>
          <w:szCs w:val="21"/>
        </w:rPr>
        <w:t xml:space="preserve">  </w:t>
      </w:r>
      <w:r>
        <w:rPr>
          <w:rFonts w:ascii="方正书宋简体" w:hAnsi="方正书宋简体" w:eastAsia="方正书宋简体" w:cs="方正书宋简体"/>
          <w:spacing w:val="-10"/>
          <w:w w:val="97"/>
          <w:sz w:val="21"/>
          <w:szCs w:val="21"/>
        </w:rPr>
        <w:t>计该等级的起点分，</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0"/>
          <w:w w:val="97"/>
          <w:sz w:val="21"/>
          <w:szCs w:val="21"/>
        </w:rPr>
        <w:t>结论为优秀的，</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0"/>
          <w:w w:val="97"/>
          <w:sz w:val="21"/>
          <w:szCs w:val="21"/>
        </w:rPr>
        <w:t>加</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10"/>
          <w:w w:val="97"/>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w w:val="97"/>
          <w:sz w:val="21"/>
          <w:szCs w:val="21"/>
        </w:rPr>
        <w:t>分。③获得一项得该等级的起点分，</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0"/>
          <w:w w:val="97"/>
          <w:sz w:val="21"/>
          <w:szCs w:val="21"/>
        </w:rPr>
        <w:t>每增加</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7"/>
          <w:sz w:val="21"/>
          <w:szCs w:val="21"/>
        </w:rPr>
        <w:t>一项加</w:t>
      </w:r>
      <w:r>
        <w:rPr>
          <w:rFonts w:ascii="方正书宋简体" w:hAnsi="方正书宋简体" w:eastAsia="方正书宋简体" w:cs="方正书宋简体"/>
          <w:spacing w:val="61"/>
          <w:sz w:val="21"/>
          <w:szCs w:val="21"/>
        </w:rPr>
        <w:t xml:space="preserve"> </w:t>
      </w:r>
      <w:r>
        <w:rPr>
          <w:rFonts w:ascii="方正书宋简体" w:hAnsi="方正书宋简体" w:eastAsia="方正书宋简体" w:cs="方正书宋简体"/>
          <w:spacing w:val="-10"/>
          <w:w w:val="97"/>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w w:val="97"/>
          <w:sz w:val="21"/>
          <w:szCs w:val="21"/>
        </w:rPr>
        <w:t>分，</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10"/>
          <w:w w:val="97"/>
          <w:sz w:val="21"/>
          <w:szCs w:val="21"/>
        </w:rPr>
        <w:t>加到该等级的顶点分为止。2、A、B、C</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0"/>
          <w:w w:val="97"/>
          <w:sz w:val="21"/>
          <w:szCs w:val="21"/>
        </w:rPr>
        <w:t>三个等级占分的比例为：</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10"/>
          <w:w w:val="97"/>
          <w:sz w:val="21"/>
          <w:szCs w:val="21"/>
        </w:rPr>
        <w:t>A，</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10"/>
          <w:w w:val="97"/>
          <w:sz w:val="21"/>
          <w:szCs w:val="21"/>
        </w:rPr>
        <w:t>9-10</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w w:val="97"/>
          <w:sz w:val="21"/>
          <w:szCs w:val="21"/>
        </w:rPr>
        <w:t>分，</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0"/>
          <w:w w:val="97"/>
          <w:sz w:val="21"/>
          <w:szCs w:val="21"/>
        </w:rPr>
        <w:t>B，</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6"/>
          <w:sz w:val="21"/>
          <w:szCs w:val="21"/>
        </w:rPr>
        <w:t>7-8</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0"/>
          <w:w w:val="96"/>
          <w:sz w:val="21"/>
          <w:szCs w:val="21"/>
        </w:rPr>
        <w:t>分，</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0"/>
          <w:w w:val="96"/>
          <w:sz w:val="21"/>
          <w:szCs w:val="21"/>
        </w:rPr>
        <w:t>C，1-6</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0"/>
          <w:w w:val="96"/>
          <w:sz w:val="21"/>
          <w:szCs w:val="21"/>
        </w:rPr>
        <w:t>分。</w:t>
      </w:r>
    </w:p>
    <w:p>
      <w:pPr>
        <w:spacing w:before="397" w:line="180" w:lineRule="auto"/>
        <w:ind w:firstLine="470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51</w:t>
      </w:r>
    </w:p>
    <w:p>
      <w:pPr>
        <w:sectPr>
          <w:footerReference r:id="rId55" w:type="default"/>
          <w:pgSz w:w="11905" w:h="16840"/>
          <w:pgMar w:top="1431" w:right="1165" w:bottom="400" w:left="1166" w:header="0" w:footer="0" w:gutter="0"/>
          <w:cols w:space="720" w:num="1"/>
        </w:sectPr>
      </w:pPr>
    </w:p>
    <w:p>
      <w:pPr>
        <w:spacing w:before="349" w:line="180" w:lineRule="auto"/>
        <w:ind w:firstLine="225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吉首大学本科教学管理工作规程</w:t>
      </w:r>
    </w:p>
    <w:p>
      <w:pPr>
        <w:spacing w:before="110" w:line="184" w:lineRule="auto"/>
        <w:ind w:firstLine="3558"/>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61" w:lineRule="auto"/>
        <w:rPr>
          <w:rFonts w:ascii="Malgun Gothic"/>
          <w:sz w:val="21"/>
        </w:rPr>
      </w:pPr>
    </w:p>
    <w:p>
      <w:pPr>
        <w:spacing w:before="104" w:line="180" w:lineRule="auto"/>
        <w:ind w:firstLine="3660"/>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left="12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1"/>
          <w:sz w:val="24"/>
          <w:szCs w:val="24"/>
        </w:rPr>
        <w:t>第一条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1"/>
          <w:sz w:val="24"/>
          <w:szCs w:val="24"/>
        </w:rPr>
        <w:t>加强教学管理是稳定教学秩序，</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1"/>
          <w:sz w:val="24"/>
          <w:szCs w:val="24"/>
        </w:rPr>
        <w:t>严格教学纪律，</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1"/>
          <w:sz w:val="24"/>
          <w:szCs w:val="24"/>
        </w:rPr>
        <w:t>提高教学质量的重要保证。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为加强本科教学管理工作，促进我校教学管理的规范化、</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4"/>
          <w:sz w:val="24"/>
          <w:szCs w:val="24"/>
        </w:rPr>
        <w:t>科学化建设，保障人才培养目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标的实现，根据教育部有关文件精神，结合学校教育教学发展实际，特制定本规程。</w:t>
      </w:r>
    </w:p>
    <w:p>
      <w:pPr>
        <w:spacing w:before="204" w:line="250" w:lineRule="auto"/>
        <w:ind w:left="130" w:right="8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6"/>
          <w:sz w:val="24"/>
          <w:szCs w:val="24"/>
        </w:rPr>
        <w:t>人才培养是高等学校的基本职能和根本任务，</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6"/>
          <w:sz w:val="24"/>
          <w:szCs w:val="24"/>
        </w:rPr>
        <w:t>教学工作是学校各项工作的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中心，教学质量是高校办学的生命线，教学管理在学校管理中占有特别重要的地位，学</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3"/>
          <w:sz w:val="24"/>
          <w:szCs w:val="24"/>
        </w:rPr>
        <w:t>校各项管理工作都须围绕教学和教学管理工作来开展，并为教学和教学管理工作服务。</w:t>
      </w:r>
    </w:p>
    <w:p>
      <w:pPr>
        <w:spacing w:before="205" w:line="250" w:lineRule="auto"/>
        <w:ind w:left="130"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教学管理工作须全面贯彻党的教育方针，落实立德树人根本任务，注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重现代科学管理方法与手段应用，对教学活动全过程进行精心组织，加强培养学生</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的学习能力、创新能力和实践能力，做好教学服务、保障与评价工作。</w:t>
      </w:r>
    </w:p>
    <w:p>
      <w:pPr>
        <w:spacing w:before="207" w:line="303" w:lineRule="auto"/>
        <w:ind w:left="128" w:right="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教学管理的基本任务是：研究教学及其管理规律，不断改进教学管理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工作，提高教学管理水平；建立稳定的教学秩序，保证教学工作正常运行；研究并</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组织实施教学建设与改革，努力调动教师和学生参与教学活动的积极性，不断提高</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人才培养质量。教学管理的基本内容包括：培养方案管理、教学运行管理、教学质</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量管理与评价，</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以及专业、课程、教材、实验室、实践教学基地、学风、教学队伍、</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教学研究等教学基本建设与管理。</w:t>
      </w:r>
    </w:p>
    <w:p>
      <w:pPr>
        <w:spacing w:before="23" w:line="285" w:lineRule="auto"/>
        <w:ind w:right="84" w:firstLine="5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第五条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学校本科教学管理人员包括主管教学工作的副校长、教务处工作人员、实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验实训中心工作人员、院（部）分管教学工作的领导、教学管理办公室工作人员以及系</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1"/>
          <w:sz w:val="24"/>
          <w:szCs w:val="24"/>
        </w:rPr>
        <w:t>（教研室）</w:t>
      </w:r>
      <w:r>
        <w:rPr>
          <w:rFonts w:ascii="方正书宋简体" w:hAnsi="方正书宋简体" w:eastAsia="方正书宋简体" w:cs="方正书宋简体"/>
          <w:spacing w:val="83"/>
          <w:w w:val="101"/>
          <w:sz w:val="24"/>
          <w:szCs w:val="24"/>
        </w:rPr>
        <w:t xml:space="preserve"> </w:t>
      </w:r>
      <w:r>
        <w:rPr>
          <w:rFonts w:ascii="方正书宋简体" w:hAnsi="方正书宋简体" w:eastAsia="方正书宋简体" w:cs="方正书宋简体"/>
          <w:spacing w:val="-21"/>
          <w:sz w:val="24"/>
          <w:szCs w:val="24"/>
        </w:rPr>
        <w:t>主任、实验室主任、专业负责人、主干（基础）</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21"/>
          <w:sz w:val="24"/>
          <w:szCs w:val="24"/>
        </w:rPr>
        <w:t>课程（群）</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21"/>
          <w:sz w:val="24"/>
          <w:szCs w:val="24"/>
        </w:rPr>
        <w:t>负责人等。学校要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加强教学管理队伍的建设，根据实际工作需要配备结构合理的教学管理人员，教学管理</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9"/>
          <w:sz w:val="24"/>
          <w:szCs w:val="24"/>
        </w:rPr>
        <w:t>人员须努力学习与研究教学管理科学，不断提高自身的政治、业务素质和管理水平。</w:t>
      </w:r>
    </w:p>
    <w:p>
      <w:pPr>
        <w:spacing w:before="204" w:line="180" w:lineRule="auto"/>
        <w:ind w:firstLine="306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教学管理组织系统</w:t>
      </w:r>
    </w:p>
    <w:p>
      <w:pPr>
        <w:spacing w:before="137" w:line="266" w:lineRule="auto"/>
        <w:ind w:left="128" w:right="9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第六条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学校采取校、院两级管理，教学管理职能部门和教学单位主体负责，</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其他单位积极配合，师生员工全员参与的管理模式。并建立科学完善的教学管理系</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统，注意加强教学管理纵向和横向系统的协调和统一，以确保学校教学管理处于协</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调有序的工作状态，共同完成教学工作目标。</w:t>
      </w:r>
    </w:p>
    <w:p>
      <w:pPr>
        <w:spacing w:before="204" w:line="180" w:lineRule="auto"/>
        <w:ind w:firstLine="61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第七条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建立教学工作的校级管理体制</w:t>
      </w:r>
    </w:p>
    <w:p>
      <w:pPr>
        <w:spacing w:line="279" w:lineRule="auto"/>
        <w:rPr>
          <w:rFonts w:ascii="Malgun Gothic"/>
          <w:sz w:val="21"/>
        </w:rPr>
      </w:pPr>
    </w:p>
    <w:p>
      <w:pPr>
        <w:spacing w:before="51" w:line="180" w:lineRule="auto"/>
        <w:ind w:firstLine="440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52</w:t>
      </w:r>
    </w:p>
    <w:p>
      <w:pPr>
        <w:sectPr>
          <w:footerReference r:id="rId56" w:type="default"/>
          <w:pgSz w:w="11905" w:h="16840"/>
          <w:pgMar w:top="1431" w:right="1488" w:bottom="400" w:left="1463" w:header="0" w:footer="0" w:gutter="0"/>
          <w:cols w:space="720" w:num="1"/>
        </w:sectPr>
      </w:pPr>
    </w:p>
    <w:p>
      <w:pPr>
        <w:spacing w:before="427" w:line="265"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学校教学管理工作由校长全面负责，</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分管教学副校长主持日常教学管理工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作，并通过职能部门，并通过职能部门，统一调动学校各种资源为教学服务，统一</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管理教学工作进程及信息反馈，实现各项教学管理目标。</w:t>
      </w:r>
    </w:p>
    <w:p>
      <w:pPr>
        <w:spacing w:before="211" w:line="316" w:lineRule="auto"/>
        <w:ind w:left="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建立教学工作会议制度。坚持教学例会制度，</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学校每月定期召开一次由分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管副校长主持、有关职能部门及学院领导参加的教学工作例会，听取各教学单位情</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况，并及时解决问题。学校每两年召开一次全校性教学工作会议，全面总结教育教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学工作，布置教育教学改革工作。有关教学及管理的指导思想、政策、规划、重大</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改革举措等，须在党委的统一领导下，由校长办公会讨论决定。</w:t>
      </w:r>
    </w:p>
    <w:p>
      <w:pPr>
        <w:spacing w:line="315" w:lineRule="auto"/>
        <w:ind w:left="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（三）学校本科教学工作委员会是学校教学工作决策的咨询机构及教学工作业务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指导机构，负责审议学校的专业建设规划、课程建设规划、教师队伍建设规划、实</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验室建设规划、以及教改方案设计、培养方案制（修）订、教学研究立项评审、教</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3"/>
          <w:sz w:val="24"/>
          <w:szCs w:val="24"/>
        </w:rPr>
        <w:t>学成果奖评定、</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3"/>
          <w:sz w:val="24"/>
          <w:szCs w:val="24"/>
        </w:rPr>
        <w:t>“质量工程”各建设项目评定等事项。</w:t>
      </w:r>
    </w:p>
    <w:p>
      <w:pPr>
        <w:spacing w:line="265" w:lineRule="auto"/>
        <w:ind w:right="2"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教务处是学校管理教学业务活动的职能部门，</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其主要职责是执行上级有关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部门和学校制定的各种教学规章制度及其决策，对教学工作进行具体组织和管理，</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督促、检查各学院的教学工作，维护正常的教学秩序。</w:t>
      </w:r>
    </w:p>
    <w:p>
      <w:pPr>
        <w:spacing w:before="216" w:line="315"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（五）教学质量监控中心在分管副校长的领导下参与学校教学管理与建设工作，</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对学校教学秩序和教学质量状况进行调查研究和检查督促，为学校提供教学信息反</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馈和建议，建成有效的内部质量保障体系，发挥督教、督学、督管、督建作用。</w:t>
      </w:r>
    </w:p>
    <w:p>
      <w:pPr>
        <w:ind w:left="2" w:right="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（六）</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8"/>
          <w:sz w:val="24"/>
          <w:szCs w:val="24"/>
        </w:rPr>
        <w:t>学校其他职能部门须树立为教学服务的思想，</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8"/>
          <w:sz w:val="24"/>
          <w:szCs w:val="24"/>
        </w:rPr>
        <w:t>积极配合教学管理部门做好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教学管理工作，保证学校各项教学活动的顺利进行。</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建立教学工作院级管理体系</w:t>
      </w:r>
    </w:p>
    <w:p>
      <w:pPr>
        <w:spacing w:before="140" w:line="314"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13"/>
          <w:sz w:val="24"/>
          <w:szCs w:val="24"/>
        </w:rPr>
        <w:t>各学院负责对本学院教学工作进行组织和管理，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按照学校统一安排，</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制定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各项建设规划和计划，组织日常教学活动；执行上级主管部门和学院制定的各种教</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学规章制度，做好本部门教学管理，建立教师业务档案，做好教学文件、资料的收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集、整理和管理工作；建立院级教学质量监测、建设机制，加强对本单位教学工作</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
          <w:sz w:val="24"/>
          <w:szCs w:val="24"/>
        </w:rPr>
        <w:t>检查和调控，全面了解教学情况，提高教学质量。</w:t>
      </w:r>
    </w:p>
    <w:p>
      <w:pPr>
        <w:spacing w:before="23" w:line="315" w:lineRule="auto"/>
        <w:ind w:right="1"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各学院教学管理工作由院长全面负责，</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分管教学的副院长主持日常教学工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作，学院教学工作的重大改革举措须经院教学工作委员会研究讨论通过。</w:t>
      </w:r>
    </w:p>
    <w:p>
      <w:pPr>
        <w:spacing w:before="2" w:line="326" w:lineRule="auto"/>
        <w:ind w:left="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院教学工作委员会是院教学管理工作的研究和决策机构，</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须积极研究本单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位教学工作，加强教育教学工作指导，审议专业建设、教材建设、课程建设和实验</w:t>
      </w:r>
    </w:p>
    <w:p>
      <w:pPr>
        <w:spacing w:before="289"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53</w:t>
      </w:r>
    </w:p>
    <w:p>
      <w:pPr>
        <w:sectPr>
          <w:footerReference r:id="rId57" w:type="default"/>
          <w:pgSz w:w="11905" w:h="16840"/>
          <w:pgMar w:top="1431" w:right="1585" w:bottom="400" w:left="1590" w:header="0" w:footer="0" w:gutter="0"/>
          <w:cols w:space="720" w:num="1"/>
        </w:sectPr>
      </w:pPr>
    </w:p>
    <w:p>
      <w:pPr>
        <w:spacing w:before="427" w:line="315" w:lineRule="auto"/>
        <w:ind w:left="5" w:right="75"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室建设等规划，做好本学院教学研究立项和教学成果奖，讨论通过学院教学工作的</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5"/>
          <w:sz w:val="24"/>
          <w:szCs w:val="24"/>
        </w:rPr>
        <w:t>重大改革举措。</w:t>
      </w:r>
    </w:p>
    <w:p>
      <w:pPr>
        <w:spacing w:before="5" w:line="312" w:lineRule="auto"/>
        <w:ind w:left="2"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（四）教学系（教研室）和实验室（中心））是按学科、专业或课程设置的基层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教学组织，是学校教学工作顺利有序开展的基层组织保证。其主要职能是组织落实</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人才培养方案所规定的课程及其它环节的教学任务；</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7"/>
          <w:sz w:val="24"/>
          <w:szCs w:val="24"/>
        </w:rPr>
        <w:t>组织开展教学研究、教学改革，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负责青年教师培养，组织教师进行专业、课程及实验室建设等工作。</w:t>
      </w:r>
    </w:p>
    <w:p>
      <w:pPr>
        <w:spacing w:before="17" w:line="277" w:lineRule="auto"/>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（五）</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8"/>
          <w:sz w:val="24"/>
          <w:szCs w:val="24"/>
        </w:rPr>
        <w:t>教学秘书在分管教学副院长领导下，</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处理日常教学行政工作并从事教学状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态、质量信息的经常性调查等工作，加强学生的学籍管理、课业组织管理和常规教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务管理，不断完善各种教学指导文件和教学管理制度，建立和健全教学档案，推进</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教学管理工作制度化、科学化、信息化和规范化建设。</w:t>
      </w:r>
    </w:p>
    <w:p>
      <w:pPr>
        <w:spacing w:before="203" w:line="180" w:lineRule="auto"/>
        <w:ind w:firstLine="293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3"/>
          <w:sz w:val="24"/>
          <w:szCs w:val="24"/>
        </w:rPr>
        <w:t>人才培养方案管理</w:t>
      </w:r>
    </w:p>
    <w:p>
      <w:pPr>
        <w:spacing w:before="139" w:line="277" w:lineRule="auto"/>
        <w:ind w:left="5" w:right="7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第九条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9"/>
          <w:sz w:val="24"/>
          <w:szCs w:val="24"/>
        </w:rPr>
        <w:t>培养方案是学校保证教学质量和人才培养规格的重要文件，</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9"/>
          <w:sz w:val="24"/>
          <w:szCs w:val="24"/>
        </w:rPr>
        <w:t>是组织教学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过程、安排教学任务的基本依据。培养计划管理包括培养计划的制定、调整与执行。</w:t>
      </w:r>
    </w:p>
    <w:p>
      <w:pPr>
        <w:spacing w:before="25" w:line="18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培养方案的制定</w:t>
      </w:r>
    </w:p>
    <w:p>
      <w:pPr>
        <w:spacing w:before="138"/>
        <w:ind w:left="2" w:right="78"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学校本科培养方案原则上每四年制定一次，具体规定和工作程序见《吉首大学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8"/>
          <w:sz w:val="24"/>
          <w:szCs w:val="24"/>
        </w:rPr>
        <w:t>本科人才培养方案管理办法》。</w:t>
      </w:r>
    </w:p>
    <w:p>
      <w:pPr>
        <w:spacing w:before="204"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培养方案的调整</w:t>
      </w:r>
    </w:p>
    <w:p>
      <w:pPr>
        <w:spacing w:before="152" w:line="264" w:lineRule="auto"/>
        <w:ind w:right="75"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已经批准执行的本科培养方案，一般不得随意更动，如确需调整，应由学院提</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出调整意见，经学院教学工作委员会审议通过后报教务处，经校本科教学工作委员</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3"/>
          <w:sz w:val="24"/>
          <w:szCs w:val="24"/>
        </w:rPr>
        <w:t>会审议通过后执行。</w:t>
      </w:r>
    </w:p>
    <w:p>
      <w:pPr>
        <w:spacing w:before="206"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第十二条</w:t>
      </w:r>
      <w:r>
        <w:rPr>
          <w:rFonts w:ascii="Microsoft JhengHei" w:hAnsi="Microsoft JhengHei" w:eastAsia="Microsoft JhengHei" w:cs="Microsoft JhengHei"/>
          <w:w w:val="101"/>
          <w:sz w:val="24"/>
          <w:szCs w:val="24"/>
        </w:rPr>
        <w:t xml:space="preserve">    </w:t>
      </w:r>
      <w:r>
        <w:rPr>
          <w:rFonts w:ascii="方正书宋简体" w:hAnsi="方正书宋简体" w:eastAsia="方正书宋简体" w:cs="方正书宋简体"/>
          <w:spacing w:val="-2"/>
          <w:sz w:val="24"/>
          <w:szCs w:val="24"/>
        </w:rPr>
        <w:t>课程管理</w:t>
      </w:r>
    </w:p>
    <w:p>
      <w:pPr>
        <w:spacing w:before="151" w:line="265" w:lineRule="auto"/>
        <w:ind w:right="6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课程归口学院（部）具有制定课程教学大纲、进行课程建设、组织课程教学、检查</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4"/>
          <w:sz w:val="24"/>
          <w:szCs w:val="24"/>
        </w:rPr>
        <w:t>课程教学质量的权利与义务。在制定本科培养方案的同时，</w:t>
      </w:r>
      <w:r>
        <w:rPr>
          <w:rFonts w:ascii="方正书宋简体" w:hAnsi="方正书宋简体" w:eastAsia="方正书宋简体" w:cs="方正书宋简体"/>
          <w:spacing w:val="90"/>
          <w:sz w:val="24"/>
          <w:szCs w:val="24"/>
        </w:rPr>
        <w:t xml:space="preserve"> </w:t>
      </w:r>
      <w:r>
        <w:rPr>
          <w:rFonts w:ascii="方正书宋简体" w:hAnsi="方正书宋简体" w:eastAsia="方正书宋简体" w:cs="方正书宋简体"/>
          <w:spacing w:val="-14"/>
          <w:sz w:val="24"/>
          <w:szCs w:val="24"/>
        </w:rPr>
        <w:t>应同时提交完整的课程教学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大纲，经审定合格，取得课程大纲编号，办理课程备案手续后，可列入培养方案。</w:t>
      </w:r>
    </w:p>
    <w:p>
      <w:pPr>
        <w:spacing w:before="204"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培养方案的组织实施</w:t>
      </w:r>
    </w:p>
    <w:p>
      <w:pPr>
        <w:spacing w:before="149" w:line="312" w:lineRule="auto"/>
        <w:ind w:left="1" w:right="7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批准生效后的本科培养方案由教务处和学院（部）负责组织执行。教务处每学</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期向课程归口学院（部）下达下学期课程教学任务书；学院（部）负责落实教学任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务，确定主讲教师，合理安排各门课程的教学进度；教务处汇总、整理教学任务书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后，组织排课，形成课程教学安排表。具体工作程序见《吉首大学本科人才培养方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8"/>
          <w:sz w:val="24"/>
          <w:szCs w:val="24"/>
        </w:rPr>
        <w:t>案制修订与执行管理规定》。</w:t>
      </w:r>
    </w:p>
    <w:p>
      <w:pPr>
        <w:spacing w:before="349" w:line="180" w:lineRule="auto"/>
        <w:ind w:firstLine="42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54</w:t>
      </w:r>
    </w:p>
    <w:p>
      <w:pPr>
        <w:sectPr>
          <w:footerReference r:id="rId58" w:type="default"/>
          <w:pgSz w:w="11905" w:h="16840"/>
          <w:pgMar w:top="1431" w:right="1510" w:bottom="400" w:left="1588" w:header="0" w:footer="0" w:gutter="0"/>
          <w:cols w:space="720" w:num="1"/>
        </w:sectPr>
      </w:pPr>
    </w:p>
    <w:p>
      <w:pPr>
        <w:spacing w:before="414" w:line="180"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1"/>
          <w:w w:val="101"/>
          <w:sz w:val="24"/>
          <w:szCs w:val="24"/>
        </w:rPr>
        <w:t xml:space="preserve">    </w:t>
      </w:r>
      <w:r>
        <w:rPr>
          <w:rFonts w:ascii="Microsoft JhengHei" w:hAnsi="Microsoft JhengHei" w:eastAsia="Microsoft JhengHei" w:cs="Microsoft JhengHei"/>
          <w:spacing w:val="-2"/>
          <w:sz w:val="24"/>
          <w:szCs w:val="24"/>
        </w:rPr>
        <w:t>教学运行管理</w:t>
      </w:r>
    </w:p>
    <w:p>
      <w:pPr>
        <w:spacing w:before="136" w:line="266" w:lineRule="auto"/>
        <w:ind w:left="2" w:right="6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第十四条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3"/>
          <w:sz w:val="24"/>
          <w:szCs w:val="24"/>
        </w:rPr>
        <w:t>在教学管理中，教学运行管理是根据培养方案实施教学活动的最核心、</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4"/>
          <w:sz w:val="24"/>
          <w:szCs w:val="24"/>
        </w:rPr>
        <w:t>最重要的部分。它包括以教师为主导，</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4"/>
          <w:sz w:val="24"/>
          <w:szCs w:val="24"/>
        </w:rPr>
        <w:t>以学生为主体，</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4"/>
          <w:sz w:val="24"/>
          <w:szCs w:val="24"/>
        </w:rPr>
        <w:t>师生相互配合的教学过程组织管理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sz w:val="24"/>
          <w:szCs w:val="24"/>
        </w:rPr>
        <w:t>和以学校与学院教学管理部门为主体所进行的教学行政管理。</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4"/>
          <w:sz w:val="24"/>
          <w:szCs w:val="24"/>
        </w:rPr>
        <w:t>其基本要求是全校协同，</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4"/>
          <w:sz w:val="24"/>
          <w:szCs w:val="24"/>
        </w:rPr>
        <w:t>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下协调，严格执行各项教学规章制度，保持教学工作稳定运行，从而保证教学质量。</w:t>
      </w:r>
    </w:p>
    <w:p>
      <w:pPr>
        <w:spacing w:before="205" w:line="265" w:lineRule="auto"/>
        <w:ind w:left="2" w:right="7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第十五条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6"/>
          <w:sz w:val="24"/>
          <w:szCs w:val="24"/>
        </w:rPr>
        <w:t>教学过程组织管理主要包括日常教学管理、教学大纲制</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6"/>
          <w:sz w:val="24"/>
          <w:szCs w:val="24"/>
        </w:rPr>
        <w:t>（修）</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6"/>
          <w:sz w:val="24"/>
          <w:szCs w:val="24"/>
        </w:rPr>
        <w:t>订与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管理、课堂教学环节的组织管理、实践性教学环节的组织管理、科研训练的组织管</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理、学籍管理、教师工作管理、教学资源管理、教学档案管理等环节。抓好各教学</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环节组织管理是保证整个教学过程正常有序、协调进行的必要条件。</w:t>
      </w:r>
    </w:p>
    <w:p>
      <w:pPr>
        <w:spacing w:before="205" w:line="277" w:lineRule="auto"/>
        <w:ind w:left="1" w:right="80"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第十六条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z w:val="24"/>
          <w:szCs w:val="24"/>
        </w:rPr>
        <w:t>日常教学管理工作主要包括编制校历、下达教学任务、制定课程计</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划表、编排课表和考试安排表等。</w:t>
      </w:r>
    </w:p>
    <w:p>
      <w:pPr>
        <w:spacing w:before="38" w:line="314" w:lineRule="auto"/>
        <w:ind w:right="78"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8"/>
          <w:sz w:val="24"/>
          <w:szCs w:val="24"/>
        </w:rPr>
        <w:t>校历是学校以学年为单元开展各种教学活动的规定性文件，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在每学年结束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前两周根据学校教学安排进行编制。校历内容包括学年内学期周数、各项活动的时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间分配、法定节假日、寒暑假、开学日期、期中教学检查、期末考试日期及全校重</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大活动的时间安排等。</w:t>
      </w:r>
    </w:p>
    <w:p>
      <w:pPr>
        <w:spacing w:before="8" w:line="311" w:lineRule="auto"/>
        <w:ind w:left="2" w:right="7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（二）教务处在每学期的第十二周左右根据培养方案向学院下达下学期教学任务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通知书，再由学院下发至有关教研室组织安排教学。</w:t>
      </w:r>
    </w:p>
    <w:p>
      <w:pPr>
        <w:spacing w:before="7" w:line="304" w:lineRule="auto"/>
        <w:ind w:left="10" w:right="64" w:firstLine="336"/>
        <w:rPr>
          <w:rFonts w:ascii="方正书宋简体" w:hAnsi="方正书宋简体" w:eastAsia="方正书宋简体" w:cs="方正书宋简体"/>
          <w:sz w:val="24"/>
          <w:szCs w:val="24"/>
        </w:rPr>
      </w:pPr>
      <w:r>
        <w:rPr>
          <w:rFonts w:ascii="方正书宋简体" w:hAnsi="方正书宋简体" w:eastAsia="方正书宋简体" w:cs="方正书宋简体"/>
          <w:spacing w:val="-19"/>
          <w:sz w:val="24"/>
          <w:szCs w:val="24"/>
        </w:rPr>
        <w:t>（三）</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9"/>
          <w:sz w:val="24"/>
          <w:szCs w:val="24"/>
        </w:rPr>
        <w:t>学院、教研室根据专业人才培养方案、</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9"/>
          <w:sz w:val="24"/>
          <w:szCs w:val="24"/>
        </w:rPr>
        <w:t>校历和下达的教学任务，确定所开课程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和任课教师，确定各教学环节周学时数及教学场地要求，并在第十五周左右报教务处。</w:t>
      </w:r>
    </w:p>
    <w:p>
      <w:pPr>
        <w:spacing w:before="38" w:line="310" w:lineRule="auto"/>
        <w:ind w:right="78"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8"/>
          <w:sz w:val="24"/>
          <w:szCs w:val="24"/>
        </w:rPr>
        <w:t>教务处根据学院提出的开设课程及任课教师，</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在每学期结束前一周完成课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表编排。课表中各课程学时与环节分配必须与培养方案、教学大纲相符；课表一经</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确定，不得随意变动。如因特殊原因变更上课时间、地点，必须申请并办理相关审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批手续。对不办理课表变更手续，擅自进行课表更改者，按教学事故处理。</w:t>
      </w:r>
    </w:p>
    <w:p>
      <w:pPr>
        <w:spacing w:before="15" w:line="280" w:lineRule="auto"/>
        <w:ind w:right="78"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（五）</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4"/>
          <w:sz w:val="24"/>
          <w:szCs w:val="24"/>
        </w:rPr>
        <w:t>课程计划表是课程讲授内容、方式、进度的具体安排表。课程计划表在学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期开学前由任课教师根据教学大纲和校历安排编制，经教研室负责人和分管教学副</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院长批准后执行。教研室负责人和教学院长须经常检查课程计划表执行情况，督促</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教师按计划完成各项教学任务。</w:t>
      </w:r>
    </w:p>
    <w:p>
      <w:pPr>
        <w:spacing w:before="205"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第十七条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教学大纲的制（修）订与管理</w:t>
      </w:r>
    </w:p>
    <w:p>
      <w:pPr>
        <w:spacing w:before="148" w:line="315"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（一）制定教学大纲须坚持以下原则：符合人才培养目标和课程教学基本要求；</w:t>
      </w:r>
      <w:r>
        <w:rPr>
          <w:rFonts w:ascii="方正书宋简体" w:hAnsi="方正书宋简体" w:eastAsia="方正书宋简体" w:cs="方正书宋简体"/>
          <w:spacing w:val="2"/>
          <w:w w:val="103"/>
          <w:sz w:val="24"/>
          <w:szCs w:val="24"/>
        </w:rPr>
        <w:t xml:space="preserve">  </w:t>
      </w:r>
      <w:r>
        <w:rPr>
          <w:rFonts w:ascii="方正书宋简体" w:hAnsi="方正书宋简体" w:eastAsia="方正书宋简体" w:cs="方正书宋简体"/>
          <w:spacing w:val="-11"/>
          <w:sz w:val="24"/>
          <w:szCs w:val="24"/>
        </w:rPr>
        <w:t>具有高度科学性和思想性，</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1"/>
          <w:sz w:val="24"/>
          <w:szCs w:val="24"/>
        </w:rPr>
        <w:t>反映科学研究新成就，</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sz w:val="24"/>
          <w:szCs w:val="24"/>
        </w:rPr>
        <w:t>并将知识教育与思想教育相结合；</w:t>
      </w:r>
    </w:p>
    <w:p>
      <w:pPr>
        <w:spacing w:before="329"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55</w:t>
      </w:r>
    </w:p>
    <w:p>
      <w:pPr>
        <w:sectPr>
          <w:footerReference r:id="rId59" w:type="default"/>
          <w:pgSz w:w="11905" w:h="16840"/>
          <w:pgMar w:top="1431" w:right="1507" w:bottom="400" w:left="1590" w:header="0" w:footer="0" w:gutter="0"/>
          <w:cols w:space="720" w:num="1"/>
        </w:sectPr>
      </w:pPr>
    </w:p>
    <w:p>
      <w:pPr>
        <w:spacing w:before="424" w:line="303" w:lineRule="auto"/>
        <w:ind w:left="10" w:right="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注重课程体系整体优化和组合；</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重视培养学生创新意识；</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sz w:val="24"/>
          <w:szCs w:val="24"/>
        </w:rPr>
        <w:t>坚持理论联系实际的原则，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注意对学生基本技能培养和训练。</w:t>
      </w:r>
    </w:p>
    <w:p>
      <w:pPr>
        <w:spacing w:before="36" w:line="274" w:lineRule="auto"/>
        <w:ind w:left="5" w:right="8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（二）教学大纲中须具体规定课程的性质、适用专业、先修课程、学时与学分、</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开课学期、课程教学目的与任务、课程教学内容与基本要求、教学时数分配、课程</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考核与成绩评定、教材与教学参考书等。</w:t>
      </w:r>
    </w:p>
    <w:p>
      <w:pPr>
        <w:spacing w:before="179" w:line="315" w:lineRule="auto"/>
        <w:ind w:left="4" w:right="9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80"/>
          <w:sz w:val="24"/>
          <w:szCs w:val="24"/>
        </w:rPr>
        <w:t xml:space="preserve"> </w:t>
      </w:r>
      <w:r>
        <w:rPr>
          <w:rFonts w:ascii="方正书宋简体" w:hAnsi="方正书宋简体" w:eastAsia="方正书宋简体" w:cs="方正书宋简体"/>
          <w:spacing w:val="-9"/>
          <w:sz w:val="24"/>
          <w:szCs w:val="24"/>
        </w:rPr>
        <w:t>每门课程均须在开课前，</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9"/>
          <w:sz w:val="24"/>
          <w:szCs w:val="24"/>
        </w:rPr>
        <w:t>组织相应教学小组或任课教师制定教学大纲。每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位教师在教学过程中均须严格执行教学大纲。</w:t>
      </w:r>
    </w:p>
    <w:p>
      <w:pPr>
        <w:spacing w:line="315" w:lineRule="auto"/>
        <w:ind w:left="5" w:right="9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教学大纲须经学院教学工作委员会审定，</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分管教学副院长批准后归入教学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档案，其内容和有关要求有变动的须报教研室负责人和分管教学副院长审批，并报</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教务处备案。</w:t>
      </w:r>
    </w:p>
    <w:p>
      <w:pPr>
        <w:spacing w:before="3" w:line="201"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（五）学院须对任课教师执行教学大纲情况进行检查，确保教学大纲贯彻执行。</w:t>
      </w:r>
    </w:p>
    <w:p>
      <w:pPr>
        <w:spacing w:before="148"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w w:val="101"/>
          <w:sz w:val="24"/>
          <w:szCs w:val="24"/>
        </w:rPr>
        <w:t xml:space="preserve">    </w:t>
      </w:r>
      <w:r>
        <w:rPr>
          <w:rFonts w:ascii="方正书宋简体" w:hAnsi="方正书宋简体" w:eastAsia="方正书宋简体" w:cs="方正书宋简体"/>
          <w:spacing w:val="-1"/>
          <w:sz w:val="24"/>
          <w:szCs w:val="24"/>
        </w:rPr>
        <w:t>课堂教学环节的组织管理</w:t>
      </w:r>
    </w:p>
    <w:p>
      <w:pPr>
        <w:spacing w:before="154" w:line="238" w:lineRule="auto"/>
        <w:ind w:left="3"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开课学院（部）、教学系（教研室）、实验室（中心）</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2"/>
          <w:sz w:val="24"/>
          <w:szCs w:val="24"/>
        </w:rPr>
        <w:t>负责课堂教学的组织管理。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具体工作内容包括：</w:t>
      </w:r>
    </w:p>
    <w:p>
      <w:pPr>
        <w:spacing w:before="206" w:line="257" w:lineRule="auto"/>
        <w:ind w:right="93"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1、安排教学经验丰富、教学效果好、学术水平高、符合规定要求的教师担任主</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讲教师，对新开课或开新课教师进行审核、培训、试讲和资格认证；</w:t>
      </w:r>
    </w:p>
    <w:p>
      <w:pPr>
        <w:spacing w:before="175"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2、组织教师依据课程教学大纲编写课程实施计划；</w:t>
      </w:r>
    </w:p>
    <w:p>
      <w:pPr>
        <w:spacing w:before="180" w:line="180" w:lineRule="auto"/>
        <w:ind w:firstLine="49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3、组织教师研究教学方法，</w:t>
      </w:r>
      <w:r>
        <w:rPr>
          <w:rFonts w:ascii="方正书宋简体" w:hAnsi="方正书宋简体" w:eastAsia="方正书宋简体" w:cs="方正书宋简体"/>
          <w:spacing w:val="63"/>
          <w:w w:val="101"/>
          <w:sz w:val="24"/>
          <w:szCs w:val="24"/>
        </w:rPr>
        <w:t xml:space="preserve"> </w:t>
      </w:r>
      <w:r>
        <w:rPr>
          <w:rFonts w:ascii="方正书宋简体" w:hAnsi="方正书宋简体" w:eastAsia="方正书宋简体" w:cs="方正书宋简体"/>
          <w:spacing w:val="-12"/>
          <w:sz w:val="24"/>
          <w:szCs w:val="24"/>
        </w:rPr>
        <w:t>交流教学经验，</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2"/>
          <w:sz w:val="24"/>
          <w:szCs w:val="24"/>
        </w:rPr>
        <w:t>开展教学观摩和教学质量评价工作。</w:t>
      </w:r>
    </w:p>
    <w:p>
      <w:pPr>
        <w:spacing w:before="179"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第十九条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实验教学环节的组织管理</w:t>
      </w:r>
    </w:p>
    <w:p>
      <w:pPr>
        <w:spacing w:before="153" w:line="315" w:lineRule="auto"/>
        <w:ind w:left="8"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1、学院分管教学的领导组织实验室主任或专业负责人落实实验教学任务，</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确保</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实验开出。确需变更、新增实验项目，须由实验指导教师提出书面申请，经实验室</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sz w:val="24"/>
          <w:szCs w:val="24"/>
        </w:rPr>
        <w:t>主任、专业负责人同意，</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sz w:val="24"/>
          <w:szCs w:val="24"/>
        </w:rPr>
        <w:t>学院分管领导批准并签署意见，</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报教务处审核后方可变更。</w:t>
      </w:r>
    </w:p>
    <w:p>
      <w:pPr>
        <w:spacing w:line="315" w:lineRule="auto"/>
        <w:ind w:left="4" w:right="92"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2、积极组织开放性实验教学项目的申报工作，</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学校各类实验室和工程中心在完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成正常教学、科研任务的同时，对本科生开放，并认真落实开放性实验教学任务，</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3"/>
          <w:sz w:val="24"/>
          <w:szCs w:val="24"/>
        </w:rPr>
        <w:t>指定专门实验指导教师、实验技术人员负责，</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加强开放性实验教学过程管理，保证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开放性实验教学效果。</w:t>
      </w:r>
    </w:p>
    <w:p>
      <w:pPr>
        <w:spacing w:before="4" w:line="310" w:lineRule="auto"/>
        <w:ind w:left="8" w:right="87"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3、学院分管教学的领导组织落实跨学院承担实验教学任务的工作，相关教师、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实验室积极配合，合理安排实验教学内容与进程。</w:t>
      </w:r>
    </w:p>
    <w:p>
      <w:pPr>
        <w:spacing w:line="202"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实习环节的组织管理</w:t>
      </w:r>
    </w:p>
    <w:p>
      <w:pPr>
        <w:spacing w:before="114"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根据培养计划的要求，学院于每年十一月组织各专业填写下一年度实习计划，</w:t>
      </w:r>
    </w:p>
    <w:p>
      <w:pPr>
        <w:spacing w:line="307" w:lineRule="auto"/>
        <w:rPr>
          <w:rFonts w:ascii="Malgun Gothic"/>
          <w:sz w:val="21"/>
        </w:rPr>
      </w:pPr>
    </w:p>
    <w:p>
      <w:pPr>
        <w:spacing w:before="51" w:line="180" w:lineRule="auto"/>
        <w:ind w:firstLine="428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w:t>
      </w:r>
    </w:p>
    <w:p>
      <w:pPr>
        <w:sectPr>
          <w:footerReference r:id="rId60" w:type="default"/>
          <w:pgSz w:w="11905" w:h="16840"/>
          <w:pgMar w:top="1431" w:right="1493" w:bottom="400" w:left="1587" w:header="0" w:footer="0" w:gutter="0"/>
          <w:cols w:space="720" w:num="1"/>
        </w:sectPr>
      </w:pPr>
    </w:p>
    <w:p>
      <w:pPr>
        <w:spacing w:before="422" w:line="304" w:lineRule="auto"/>
        <w:ind w:left="15" w:right="96" w:hanging="1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经教务处审定后在实习单位开展实习；实习结束后，专业组织对学生的考核。学院</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听取教师、学生的实习汇报，并在实习结束一周内，将实习总结汇总报教务处。</w:t>
      </w:r>
    </w:p>
    <w:p>
      <w:pPr>
        <w:spacing w:before="25" w:line="18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课程设计（学年论文）环节的组织管理</w:t>
      </w:r>
    </w:p>
    <w:p>
      <w:pPr>
        <w:spacing w:before="140" w:line="239" w:lineRule="auto"/>
        <w:ind w:right="10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学院组织制定课程设计（学年论文）工作细则，组织教师编写课程设计（学年</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论文）教学大纲、指导书和任务书，并开展相应的检查和考核。</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毕业设计（论文）环节的组织管理</w:t>
      </w:r>
    </w:p>
    <w:p>
      <w:pPr>
        <w:spacing w:before="138" w:line="317" w:lineRule="auto"/>
        <w:ind w:left="2"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1、学院负责毕业设计（论文）</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0"/>
          <w:sz w:val="24"/>
          <w:szCs w:val="24"/>
        </w:rPr>
        <w:t>的前期动员和过程中的质量监控工作，</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安排教师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导、审定课题、审查任务书及开题报告，</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及时指了解毕业设计（论文）</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3"/>
          <w:sz w:val="24"/>
          <w:szCs w:val="24"/>
        </w:rPr>
        <w:t>进展，</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3"/>
          <w:sz w:val="24"/>
          <w:szCs w:val="24"/>
        </w:rPr>
        <w:t>组织、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安排教师参加毕业设计（论文）的评阅、答辩及成绩评定工作，做好工作小结。</w:t>
      </w:r>
    </w:p>
    <w:p>
      <w:pPr>
        <w:spacing w:before="8" w:line="238" w:lineRule="auto"/>
        <w:ind w:left="10" w:right="98"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2、学院要加强对学生在校外单位做毕业设计（论文）</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0"/>
          <w:sz w:val="24"/>
          <w:szCs w:val="24"/>
        </w:rPr>
        <w:t>的组织管理，</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将学生名单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和校外指导教师情况汇总报教务处备案。</w:t>
      </w:r>
    </w:p>
    <w:p>
      <w:pPr>
        <w:spacing w:before="205"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科研训练的组织管理</w:t>
      </w:r>
    </w:p>
    <w:p>
      <w:pPr>
        <w:spacing w:before="152" w:line="310" w:lineRule="auto"/>
        <w:ind w:right="96"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教务处每年组织开展科研训练项目的申报、审批与结题考核工作。科研训练项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目分为国家级、省级、校级重点和校级普通项目。学校组织国家级和省级项目的中</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期考核、结题考核和成绩审定，学院负责校级重点和校级普通项目的中期考核、结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题考核和成绩审定。</w:t>
      </w:r>
    </w:p>
    <w:p>
      <w:pPr>
        <w:spacing w:before="17" w:line="19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学科竞赛活动的组织管理</w:t>
      </w:r>
    </w:p>
    <w:p>
      <w:pPr>
        <w:spacing w:before="129"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1、学校教务处定期组织各类学科专业等竞赛，以学院为团体单位组织参赛。</w:t>
      </w:r>
    </w:p>
    <w:p>
      <w:pPr>
        <w:spacing w:before="194" w:line="253" w:lineRule="auto"/>
        <w:ind w:left="7" w:right="9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2、凡列入《本科生学术科技竞赛资助项目》中的竞赛，</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7"/>
          <w:sz w:val="24"/>
          <w:szCs w:val="24"/>
        </w:rPr>
        <w:t>由教务处会同有关学院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负责组织学生参赛；鼓励各单位组织学生参加国家级和省级重要学科竞赛。</w:t>
      </w:r>
    </w:p>
    <w:p>
      <w:pPr>
        <w:spacing w:before="166"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成绩与学籍管理</w:t>
      </w:r>
    </w:p>
    <w:p>
      <w:pPr>
        <w:spacing w:before="152" w:line="265" w:lineRule="auto"/>
        <w:ind w:left="4" w:right="9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学籍管理的基本内容包括对学生入学资格、在校学习与异动情况、成绩及毕业</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资格、学位资格的审核与管理。学院要严格执行学校有关学籍管理的各项规定，学</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生学习成绩与学籍信息要做到完整、准确、规范、及时。</w:t>
      </w:r>
    </w:p>
    <w:p>
      <w:pPr>
        <w:spacing w:before="203"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第二十三条</w:t>
      </w:r>
      <w:r>
        <w:rPr>
          <w:rFonts w:ascii="Microsoft JhengHei" w:hAnsi="Microsoft JhengHei" w:eastAsia="Microsoft JhengHei" w:cs="Microsoft JhengHei"/>
          <w:spacing w:val="15"/>
          <w:w w:val="101"/>
          <w:sz w:val="24"/>
          <w:szCs w:val="24"/>
        </w:rPr>
        <w:t xml:space="preserve">    </w:t>
      </w:r>
      <w:r>
        <w:rPr>
          <w:rFonts w:ascii="方正书宋简体" w:hAnsi="方正书宋简体" w:eastAsia="方正书宋简体" w:cs="方正书宋简体"/>
          <w:spacing w:val="-6"/>
          <w:sz w:val="24"/>
          <w:szCs w:val="24"/>
        </w:rPr>
        <w:t>日常教学管理</w:t>
      </w:r>
    </w:p>
    <w:p>
      <w:pPr>
        <w:spacing w:before="150" w:line="265" w:lineRule="auto"/>
        <w:ind w:left="10" w:right="96" w:firstLine="47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教务处负责全校本科教学日常运行管理，包括组织学生网上选课、编班，组织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和管理校内外各级各类考试，审批课程异动、</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教室借用，保证教学秩序的稳定。学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院（部）应及时处理教学计划执行过程中出现的问题和事故，并向教务处报告。</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教师教学工作管理</w:t>
      </w:r>
    </w:p>
    <w:p>
      <w:pPr>
        <w:spacing w:before="15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1、学院（部）</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5"/>
          <w:sz w:val="24"/>
          <w:szCs w:val="24"/>
        </w:rPr>
        <w:t>根据《吉首大学大学教师本科教学工作规范》组织实施教师教学</w:t>
      </w:r>
    </w:p>
    <w:p>
      <w:pPr>
        <w:spacing w:line="308" w:lineRule="auto"/>
        <w:rPr>
          <w:rFonts w:ascii="Malgun Gothic"/>
          <w:sz w:val="21"/>
        </w:rPr>
      </w:pPr>
    </w:p>
    <w:p>
      <w:pPr>
        <w:spacing w:before="52"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57</w:t>
      </w:r>
    </w:p>
    <w:p>
      <w:pPr>
        <w:sectPr>
          <w:footerReference r:id="rId61" w:type="default"/>
          <w:pgSz w:w="11905" w:h="16840"/>
          <w:pgMar w:top="1431" w:right="1489" w:bottom="400" w:left="1590" w:header="0" w:footer="0" w:gutter="0"/>
          <w:cols w:space="720" w:num="1"/>
        </w:sectPr>
      </w:pPr>
    </w:p>
    <w:p>
      <w:pPr>
        <w:spacing w:before="429" w:line="314" w:lineRule="auto"/>
        <w:ind w:left="2" w:right="11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工作管理，主要内容包括：教学任务完成情况、教学态度、教学质量及效果、教书</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育人、教学改革与研究等工作。</w:t>
      </w:r>
    </w:p>
    <w:p>
      <w:pPr>
        <w:ind w:left="2" w:right="10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rPr>
        <w:t>2、要大力加强课程（群）</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1"/>
          <w:w w:val="99"/>
          <w:sz w:val="24"/>
          <w:szCs w:val="24"/>
        </w:rPr>
        <w:t>教学团队的建设，</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9"/>
          <w:sz w:val="24"/>
          <w:szCs w:val="24"/>
        </w:rPr>
        <w:t>发挥老教师的示范作用，</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w w:val="99"/>
          <w:sz w:val="24"/>
          <w:szCs w:val="24"/>
        </w:rPr>
        <w:t>培养青年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教师，作好团队成员的培养与储备工作。</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第二十五条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教学资源管理</w:t>
      </w:r>
    </w:p>
    <w:p>
      <w:pPr>
        <w:spacing w:before="147" w:line="311" w:lineRule="auto"/>
        <w:ind w:right="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学校做好教室、实验教学中心、工程训练中心、图书馆、体育场馆、计算中心、</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网络中心等公共基础教学设施的规划建设等工作，促进资源共享；各学院（部）做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好本单位实验室（中心）等教学设施的合理配置以及维修、报废工作。</w:t>
      </w:r>
    </w:p>
    <w:p>
      <w:pPr>
        <w:spacing w:before="9"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第二十六条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教学档案管理</w:t>
      </w:r>
    </w:p>
    <w:p>
      <w:pPr>
        <w:spacing w:before="123" w:line="277" w:lineRule="auto"/>
        <w:ind w:left="2" w:right="10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教学档案一般包括：教学文件、教务档案、教师业务档案、学生学业档案等。</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教学档案实行分级管理，学校、教务处、学院等部门都要建立相应的教学档案管理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机制，确定各类教学档案内容、保存范围和时限，明确有关人员职责，确保教学档</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案的真实、完整。须充分使用现代化手段管理教学档案。</w:t>
      </w:r>
    </w:p>
    <w:p>
      <w:pPr>
        <w:spacing w:before="205" w:line="180" w:lineRule="auto"/>
        <w:ind w:firstLine="293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教学基本建设管理</w:t>
      </w:r>
    </w:p>
    <w:p>
      <w:pPr>
        <w:spacing w:before="140" w:line="275"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教学基本建设包括学科与专业建设、课程建设、教材建设、实践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教学基地建设、教风学风建设、教学队伍建设、管理制度建设等。它是保证教学质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量最重要的基础性建设，须以学校发展目标和总体规划为依据，统筹安排、精心组织、</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4"/>
          <w:sz w:val="24"/>
          <w:szCs w:val="24"/>
        </w:rPr>
        <w:t>扎扎实实、坚持不懈的开展建设工作。在每项基本建设中须坚持改革创新，</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sz w:val="24"/>
          <w:szCs w:val="24"/>
        </w:rPr>
        <w:t>不断根据教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育发展需要及学校实际情况提出改革措施，努力创造稳定、良好的教学环境。</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第二十八条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4"/>
          <w:sz w:val="24"/>
          <w:szCs w:val="24"/>
        </w:rPr>
        <w:t>学科与专业建设。</w:t>
      </w:r>
    </w:p>
    <w:p>
      <w:pPr>
        <w:spacing w:before="148" w:line="315" w:lineRule="auto"/>
        <w:ind w:right="24"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（一）要科学规划学校的专业结构体系，</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8"/>
          <w:sz w:val="24"/>
          <w:szCs w:val="24"/>
        </w:rPr>
        <w:t>使专业设置与社会经济发展需求相适应，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并符合学校办学定位及资源情况。要遵循“大基础、小分流”的原则，拓宽本科专</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业口径，扩大专业基础，主干学科或主要基础学科相同的专业尽可能合并，以增强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学生的适应性。</w:t>
      </w:r>
    </w:p>
    <w:p>
      <w:pPr>
        <w:spacing w:before="1" w:line="307" w:lineRule="auto"/>
        <w:ind w:right="100"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（二）重视发展应用学科和专业，根据市场需求培养有创新意识的复合型人才；</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更新传统学科及专业，适度发展新兴学科、交叉边缘学科及专业；发挥学校财经类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专业的优势，努力办出学校特色。</w:t>
      </w:r>
    </w:p>
    <w:p>
      <w:pPr>
        <w:spacing w:before="41" w:line="315" w:lineRule="auto"/>
        <w:ind w:left="3" w:right="99"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13"/>
          <w:sz w:val="24"/>
          <w:szCs w:val="24"/>
        </w:rPr>
        <w:t>要注意根据学科与社会经济发展需要，</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不断优化专业结构，</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适时进行专业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或专业方向设置、培养目标和教学内容的调整。专业设置应依据国家教育部和省教</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育厅有关规定要求，按程序上报审批。</w:t>
      </w:r>
    </w:p>
    <w:p>
      <w:pPr>
        <w:spacing w:before="32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58</w:t>
      </w:r>
    </w:p>
    <w:p>
      <w:pPr>
        <w:sectPr>
          <w:footerReference r:id="rId62" w:type="default"/>
          <w:pgSz w:w="11905" w:h="16840"/>
          <w:pgMar w:top="1431" w:right="1485" w:bottom="400" w:left="1590" w:header="0" w:footer="0" w:gutter="0"/>
          <w:cols w:space="720" w:num="1"/>
        </w:sectPr>
      </w:pPr>
    </w:p>
    <w:p>
      <w:pPr>
        <w:spacing w:before="419" w:line="305" w:lineRule="auto"/>
        <w:ind w:right="76"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第二十九条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 xml:space="preserve">课程建设。须制定课程建设规划，在统筹安排中进行有计划、有 </w:t>
      </w:r>
      <w:r>
        <w:rPr>
          <w:rFonts w:ascii="方正书宋简体" w:hAnsi="方正书宋简体" w:eastAsia="方正书宋简体" w:cs="方正书宋简体"/>
          <w:spacing w:val="2"/>
          <w:sz w:val="24"/>
          <w:szCs w:val="24"/>
        </w:rPr>
        <w:t>目标、分层次、分阶段系统建设；建立课程建设评价机制，将对课程建设的要求纳</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入课程评价过程以推进课程建设进程；以精品课程建设为中心，积极推进双语课程</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建设，开拓网络课程建设，重视系列课程和课程群建设，深化教学内容、课程体系</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和教学方法、手段改革；充分发挥校、省、国家精品课程的示范辐射作用。各学院</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须制定本单位课程建设计划，对各专业课程有重点、分期分批地进行建设。对重点</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课程有计划地在师资队伍建设、教学条件建设等方面给予重点支持，推动科学研究</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和教学研究方面多出成果，出好成果，以此带动教学改革的深化和教学质量提高。</w:t>
      </w:r>
    </w:p>
    <w:p>
      <w:pPr>
        <w:spacing w:before="21" w:line="293" w:lineRule="auto"/>
        <w:ind w:right="67"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第三十条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教材建设。制订教材建设规划，加强文字教材、实物教材和视听教材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7"/>
          <w:sz w:val="24"/>
          <w:szCs w:val="24"/>
        </w:rPr>
        <w:t>等立体化教材建设。教材建设须注意使其吻合于专业建设、</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17"/>
          <w:sz w:val="24"/>
          <w:szCs w:val="24"/>
        </w:rPr>
        <w:t>课程建设的进程，</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7"/>
          <w:sz w:val="24"/>
          <w:szCs w:val="24"/>
        </w:rPr>
        <w:t>使教材建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设体现出教学改革和建设成果；</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积极开展教材研究，</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1"/>
          <w:sz w:val="24"/>
          <w:szCs w:val="24"/>
        </w:rPr>
        <w:t>认真分析现行教材存在的问题，</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1"/>
          <w:sz w:val="24"/>
          <w:szCs w:val="24"/>
        </w:rPr>
        <w:t>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出改进思路；</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1"/>
          <w:sz w:val="24"/>
          <w:szCs w:val="24"/>
        </w:rPr>
        <w:t>建立科学的教材编写、评价、选用制度，</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1"/>
          <w:sz w:val="24"/>
          <w:szCs w:val="24"/>
        </w:rPr>
        <w:t>加强教材建设和管理；</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1"/>
          <w:sz w:val="24"/>
          <w:szCs w:val="24"/>
        </w:rPr>
        <w:t>鼓励使用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国家规划教材、重点教材、省部级获奖教材和教育部推荐的优秀教材；</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3"/>
          <w:sz w:val="24"/>
          <w:szCs w:val="24"/>
        </w:rPr>
        <w:t>有计划地组织编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写能反映学校办学特色、专业特色、课程建设成就和教学改革成果的学校规划教材；</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4"/>
          <w:sz w:val="24"/>
          <w:szCs w:val="24"/>
        </w:rPr>
        <w:t>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好教材征订、采购与发行管理工作，</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8"/>
          <w:sz w:val="24"/>
          <w:szCs w:val="24"/>
        </w:rPr>
        <w:t>建立教材选用的评审、评估机制，</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8"/>
          <w:sz w:val="24"/>
          <w:szCs w:val="24"/>
        </w:rPr>
        <w:t>建立规范化的教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材征订、采购和发行办法，以方便学生和教师，提高管理水平和服务质量。</w:t>
      </w:r>
    </w:p>
    <w:p>
      <w:pPr>
        <w:spacing w:before="167" w:line="281" w:lineRule="auto"/>
        <w:ind w:left="5" w:right="79"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实验室与实践教学基地建设。包括实验室建设与校企合作实践教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育基地建设，实践教学基地建设要坚持校内与校外相结合原则，做好全面规划。</w:t>
      </w:r>
    </w:p>
    <w:p>
      <w:pPr>
        <w:spacing w:before="30" w:line="315" w:lineRule="auto"/>
        <w:ind w:left="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（一）实验室建设。要紧密结合学校学科、专业建设的实际，</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2"/>
          <w:sz w:val="24"/>
          <w:szCs w:val="24"/>
        </w:rPr>
        <w:t>按照统筹规划，</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2"/>
          <w:sz w:val="24"/>
          <w:szCs w:val="24"/>
        </w:rPr>
        <w:t>协</w:t>
      </w:r>
      <w:r>
        <w:rPr>
          <w:rFonts w:ascii="方正书宋简体" w:hAnsi="方正书宋简体" w:eastAsia="方正书宋简体" w:cs="方正书宋简体"/>
          <w:w w:val="103"/>
          <w:sz w:val="24"/>
          <w:szCs w:val="24"/>
        </w:rPr>
        <w:t xml:space="preserve">  </w:t>
      </w:r>
      <w:r>
        <w:rPr>
          <w:rFonts w:ascii="方正书宋简体" w:hAnsi="方正书宋简体" w:eastAsia="方正书宋简体" w:cs="方正书宋简体"/>
          <w:spacing w:val="2"/>
          <w:sz w:val="24"/>
          <w:szCs w:val="24"/>
        </w:rPr>
        <w:t>调发展，资源共享，先进高效，注重特色的原则，着力建设具有财经类院校特色的</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实验室。各学院（所、中心）实验室，在建设中必须制定完整的发展规划，并根据</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发展规划制定详细的年度建设计划。实验中心分为校级和院级两类，以五大平台为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基础实行校、院（所）</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5"/>
          <w:sz w:val="24"/>
          <w:szCs w:val="24"/>
        </w:rPr>
        <w:t>两级管理体制。校级实验中心一般按学科群或学科门类建制，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承担全校或多个学院实验教学任务和科研任务的实验场所或全校性公共基础课实验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教学任务（包括计算机基础、语言以及外语听力等）。校级实验中心由学校统一管理</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2"/>
          <w:sz w:val="24"/>
          <w:szCs w:val="24"/>
        </w:rPr>
        <w:t>或委托相关学院（所）进行日常管理。院级实验中心一般按一级学科进行建制，学</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科相近、特色不明显或规模较小的实验室应进行归并，主要服务于本学院各专业的</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专业性实验及相关科研、技术开发等。院级实验中心仪器、设备由学校管理，日常</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维护与运行由所在学院管理。各类实验中心可根据需要设置若干分中心或实验室。</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要建立实验室建设的检查验收机制，并组织实施。</w:t>
      </w:r>
    </w:p>
    <w:p>
      <w:pPr>
        <w:spacing w:before="322" w:line="180" w:lineRule="auto"/>
        <w:ind w:firstLine="42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59</w:t>
      </w:r>
    </w:p>
    <w:p>
      <w:pPr>
        <w:sectPr>
          <w:footerReference r:id="rId63" w:type="default"/>
          <w:pgSz w:w="11905" w:h="16840"/>
          <w:pgMar w:top="1431" w:right="1509" w:bottom="400" w:left="1588" w:header="0" w:footer="0" w:gutter="0"/>
          <w:cols w:space="720" w:num="1"/>
        </w:sectPr>
      </w:pPr>
    </w:p>
    <w:p>
      <w:pPr>
        <w:spacing w:before="426"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（二）校企合作实践教育基地建设。</w:t>
      </w:r>
    </w:p>
    <w:p>
      <w:pPr>
        <w:spacing w:before="192" w:line="315" w:lineRule="auto"/>
        <w:ind w:right="95"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1、要根据学校学科专业与办学层次、规模发展需求，</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以满足各专业实践教学需</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要为目标，按照“分类指导，突出特色”的原则，建立满足我校各专业需求的实践</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教育基地网络。</w:t>
      </w:r>
    </w:p>
    <w:p>
      <w:pPr>
        <w:spacing w:before="4" w:line="310" w:lineRule="auto"/>
        <w:ind w:right="17"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可根据专业的实践教学需要，充分挖掘学校现有各类型实践教育基地资源，将</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16"/>
          <w:sz w:val="24"/>
          <w:szCs w:val="24"/>
        </w:rPr>
        <w:t>社会资源引入校内，</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6"/>
          <w:sz w:val="24"/>
          <w:szCs w:val="24"/>
        </w:rPr>
        <w:t>校企合作共建校内实践基地，</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6"/>
          <w:sz w:val="24"/>
          <w:szCs w:val="24"/>
        </w:rPr>
        <w:t>并加以充分利用；</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6"/>
          <w:sz w:val="24"/>
          <w:szCs w:val="24"/>
        </w:rPr>
        <w:t>同时积极发展，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建立相对稳定的本专业校外实践教育基地。</w:t>
      </w:r>
    </w:p>
    <w:p>
      <w:pPr>
        <w:spacing w:before="20" w:line="315" w:lineRule="auto"/>
        <w:ind w:left="2"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2、要加强对教育基地的管理，</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建立各类教育基地的建设标准，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改善教育基地的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条件，加强基地师资的技能培训，健全实践教学管理规章制度，实施规范化管理，</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4"/>
          <w:sz w:val="24"/>
          <w:szCs w:val="24"/>
        </w:rPr>
        <w:t>提高实践教学的质量。</w:t>
      </w:r>
    </w:p>
    <w:p>
      <w:pPr>
        <w:spacing w:before="5" w:line="314" w:lineRule="auto"/>
        <w:ind w:left="3"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3、努力把学生实践与承担实践教学任务的教育基地的单位工作任务结合起来，</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达到与教育基地相互促进、相互提高，实现互利互荣，以形成教育基地建设的良性</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6"/>
          <w:sz w:val="24"/>
          <w:szCs w:val="24"/>
        </w:rPr>
        <w:t>发展机制。</w:t>
      </w:r>
    </w:p>
    <w:p>
      <w:pPr>
        <w:spacing w:line="303" w:lineRule="auto"/>
        <w:ind w:right="4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根据教学的需要，全面规划基地建设和改造，</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规范管理，建立资源合理配置和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合理使用机制；有计划地建设一批相对稳定的校内外教学实习基地，校内实习基地</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的建设须模拟真实生产或管理过程，再现工业、社会等环境，成为进行综合教育训</w:t>
      </w:r>
      <w:r>
        <w:rPr>
          <w:rFonts w:ascii="方正书宋简体" w:hAnsi="方正书宋简体" w:eastAsia="方正书宋简体" w:cs="方正书宋简体"/>
          <w:spacing w:val="15"/>
          <w:w w:val="102"/>
          <w:sz w:val="24"/>
          <w:szCs w:val="24"/>
        </w:rPr>
        <w:t xml:space="preserve">  </w:t>
      </w:r>
      <w:r>
        <w:rPr>
          <w:rFonts w:ascii="方正书宋简体" w:hAnsi="方正书宋简体" w:eastAsia="方正书宋简体" w:cs="方正书宋简体"/>
          <w:spacing w:val="-4"/>
          <w:sz w:val="24"/>
          <w:szCs w:val="24"/>
        </w:rPr>
        <w:t>练的课内外实践教学基地。校外实习基地，须努力把实习与承担实习单位的实际工作</w:t>
      </w:r>
      <w:r>
        <w:rPr>
          <w:rFonts w:ascii="方正书宋简体" w:hAnsi="方正书宋简体" w:eastAsia="方正书宋简体" w:cs="方正书宋简体"/>
          <w:spacing w:val="1"/>
          <w:w w:val="102"/>
          <w:sz w:val="24"/>
          <w:szCs w:val="24"/>
        </w:rPr>
        <w:t xml:space="preserve">  </w:t>
      </w:r>
      <w:r>
        <w:rPr>
          <w:rFonts w:ascii="方正书宋简体" w:hAnsi="方正书宋简体" w:eastAsia="方正书宋简体" w:cs="方正书宋简体"/>
          <w:spacing w:val="-21"/>
          <w:sz w:val="24"/>
          <w:szCs w:val="24"/>
        </w:rPr>
        <w:t>任务结合起来，</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1"/>
          <w:sz w:val="24"/>
          <w:szCs w:val="24"/>
        </w:rPr>
        <w:t>做到互利互惠，</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1"/>
          <w:sz w:val="24"/>
          <w:szCs w:val="24"/>
        </w:rPr>
        <w:t>以取得校外实习单位的支持；</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1"/>
          <w:sz w:val="24"/>
          <w:szCs w:val="24"/>
        </w:rPr>
        <w:t>建立健全实习基地管理的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各项规章制度，坚持实习基地的建设标准，明确各级各类实习基地的教学任务与目标，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建立起能够调动实习基地教学积极性的有效机制。实验室建设须与学科专业建设、课程</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18"/>
          <w:sz w:val="24"/>
          <w:szCs w:val="24"/>
        </w:rPr>
        <w:t>建设相匹配，</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8"/>
          <w:sz w:val="24"/>
          <w:szCs w:val="24"/>
        </w:rPr>
        <w:t>防止分散配置、局部使用、低水平重复的低效益建设方式，</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8"/>
          <w:sz w:val="24"/>
          <w:szCs w:val="24"/>
        </w:rPr>
        <w:t>集中力量建设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好受益面较广的基础教学实验室；做好实验室计划管理、技术管理、固定资产管理和</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1"/>
          <w:sz w:val="24"/>
          <w:szCs w:val="24"/>
        </w:rPr>
        <w:t>经费管理，提高投资效益和设备利用率；组织实验室建设的检查验收。</w:t>
      </w:r>
    </w:p>
    <w:p>
      <w:pPr>
        <w:spacing w:before="168" w:line="275" w:lineRule="auto"/>
        <w:ind w:left="1"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
          <w:sz w:val="24"/>
          <w:szCs w:val="24"/>
        </w:rPr>
        <w:t>教学设施建设。教学设施建设是提高教学质量的重要物质保证。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学校须合理配置教学资源，坚持从实际出发，</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4"/>
          <w:sz w:val="24"/>
          <w:szCs w:val="24"/>
        </w:rPr>
        <w:t>搞好教学设施的规划建设，有计划、</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有重点地购置教学设备、实验器材和图书资料等，不断完善教学条件。图书馆、资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料室、实验室、多媒体教室、语音室、计算机室、体育场馆等部门的管理人员须牢</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固树立为教学服务的意识，为教学工作提供有力保障。</w:t>
      </w:r>
    </w:p>
    <w:p>
      <w:pPr>
        <w:spacing w:before="187" w:line="268" w:lineRule="auto"/>
        <w:ind w:left="3"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第三十三条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3"/>
          <w:sz w:val="24"/>
          <w:szCs w:val="24"/>
        </w:rPr>
        <w:t>教风学风建设。教风学风包括教师的治学作风和学生的学习目的、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学习态度、学习纪律等方面的学习作风。通过思想建设、组织建设、制度建设和环</w:t>
      </w:r>
    </w:p>
    <w:p>
      <w:pPr>
        <w:spacing w:before="406"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w:t>
      </w:r>
    </w:p>
    <w:p>
      <w:pPr>
        <w:sectPr>
          <w:footerReference r:id="rId64" w:type="default"/>
          <w:pgSz w:w="11905" w:h="16840"/>
          <w:pgMar w:top="1431" w:right="1490" w:bottom="400" w:left="1590" w:header="0" w:footer="0" w:gutter="0"/>
          <w:cols w:space="720" w:num="1"/>
        </w:sectPr>
      </w:pPr>
    </w:p>
    <w:p>
      <w:pPr>
        <w:spacing w:before="409" w:line="274"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4"/>
          <w:sz w:val="24"/>
          <w:szCs w:val="24"/>
        </w:rPr>
        <w:t>境建设，</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4"/>
          <w:sz w:val="24"/>
          <w:szCs w:val="24"/>
        </w:rPr>
        <w:t>逐步形成良好传统；</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4"/>
          <w:sz w:val="24"/>
          <w:szCs w:val="24"/>
        </w:rPr>
        <w:t>坚持重在教育，</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4"/>
          <w:sz w:val="24"/>
          <w:szCs w:val="24"/>
        </w:rPr>
        <w:t>建管结合，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4"/>
          <w:sz w:val="24"/>
          <w:szCs w:val="24"/>
        </w:rPr>
        <w:t>以建为主的原则，</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4"/>
          <w:sz w:val="24"/>
          <w:szCs w:val="24"/>
        </w:rPr>
        <w:t>坚持校、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院和职能部门齐抓共管，教师人人参与的做法，把教风学风建设与学校德育工作结</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2"/>
          <w:sz w:val="24"/>
          <w:szCs w:val="24"/>
        </w:rPr>
        <w:t>合起来。通过思想教育和教学改革，使学生变被动学习为主动学习，并充分利用选</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修课、第二课堂等形式扩展学生学习领域。须特别重视考风建设，通过严肃教育和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严格管理，坚决制止考试违纪行为，纠正不良风气。</w:t>
      </w:r>
    </w:p>
    <w:p>
      <w:pPr>
        <w:spacing w:before="185" w:line="294" w:lineRule="auto"/>
        <w:ind w:left="2" w:right="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教学队伍建设。为保证学校可持续发展和教学质量不断提高，必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须建立一支数量合适、结构合理、素质优良、教学科研结合的相对稳定的师资队伍。</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
          <w:sz w:val="24"/>
          <w:szCs w:val="24"/>
        </w:rPr>
        <w:t>校、院以及教研室等基层教学单位均须制订教师队伍建设规划，层层负责；加强教</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7"/>
          <w:sz w:val="24"/>
          <w:szCs w:val="24"/>
        </w:rPr>
        <w:t>师的师德师风建设，</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7"/>
          <w:sz w:val="24"/>
          <w:szCs w:val="24"/>
        </w:rPr>
        <w:t>不断增强教师的责任感和忧患意识、提高教师的职业道德水平；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完善教师职务聘任制，</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5"/>
          <w:sz w:val="24"/>
          <w:szCs w:val="24"/>
        </w:rPr>
        <w:t>建立竞争激励机制，</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5"/>
          <w:sz w:val="24"/>
          <w:szCs w:val="24"/>
        </w:rPr>
        <w:t>优化教师队伍结构，</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提高教师队伍素质；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加大师资培养力度，针对不同岗位教师需要，</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以多种形式进行师资培训；采取特殊</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2"/>
          <w:sz w:val="24"/>
          <w:szCs w:val="24"/>
        </w:rPr>
        <w:t>政策和措施，大力引进和选聘高学历、高层次以及新专业急需的人才，不断充实教</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3"/>
          <w:sz w:val="24"/>
          <w:szCs w:val="24"/>
        </w:rPr>
        <w:t>师队伍，尤其是学科带头人和骨干教师队伍；</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发挥学术造诣深、教学经验丰富的老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教师的传帮带作用，培养优秀青年教师。全体教师都必须树立终身学习观念，加大</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知识更新力度，不断优化知识结构，不断提高专业素质和业务水平。</w:t>
      </w:r>
    </w:p>
    <w:p>
      <w:pPr>
        <w:spacing w:before="26" w:line="232" w:lineRule="auto"/>
        <w:ind w:right="9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通过体制机制改革，建立一支人员精干、素质优良、结构合理、教学科研相结</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合的相对稳定的教学梯队。</w:t>
      </w:r>
    </w:p>
    <w:p>
      <w:pPr>
        <w:spacing w:before="197" w:line="233" w:lineRule="auto"/>
        <w:ind w:right="10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（一）校、院（部）、系（教研室）均要制订教师队伍建设规划，层层负责、抓</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6"/>
          <w:sz w:val="24"/>
          <w:szCs w:val="24"/>
        </w:rPr>
        <w:t>好落实。</w:t>
      </w:r>
    </w:p>
    <w:p>
      <w:pPr>
        <w:spacing w:before="193" w:line="297" w:lineRule="auto"/>
        <w:ind w:right="95"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3"/>
          <w:sz w:val="24"/>
          <w:szCs w:val="24"/>
        </w:rPr>
        <w:t>应不断完善教师培训与选聘制度，</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提高教师的整体素质：</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采取在职与脱产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培训相结合，以在职为主的师资培养原则；重点抓好中青年骨干教师的培养；注意</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选拔培养学术带头人和骨干教师；发挥学术造诣深、教学经验丰富的老教师的传帮</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带作用，培养优秀青年教师充实教学第一线。</w:t>
      </w:r>
    </w:p>
    <w:p>
      <w:pPr>
        <w:spacing w:before="27" w:line="233" w:lineRule="auto"/>
        <w:ind w:right="96"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3"/>
          <w:sz w:val="24"/>
          <w:szCs w:val="24"/>
        </w:rPr>
        <w:t>教师要树立教书育人光荣感、责任感，</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做学生的表率，</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对学生要敢于严格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要求，引导他们全面发展。</w:t>
      </w:r>
    </w:p>
    <w:p>
      <w:pPr>
        <w:spacing w:before="190" w:line="298" w:lineRule="auto"/>
        <w:ind w:left="3" w:right="95"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（四）</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18"/>
          <w:sz w:val="24"/>
          <w:szCs w:val="24"/>
        </w:rPr>
        <w:t>对教学成绩显著的教师，</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8"/>
          <w:sz w:val="24"/>
          <w:szCs w:val="24"/>
        </w:rPr>
        <w:t>要按学校有关规定，</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8"/>
          <w:sz w:val="24"/>
          <w:szCs w:val="24"/>
        </w:rPr>
        <w:t>给予精神、物质奖励；</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8"/>
          <w:sz w:val="24"/>
          <w:szCs w:val="24"/>
        </w:rPr>
        <w:t>对教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学不负责任，教学效果差，经批评帮助没有改进，不适宜担任教学工作的教师应及</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时进行调整。</w:t>
      </w:r>
    </w:p>
    <w:p>
      <w:pPr>
        <w:spacing w:before="9" w:line="278" w:lineRule="auto"/>
        <w:ind w:left="2"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教学管理队伍建设。须建立一支思想政治素质较高、熟悉教学规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律、精通管理业务、数量充足、相对稳定的教学管理干部队伍。有计划地安排教学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管理人员岗位培训、在职学习和考察交流。各级教学管理人员须努力学习现代教育</w:t>
      </w:r>
    </w:p>
    <w:p>
      <w:pPr>
        <w:spacing w:line="319" w:lineRule="auto"/>
        <w:rPr>
          <w:rFonts w:ascii="Malgun Gothic"/>
          <w:sz w:val="21"/>
        </w:rPr>
      </w:pPr>
    </w:p>
    <w:p>
      <w:pPr>
        <w:spacing w:before="53"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61</w:t>
      </w:r>
    </w:p>
    <w:p>
      <w:pPr>
        <w:sectPr>
          <w:footerReference r:id="rId65" w:type="default"/>
          <w:pgSz w:w="11905" w:h="16840"/>
          <w:pgMar w:top="1431" w:right="1490" w:bottom="400" w:left="1590" w:header="0" w:footer="0" w:gutter="0"/>
          <w:cols w:space="720" w:num="1"/>
        </w:sectPr>
      </w:pPr>
    </w:p>
    <w:p>
      <w:pPr>
        <w:spacing w:before="412" w:line="232" w:lineRule="auto"/>
        <w:ind w:left="5" w:right="76" w:hanging="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理论，认清高等教育改革和发展方向，树立新的教育教学思想理念，形成严谨、踏</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实的工作作风，不断提高教学管理水平。</w:t>
      </w:r>
    </w:p>
    <w:p>
      <w:pPr>
        <w:spacing w:before="188" w:line="29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教学管理制度建设。制订并完善教学基本文件，包括培养方案、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教学大纲、学期教学任务、校历、课程表、学期教学总结等。建立必要的规章制度，</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2"/>
          <w:sz w:val="24"/>
          <w:szCs w:val="24"/>
        </w:rPr>
        <w:t>包括学籍管理、成绩考核管理、实验室管理、</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排课与调课、教学档案保管等制度以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及教师和教学管理人员岗位责任及奖惩制度等。教学管理制度的制订须以有利于学</w:t>
      </w:r>
      <w:r>
        <w:rPr>
          <w:rFonts w:ascii="方正书宋简体" w:hAnsi="方正书宋简体" w:eastAsia="方正书宋简体" w:cs="方正书宋简体"/>
          <w:spacing w:val="2"/>
          <w:w w:val="102"/>
          <w:sz w:val="24"/>
          <w:szCs w:val="24"/>
        </w:rPr>
        <w:t xml:space="preserve">  </w:t>
      </w:r>
      <w:r>
        <w:rPr>
          <w:rFonts w:ascii="方正书宋简体" w:hAnsi="方正书宋简体" w:eastAsia="方正书宋简体" w:cs="方正书宋简体"/>
          <w:spacing w:val="2"/>
          <w:sz w:val="24"/>
          <w:szCs w:val="24"/>
        </w:rPr>
        <w:t>生成人与成才、有利于教学秩序的稳定、有利于教与学积极性的调动为着眼点，做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到教学管理制度健全、体系完善，制订过程民主，可操作性强。教学管理制度一经</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制订就须严格执行，可根据管理对象和管理过程的变化进行调整。</w:t>
      </w:r>
    </w:p>
    <w:p>
      <w:pPr>
        <w:spacing w:line="202" w:lineRule="auto"/>
        <w:ind w:firstLine="281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第六章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教学质量管理与评价</w:t>
      </w:r>
    </w:p>
    <w:p>
      <w:pPr>
        <w:spacing w:before="81" w:line="241" w:lineRule="auto"/>
        <w:ind w:left="1" w:right="7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第三十七条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z w:val="24"/>
          <w:szCs w:val="24"/>
        </w:rPr>
        <w:t>教学质量管理是教学管理的核心，其主要任务是根据专业培养目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标和基本培养规格要求，按照教学规律，科学地组织教学和管理教学，以达到培养</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合格人才的质量要求。</w:t>
      </w:r>
    </w:p>
    <w:p>
      <w:pPr>
        <w:spacing w:before="183" w:line="256" w:lineRule="auto"/>
        <w:ind w:left="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教学质量管理的最终目的是保证和提高教学质量。要通过合适的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外部因素（国家方针、政策、体制等</w:t>
      </w:r>
      <w:r>
        <w:rPr>
          <w:rFonts w:ascii="方正书宋简体" w:hAnsi="方正书宋简体" w:eastAsia="方正书宋简体" w:cs="方正书宋简体"/>
          <w:spacing w:val="-79"/>
          <w:sz w:val="24"/>
          <w:szCs w:val="24"/>
        </w:rPr>
        <w:t>），</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5"/>
          <w:sz w:val="24"/>
          <w:szCs w:val="24"/>
        </w:rPr>
        <w:t>不断改善影响学校教学质量的内部因素（如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师资队伍、教与学、教学条件、教学管理等</w:t>
      </w:r>
      <w:r>
        <w:rPr>
          <w:rFonts w:ascii="方正书宋简体" w:hAnsi="方正书宋简体" w:eastAsia="方正书宋简体" w:cs="方正书宋简体"/>
          <w:spacing w:val="-77"/>
          <w:sz w:val="24"/>
          <w:szCs w:val="24"/>
        </w:rPr>
        <w:t>），</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通过科学的评价方法，</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2"/>
          <w:sz w:val="24"/>
          <w:szCs w:val="24"/>
        </w:rPr>
        <w:t>分析教学质量，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建立通畅的信息反馈网络，从而营造并维护良好的育人环境，达到最佳教学效果。</w:t>
      </w:r>
    </w:p>
    <w:p>
      <w:pPr>
        <w:spacing w:before="183"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第四十条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12"/>
          <w:sz w:val="24"/>
          <w:szCs w:val="24"/>
        </w:rPr>
        <w:t>要提高质量意识，</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坚持严格的质量标准，</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树立正确、全面的质量观：</w:t>
      </w:r>
    </w:p>
    <w:p>
      <w:pPr>
        <w:spacing w:before="127" w:line="193"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（一）坚持德、智、体、美等全面发展的观点；</w:t>
      </w:r>
    </w:p>
    <w:p>
      <w:pPr>
        <w:spacing w:before="155" w:line="193"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（二）坚持知识、能力和素质协调发展，全面素质教育的观点；</w:t>
      </w:r>
    </w:p>
    <w:p>
      <w:pPr>
        <w:spacing w:before="154" w:line="193"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（三）坚持智力因素与非智力因素协调发展的观点。</w:t>
      </w:r>
    </w:p>
    <w:p>
      <w:pPr>
        <w:spacing w:before="145" w:line="287" w:lineRule="auto"/>
        <w:ind w:right="76"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对教学质量管理必须树立全面性、全员性和全过程的质量管理意</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识。全面性就是要求培养的学生德、智、体、</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美等全面发展；全员性就是全体教职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工都要为保证和促进教学质量的提高而努力；</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3"/>
          <w:sz w:val="24"/>
          <w:szCs w:val="24"/>
        </w:rPr>
        <w:t>全过程就是对整个教学过程中影响教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学质量的每一个内、外部因素和每一个教学环节都要进行质量控制，其中全过程质</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3"/>
          <w:sz w:val="24"/>
          <w:szCs w:val="24"/>
        </w:rPr>
        <w:t>量管理是重中之重。</w:t>
      </w:r>
    </w:p>
    <w:p>
      <w:pPr>
        <w:spacing w:before="31" w:line="301" w:lineRule="auto"/>
        <w:ind w:left="5" w:right="71"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（一）招生过程的质量管理。主要是把好招生计划关、新生质量关，搞好招生、</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宣传、招生录取、入学新生全面复审等工作。</w:t>
      </w:r>
    </w:p>
    <w:p>
      <w:pPr>
        <w:spacing w:before="2" w:line="231" w:lineRule="auto"/>
        <w:ind w:left="3" w:right="7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（二）</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7"/>
          <w:sz w:val="24"/>
          <w:szCs w:val="24"/>
        </w:rPr>
        <w:t>人才培养方案实施过程的质量管理。主要是人才培养方案的制（修）</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7"/>
          <w:sz w:val="24"/>
          <w:szCs w:val="24"/>
        </w:rPr>
        <w:t>订和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分步实施。</w:t>
      </w:r>
    </w:p>
    <w:p>
      <w:pPr>
        <w:spacing w:before="201"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（三）教学过程的质量管理。主要是把好教学过程各个环节的质量关。</w:t>
      </w:r>
    </w:p>
    <w:p>
      <w:pPr>
        <w:spacing w:line="414" w:lineRule="auto"/>
        <w:rPr>
          <w:rFonts w:ascii="Malgun Gothic"/>
          <w:sz w:val="21"/>
        </w:rPr>
      </w:pPr>
    </w:p>
    <w:p>
      <w:pPr>
        <w:spacing w:before="5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62</w:t>
      </w:r>
    </w:p>
    <w:p>
      <w:pPr>
        <w:sectPr>
          <w:footerReference r:id="rId66" w:type="default"/>
          <w:pgSz w:w="11905" w:h="16840"/>
          <w:pgMar w:top="1431" w:right="1509" w:bottom="400" w:left="1589" w:header="0" w:footer="0" w:gutter="0"/>
          <w:cols w:space="720" w:num="1"/>
        </w:sectPr>
      </w:pPr>
    </w:p>
    <w:p>
      <w:pPr>
        <w:spacing w:before="408" w:line="288" w:lineRule="auto"/>
        <w:ind w:left="3" w:right="28"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（四）</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教学辅助过程的质量管理。主要是提供充足的、最新的图书资料，提高计算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机辅助教学、仪器设备、体育场馆、多媒体教室管理水平和教学管理人员的服务质量。</w:t>
      </w:r>
    </w:p>
    <w:p>
      <w:pPr>
        <w:spacing w:before="35" w:line="291" w:lineRule="auto"/>
        <w:ind w:left="2" w:right="8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（五）</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3"/>
          <w:sz w:val="24"/>
          <w:szCs w:val="24"/>
        </w:rPr>
        <w:t>实行科学化考试管理。主要是建立科学的考试工作程序和制度，</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3"/>
          <w:sz w:val="24"/>
          <w:szCs w:val="24"/>
        </w:rPr>
        <w:t>严格考试过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程管理和考试纪律，进行必要的试题及试卷分析，做好考试及授课工作的科学总结。</w:t>
      </w:r>
    </w:p>
    <w:p>
      <w:pPr>
        <w:spacing w:before="22" w:line="19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1"/>
          <w:sz w:val="24"/>
          <w:szCs w:val="24"/>
        </w:rPr>
        <w:t>建立教学质量督导与检查制度</w:t>
      </w:r>
    </w:p>
    <w:p>
      <w:pPr>
        <w:spacing w:before="115" w:line="299" w:lineRule="auto"/>
        <w:ind w:right="9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学校、学院须建立健全各主要教学环节质量标准，完善教学质量监控体系，分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别成立教学督导组，形成全校教学工作督导网络。建立教学检查、学风检查、教学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督导、同行领导听课、学生评教、学生信息反馈、毕业生调查等制度；制定教师教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学工作规程；建立教师教学质量评价指标体系，实行学生评教、教师评学、同行评</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
          <w:sz w:val="24"/>
          <w:szCs w:val="24"/>
        </w:rPr>
        <w:t>教制度、领导干部听课制度，对教师敬业精神、教书育人、教学内容、教学方法、</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教学进度、教学效果、教学管理和学生学习等情况进行评价。</w:t>
      </w:r>
    </w:p>
    <w:p>
      <w:pPr>
        <w:spacing w:before="6" w:line="199"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完善教学信息反馈系统</w:t>
      </w:r>
    </w:p>
    <w:p>
      <w:pPr>
        <w:spacing w:before="97" w:line="233" w:lineRule="auto"/>
        <w:ind w:left="3" w:right="97"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健全校、院两级教学督导及信息反馈制度，充分发挥广播、校报、教学质量简</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报、网络等媒体的作用，保证教学信息收集与反馈渠道的畅通。</w:t>
      </w:r>
    </w:p>
    <w:p>
      <w:pPr>
        <w:spacing w:before="183"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第四十四条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1"/>
          <w:sz w:val="24"/>
          <w:szCs w:val="24"/>
        </w:rPr>
        <w:t>建立健全教学工作评估制度</w:t>
      </w:r>
    </w:p>
    <w:p>
      <w:pPr>
        <w:spacing w:before="133" w:line="255" w:lineRule="auto"/>
        <w:ind w:left="2" w:right="94"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有计划地开展专业建设评估、专项和综合评估、课程建设评估、学校与二级学</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院本科教学工作评估等工作，把开展教学评估作为教学管理的重要手段，实现教学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工作评估与日常教学管理相结合，有效促进教学质量的不断提高。</w:t>
      </w:r>
    </w:p>
    <w:p>
      <w:pPr>
        <w:spacing w:before="185"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第四十五条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建立教师和管理人员工作考核制度</w:t>
      </w:r>
    </w:p>
    <w:p>
      <w:pPr>
        <w:spacing w:before="133" w:line="231" w:lineRule="auto"/>
        <w:ind w:left="4" w:right="97"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考核工作采取定性评价与定量评价相结合的方式，考核结果与晋职、津贴分配</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7"/>
          <w:sz w:val="24"/>
          <w:szCs w:val="24"/>
        </w:rPr>
        <w:t>等挂钩。</w:t>
      </w:r>
    </w:p>
    <w:p>
      <w:pPr>
        <w:spacing w:before="187"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第四十六条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建立教学奖励制度</w:t>
      </w:r>
    </w:p>
    <w:p>
      <w:pPr>
        <w:spacing w:before="133" w:line="255" w:lineRule="auto"/>
        <w:ind w:right="94"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对于在教学工作中做出优异成绩的教师和管理人员予以表彰奖励。学校设立教</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学名师奖、青年教师教学优秀奖、教学管理优秀奖、课堂教学质量优秀奖、教学成</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8"/>
          <w:sz w:val="24"/>
          <w:szCs w:val="24"/>
        </w:rPr>
        <w:t>果奖等奖励制度。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8"/>
          <w:sz w:val="24"/>
          <w:szCs w:val="24"/>
        </w:rPr>
        <w:t>具体按《吉首大学教学奖励办法》执行。</w:t>
      </w:r>
    </w:p>
    <w:p>
      <w:pPr>
        <w:spacing w:before="183"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第四十七条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1"/>
          <w:sz w:val="24"/>
          <w:szCs w:val="24"/>
        </w:rPr>
        <w:t>建立教学事故责任追究制度</w:t>
      </w:r>
    </w:p>
    <w:p>
      <w:pPr>
        <w:spacing w:before="128" w:line="219" w:lineRule="auto"/>
        <w:ind w:left="3413" w:right="34" w:hanging="2972"/>
        <w:rPr>
          <w:rFonts w:ascii="Microsoft JhengHei" w:hAnsi="Microsoft JhengHei" w:eastAsia="Microsoft JhengHei" w:cs="Microsoft JhengHei"/>
          <w:sz w:val="24"/>
          <w:szCs w:val="24"/>
        </w:rPr>
      </w:pPr>
      <w:r>
        <w:rPr>
          <w:rFonts w:ascii="方正书宋简体" w:hAnsi="方正书宋简体" w:eastAsia="方正书宋简体" w:cs="方正书宋简体"/>
          <w:spacing w:val="-21"/>
          <w:sz w:val="24"/>
          <w:szCs w:val="24"/>
        </w:rPr>
        <w:t>对教学事故的责任人员予以处理，具体按《吉首大学教学事故认定及处理办法》执行。</w:t>
      </w:r>
      <w:r>
        <w:rPr>
          <w:rFonts w:ascii="方正书宋简体" w:hAnsi="方正书宋简体" w:eastAsia="方正书宋简体" w:cs="方正书宋简体"/>
          <w:spacing w:val="24"/>
          <w:sz w:val="24"/>
          <w:szCs w:val="24"/>
        </w:rPr>
        <w:t xml:space="preserve"> </w:t>
      </w:r>
      <w:r>
        <w:rPr>
          <w:rFonts w:ascii="Microsoft JhengHei" w:hAnsi="Microsoft JhengHei" w:eastAsia="Microsoft JhengHei" w:cs="Microsoft JhengHei"/>
          <w:spacing w:val="-3"/>
          <w:sz w:val="24"/>
          <w:szCs w:val="24"/>
        </w:rPr>
        <w:t>第七章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3"/>
          <w:sz w:val="24"/>
          <w:szCs w:val="24"/>
        </w:rPr>
        <w:t>教学研究</w:t>
      </w:r>
    </w:p>
    <w:p>
      <w:pPr>
        <w:spacing w:before="159" w:line="28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教学研究是学校科学研究的重要组成部分，是提高教学质量的重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要环节。它的主要任务是党的路线方针政策为指导，坚持立德树人，运用高等教育</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理论和管理科学等方面的理论知识，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结合高等教育和学校发展实际，</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开展教育思想、</w:t>
      </w:r>
    </w:p>
    <w:p>
      <w:pPr>
        <w:spacing w:line="309" w:lineRule="auto"/>
        <w:rPr>
          <w:rFonts w:ascii="Malgun Gothic"/>
          <w:sz w:val="21"/>
        </w:rPr>
      </w:pPr>
    </w:p>
    <w:p>
      <w:pPr>
        <w:spacing w:before="52"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63</w:t>
      </w:r>
    </w:p>
    <w:p>
      <w:pPr>
        <w:sectPr>
          <w:footerReference r:id="rId67" w:type="default"/>
          <w:pgSz w:w="11905" w:h="16840"/>
          <w:pgMar w:top="1431" w:right="1491" w:bottom="400" w:left="1590" w:header="0" w:footer="0" w:gutter="0"/>
          <w:cols w:space="720" w:num="1"/>
        </w:sectPr>
      </w:pPr>
    </w:p>
    <w:p>
      <w:pPr>
        <w:spacing w:before="411" w:line="232" w:lineRule="auto"/>
        <w:ind w:left="1" w:right="18"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教学内容、教学方法和手段、教学管理等方面的研究，</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以指导学校教学改革的实践，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促进学校教学质量和管理水平的提高。</w:t>
      </w:r>
    </w:p>
    <w:p>
      <w:pPr>
        <w:spacing w:before="184" w:line="255" w:lineRule="auto"/>
        <w:ind w:left="2" w:right="9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搞好教学管理，必须以教学管理研究和教育研究为基础。开展教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学管理研究，是所有教学管理人员、教育研究人员及教师的共同任务。在学习与研</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究过程中，要从高等教育的规律与特性出发，</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3"/>
          <w:sz w:val="24"/>
          <w:szCs w:val="24"/>
        </w:rPr>
        <w:t>紧密结合学校教学的具体实际，不断</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改进研究方法。</w:t>
      </w:r>
    </w:p>
    <w:p>
      <w:pPr>
        <w:spacing w:before="188" w:line="268" w:lineRule="auto"/>
        <w:ind w:left="1" w:right="9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开展教学管理及教育研究是一项综合性、应用性强的工作，要进行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科学的组织与管理，具体做到：</w:t>
      </w:r>
    </w:p>
    <w:p>
      <w:pPr>
        <w:spacing w:before="25" w:line="246" w:lineRule="auto"/>
        <w:ind w:left="12" w:right="98" w:firstLine="33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9"/>
          <w:sz w:val="24"/>
          <w:szCs w:val="24"/>
        </w:rPr>
        <w:t>坚持教育必须为社会主义现代化建设服务，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为培养社会主义事业的建设者</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7"/>
          <w:sz w:val="24"/>
          <w:szCs w:val="24"/>
        </w:rPr>
        <w:t>和接班人服务；</w:t>
      </w:r>
    </w:p>
    <w:p>
      <w:pPr>
        <w:spacing w:before="15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（二）做好学校教育发展长远和近期的规划；</w:t>
      </w:r>
    </w:p>
    <w:p>
      <w:pPr>
        <w:spacing w:before="15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（三）制订阶段实施计划；</w:t>
      </w:r>
    </w:p>
    <w:p>
      <w:pPr>
        <w:spacing w:before="156"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（四）有计划、有目的、有重点地组织立项研究；</w:t>
      </w:r>
    </w:p>
    <w:p>
      <w:pPr>
        <w:spacing w:before="15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（五）组织开展校内外广泛交流，提高研究水平；</w:t>
      </w:r>
    </w:p>
    <w:p>
      <w:pPr>
        <w:spacing w:before="158" w:line="232" w:lineRule="auto"/>
        <w:ind w:left="4" w:right="9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（六）</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实行专兼职相结合的方式，</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发动广大教师和管理干部，</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3"/>
          <w:sz w:val="24"/>
          <w:szCs w:val="24"/>
        </w:rPr>
        <w:t>结合本职工作进行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教学管理研究。</w:t>
      </w:r>
    </w:p>
    <w:p>
      <w:pPr>
        <w:spacing w:before="189" w:line="269" w:lineRule="auto"/>
        <w:ind w:firstLine="475"/>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第五十一条</w:t>
      </w:r>
      <w:r>
        <w:rPr>
          <w:rFonts w:ascii="Microsoft JhengHei" w:hAnsi="Microsoft JhengHei" w:eastAsia="Microsoft JhengHei" w:cs="Microsoft JhengHei"/>
          <w:spacing w:val="22"/>
          <w:sz w:val="24"/>
          <w:szCs w:val="24"/>
        </w:rPr>
        <w:t xml:space="preserve">   </w:t>
      </w:r>
      <w:r>
        <w:rPr>
          <w:rFonts w:ascii="方正书宋简体" w:hAnsi="方正书宋简体" w:eastAsia="方正书宋简体" w:cs="方正书宋简体"/>
          <w:spacing w:val="-11"/>
          <w:sz w:val="24"/>
          <w:szCs w:val="24"/>
        </w:rPr>
        <w:t>教学管理与教育研究要紧密结合学校教学改革的实际。要随着经济建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设及体制改革的深入发展，重视研究教学工作中的新情况和新问题。要注重素质教育，</w:t>
      </w:r>
      <w:r>
        <w:rPr>
          <w:rFonts w:ascii="方正书宋简体" w:hAnsi="方正书宋简体" w:eastAsia="方正书宋简体" w:cs="方正书宋简体"/>
          <w:spacing w:val="1"/>
          <w:w w:val="102"/>
          <w:sz w:val="24"/>
          <w:szCs w:val="24"/>
        </w:rPr>
        <w:t xml:space="preserve">  </w:t>
      </w:r>
      <w:r>
        <w:rPr>
          <w:rFonts w:ascii="方正书宋简体" w:hAnsi="方正书宋简体" w:eastAsia="方正书宋简体" w:cs="方正书宋简体"/>
          <w:spacing w:val="-19"/>
          <w:sz w:val="24"/>
          <w:szCs w:val="24"/>
        </w:rPr>
        <w:t>加强学生实践能力、创新精神和创造能力的培养，</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9"/>
          <w:sz w:val="24"/>
          <w:szCs w:val="24"/>
        </w:rPr>
        <w:t>重视学生个性的发展，</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9"/>
          <w:sz w:val="24"/>
          <w:szCs w:val="24"/>
        </w:rPr>
        <w:t>实行因材施教。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要面向</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12"/>
          <w:sz w:val="24"/>
          <w:szCs w:val="24"/>
        </w:rPr>
        <w:t>21</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2"/>
          <w:sz w:val="24"/>
          <w:szCs w:val="24"/>
        </w:rPr>
        <w:t>世纪，积极开展人才培养模式、</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2"/>
          <w:sz w:val="24"/>
          <w:szCs w:val="24"/>
        </w:rPr>
        <w:t>教学内容、课程体系和教学方法的改革。要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深入进行比较教育研究，努力开展各种教学实验和教学改革试点工作。</w:t>
      </w:r>
    </w:p>
    <w:p>
      <w:pPr>
        <w:spacing w:before="149" w:line="249" w:lineRule="auto"/>
        <w:ind w:left="5"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第五十二条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学校要重视和加强教学研究工作。提倡、鼓励和支持教师、教学 </w:t>
      </w:r>
      <w:r>
        <w:rPr>
          <w:rFonts w:ascii="方正书宋简体" w:hAnsi="方正书宋简体" w:eastAsia="方正书宋简体" w:cs="方正书宋简体"/>
          <w:spacing w:val="2"/>
          <w:sz w:val="24"/>
          <w:szCs w:val="24"/>
        </w:rPr>
        <w:t>管理干部积极开展教学研究，大胆进行教学改革试验。学校设立教育教学改革与教</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育技术专项研究课题，并推荐重点项目申报上级课题。</w:t>
      </w:r>
    </w:p>
    <w:p>
      <w:pPr>
        <w:spacing w:before="148" w:line="241" w:lineRule="auto"/>
        <w:ind w:left="5" w:right="89" w:firstLine="470"/>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第五十三条</w:t>
      </w:r>
      <w:r>
        <w:rPr>
          <w:rFonts w:ascii="Microsoft JhengHei" w:hAnsi="Microsoft JhengHei" w:eastAsia="Microsoft JhengHei" w:cs="Microsoft JhengHei"/>
          <w:spacing w:val="18"/>
          <w:sz w:val="24"/>
          <w:szCs w:val="24"/>
        </w:rPr>
        <w:t xml:space="preserve">   </w:t>
      </w:r>
      <w:r>
        <w:rPr>
          <w:rFonts w:ascii="方正书宋简体" w:hAnsi="方正书宋简体" w:eastAsia="方正书宋简体" w:cs="方正书宋简体"/>
          <w:spacing w:val="-13"/>
          <w:sz w:val="24"/>
          <w:szCs w:val="24"/>
        </w:rPr>
        <w:t>学校定期开展优秀教学成果奖评选工作，</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对优秀教学成果给予奖励和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表彰。凡获得国家级、省级和学校优秀教学成果奖，</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4"/>
          <w:sz w:val="24"/>
          <w:szCs w:val="24"/>
        </w:rPr>
        <w:t>与自然科学和社会科学研究成果同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等对待，并作为教师和教学管理干部业务考核的重要内容和晋升晋级的重要依据。</w:t>
      </w:r>
    </w:p>
    <w:p>
      <w:pPr>
        <w:spacing w:before="184" w:line="180"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第八章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19"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第五十四条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本规程自公布之日起施行，由教务处负责解释。</w:t>
      </w:r>
    </w:p>
    <w:p>
      <w:pPr>
        <w:spacing w:before="118"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第五十五条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1"/>
          <w:sz w:val="24"/>
          <w:szCs w:val="24"/>
        </w:rPr>
        <w:t>此前学校文件如与本规程不符的，则按本规程执行；本规程如与</w:t>
      </w:r>
    </w:p>
    <w:p>
      <w:pPr>
        <w:spacing w:before="133"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上级文件不符的，则按上级文件执行。</w:t>
      </w:r>
    </w:p>
    <w:p>
      <w:pPr>
        <w:spacing w:line="415" w:lineRule="auto"/>
        <w:rPr>
          <w:rFonts w:ascii="Malgun Gothic"/>
          <w:sz w:val="21"/>
        </w:rPr>
      </w:pPr>
    </w:p>
    <w:p>
      <w:pPr>
        <w:spacing w:before="53" w:line="180" w:lineRule="auto"/>
        <w:ind w:firstLine="428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64</w:t>
      </w:r>
    </w:p>
    <w:p>
      <w:pPr>
        <w:sectPr>
          <w:footerReference r:id="rId68" w:type="default"/>
          <w:pgSz w:w="11905" w:h="16840"/>
          <w:pgMar w:top="1431" w:right="1488" w:bottom="400" w:left="1588" w:header="0" w:footer="0" w:gutter="0"/>
          <w:cols w:space="720" w:num="1"/>
        </w:sectPr>
      </w:pPr>
    </w:p>
    <w:p>
      <w:pPr>
        <w:spacing w:before="349" w:line="180" w:lineRule="auto"/>
        <w:ind w:firstLine="245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吉首大学教师教学工作规范</w:t>
      </w:r>
    </w:p>
    <w:p>
      <w:pPr>
        <w:spacing w:before="110" w:line="184" w:lineRule="auto"/>
        <w:ind w:firstLine="3131"/>
        <w:rPr>
          <w:rFonts w:ascii="楷体" w:hAnsi="楷体" w:eastAsia="楷体" w:cs="楷体"/>
          <w:sz w:val="24"/>
          <w:szCs w:val="24"/>
        </w:rPr>
      </w:pPr>
      <w:r>
        <w:rPr>
          <w:rFonts w:ascii="楷体" w:hAnsi="楷体" w:eastAsia="楷体" w:cs="楷体"/>
          <w:spacing w:val="-6"/>
          <w:sz w:val="24"/>
          <w:szCs w:val="24"/>
        </w:rPr>
        <w:t>（2014</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12</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61" w:lineRule="auto"/>
        <w:rPr>
          <w:rFonts w:ascii="Malgun Gothic"/>
          <w:sz w:val="21"/>
        </w:rPr>
      </w:pPr>
    </w:p>
    <w:p>
      <w:pPr>
        <w:spacing w:before="1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第一条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2"/>
          <w:sz w:val="24"/>
          <w:szCs w:val="24"/>
        </w:rPr>
        <w:t>为明确教师的工作职责，</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sz w:val="24"/>
          <w:szCs w:val="24"/>
        </w:rPr>
        <w:t>规范教师的工作行为，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2"/>
          <w:sz w:val="24"/>
          <w:szCs w:val="24"/>
        </w:rPr>
        <w:t>保障教师的基本权益，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增强教师爱岗敬业、教书育人的责任感和自觉性，</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3"/>
          <w:sz w:val="24"/>
          <w:szCs w:val="24"/>
        </w:rPr>
        <w:t>进一步加强教学管理，</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3"/>
          <w:sz w:val="24"/>
          <w:szCs w:val="24"/>
        </w:rPr>
        <w:t>提高教师自</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身素质和教学水平，确保人才培养质量，根据《中华人民共和国高等教育法》和《中</w:t>
      </w:r>
      <w:r>
        <w:rPr>
          <w:rFonts w:ascii="方正书宋简体" w:hAnsi="方正书宋简体" w:eastAsia="方正书宋简体" w:cs="方正书宋简体"/>
          <w:spacing w:val="16"/>
          <w:w w:val="102"/>
          <w:sz w:val="24"/>
          <w:szCs w:val="24"/>
        </w:rPr>
        <w:t xml:space="preserve">  </w:t>
      </w:r>
      <w:r>
        <w:rPr>
          <w:rFonts w:ascii="方正书宋简体" w:hAnsi="方正书宋简体" w:eastAsia="方正书宋简体" w:cs="方正书宋简体"/>
          <w:spacing w:val="-5"/>
          <w:sz w:val="24"/>
          <w:szCs w:val="24"/>
        </w:rPr>
        <w:t>华人民共和国教师法》以及其他现行有关规章制度，结合学校实际，特制定本规范。</w:t>
      </w:r>
    </w:p>
    <w:p>
      <w:pPr>
        <w:spacing w:before="204" w:line="281" w:lineRule="auto"/>
        <w:ind w:left="21" w:right="77" w:firstLine="46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本规范适用于我校从事普通本、专科教学工作的教师。学校外聘教师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的管理，参照本规范执行。</w:t>
      </w:r>
    </w:p>
    <w:p>
      <w:pPr>
        <w:spacing w:before="12" w:line="197"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1"/>
          <w:w w:val="101"/>
          <w:sz w:val="24"/>
          <w:szCs w:val="24"/>
        </w:rPr>
        <w:t xml:space="preserve">    </w:t>
      </w:r>
      <w:r>
        <w:rPr>
          <w:rFonts w:ascii="Microsoft JhengHei" w:hAnsi="Microsoft JhengHei" w:eastAsia="Microsoft JhengHei" w:cs="Microsoft JhengHei"/>
          <w:spacing w:val="-2"/>
          <w:sz w:val="24"/>
          <w:szCs w:val="24"/>
        </w:rPr>
        <w:t>教师基本要求</w:t>
      </w:r>
    </w:p>
    <w:p>
      <w:pPr>
        <w:spacing w:before="107" w:line="295" w:lineRule="auto"/>
        <w:ind w:right="7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坚持正确政治方向，全面贯彻党的教育方计，忠诚人民的教育事业，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具有高尚的道德情操，遵守教师职业道德，自觉践行社会主义核心价值体系，遵纪</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守法，以身作则。</w:t>
      </w:r>
    </w:p>
    <w:p>
      <w:pPr>
        <w:spacing w:before="1" w:line="250" w:lineRule="auto"/>
        <w:ind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系统掌握本学科的基本理论、基本知识和专业技能，努力学习和掌握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现代科学知识及相关学科知识，积极参与科研工作，注重实践，勇于创新，以科研</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促教学，不断提高业务水平和课程教学质量。</w:t>
      </w:r>
    </w:p>
    <w:p>
      <w:pPr>
        <w:spacing w:before="204" w:line="250" w:lineRule="auto"/>
        <w:ind w:right="7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第五条    </w:t>
      </w:r>
      <w:r>
        <w:rPr>
          <w:rFonts w:ascii="方正书宋简体" w:hAnsi="方正书宋简体" w:eastAsia="方正书宋简体" w:cs="方正书宋简体"/>
          <w:spacing w:val="2"/>
          <w:sz w:val="24"/>
          <w:szCs w:val="24"/>
        </w:rPr>
        <w:t>认真学习高等教育理论，努力掌握高等教育教学规律，积极参与教学 基本建设，不断更新教育思想观念，改革课程内容、课程体系和教学方法，总结和</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积累教学经验，提高教学水平和教学艺术。</w:t>
      </w:r>
    </w:p>
    <w:p>
      <w:pPr>
        <w:spacing w:before="205" w:line="281" w:lineRule="auto"/>
        <w:ind w:left="1"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勤奋学习，刻苦钻研业务，在教学工作中主动承担教学任务，积极完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成本职工作。</w:t>
      </w:r>
    </w:p>
    <w:p>
      <w:pPr>
        <w:spacing w:before="11" w:line="282" w:lineRule="auto"/>
        <w:ind w:left="3" w:right="6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第七条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6"/>
          <w:sz w:val="24"/>
          <w:szCs w:val="24"/>
        </w:rPr>
        <w:t>坚守教书育人，关心、爱护学生，</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6"/>
          <w:sz w:val="24"/>
          <w:szCs w:val="24"/>
        </w:rPr>
        <w:t>公正对待每个学生，严格要求学生，通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过言传身教，促进学生思想道德素质、科学文化素质、专业素质和身心素质全面提高。</w:t>
      </w:r>
    </w:p>
    <w:p>
      <w:pPr>
        <w:spacing w:before="11" w:line="197"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1"/>
          <w:w w:val="101"/>
          <w:sz w:val="24"/>
          <w:szCs w:val="24"/>
        </w:rPr>
        <w:t xml:space="preserve">    </w:t>
      </w:r>
      <w:r>
        <w:rPr>
          <w:rFonts w:ascii="Microsoft JhengHei" w:hAnsi="Microsoft JhengHei" w:eastAsia="Microsoft JhengHei" w:cs="Microsoft JhengHei"/>
          <w:spacing w:val="-2"/>
          <w:sz w:val="24"/>
          <w:szCs w:val="24"/>
        </w:rPr>
        <w:t>教师任课资格</w:t>
      </w:r>
    </w:p>
    <w:p>
      <w:pPr>
        <w:spacing w:before="109" w:line="281" w:lineRule="auto"/>
        <w:ind w:left="1" w:right="7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第八条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0"/>
          <w:sz w:val="24"/>
          <w:szCs w:val="24"/>
        </w:rPr>
        <w:t>任课教师需参加教师岗前培训，</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具有《高等学校教师资格证书》，且具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备主讲教师资格。</w:t>
      </w:r>
    </w:p>
    <w:p>
      <w:pPr>
        <w:spacing w:before="13"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第九条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主讲教师应具备条件：</w:t>
      </w:r>
    </w:p>
    <w:p>
      <w:pPr>
        <w:spacing w:before="126" w:line="316" w:lineRule="auto"/>
        <w:ind w:left="7" w:right="75"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符合《中华人民共和国教师法》和《教师资格条例》有关规定，具有高校教师</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资格，具有良好的师德、较高的业务水平和较丰富的教学经验，能够独立承担课程</w:t>
      </w:r>
    </w:p>
    <w:p>
      <w:pPr>
        <w:spacing w:before="321"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65</w:t>
      </w:r>
    </w:p>
    <w:p>
      <w:pPr>
        <w:sectPr>
          <w:footerReference r:id="rId69" w:type="default"/>
          <w:pgSz w:w="11905" w:h="16840"/>
          <w:pgMar w:top="1431" w:right="1510" w:bottom="400" w:left="1590" w:header="0" w:footer="0" w:gutter="0"/>
          <w:cols w:space="720" w:num="1"/>
        </w:sectPr>
      </w:pPr>
    </w:p>
    <w:p>
      <w:pPr>
        <w:spacing w:before="428" w:line="180" w:lineRule="auto"/>
        <w:ind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教学工作，教学效果好。</w:t>
      </w:r>
    </w:p>
    <w:p>
      <w:pPr>
        <w:spacing w:before="186" w:line="275" w:lineRule="auto"/>
        <w:ind w:left="5" w:right="89"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1、知识面较宽，</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熟悉本门课程的内容，</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有系统而坚实的理论基础和比较丰富的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实践经验，掌握课程的理论体系和本门学科的发展状况，能根据培养方案和教学大</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纲的要求，较好地讲授难点、重点和解释疑点。</w:t>
      </w:r>
    </w:p>
    <w:p>
      <w:pPr>
        <w:spacing w:before="173" w:line="312" w:lineRule="auto"/>
        <w:ind w:left="3" w:right="8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2、在讲授方法上，</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1"/>
          <w:sz w:val="24"/>
          <w:szCs w:val="24"/>
        </w:rPr>
        <w:t>能充分利用和熟练使用多媒体等现代化教学手段，</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sz w:val="24"/>
          <w:szCs w:val="24"/>
        </w:rPr>
        <w:t>讲解深入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浅出，富有启发性，能激发学生的学习兴趣，</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促进学生积极思维，有利于培养与提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高学生以创新能力为核心的综合素质。</w:t>
      </w:r>
    </w:p>
    <w:p>
      <w:pPr>
        <w:spacing w:before="18"/>
        <w:ind w:left="3" w:right="1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3、在讲课能力上能做到条理清楚，</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5"/>
          <w:sz w:val="24"/>
          <w:szCs w:val="24"/>
        </w:rPr>
        <w:t>概念准确，</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5"/>
          <w:sz w:val="24"/>
          <w:szCs w:val="24"/>
        </w:rPr>
        <w:t>逻辑严密，</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5"/>
          <w:sz w:val="24"/>
          <w:szCs w:val="24"/>
        </w:rPr>
        <w:t>板书规范，</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5"/>
          <w:sz w:val="24"/>
          <w:szCs w:val="24"/>
        </w:rPr>
        <w:t>语言流畅，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快慢适度，并能根据学科发展不断更新教学内容。</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4"/>
          <w:sz w:val="24"/>
          <w:szCs w:val="24"/>
        </w:rPr>
        <w:t>新开课教师应满足下列条件：</w:t>
      </w:r>
    </w:p>
    <w:p>
      <w:pPr>
        <w:spacing w:before="150"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1、参加湖南省组织的教师岗前培训和学校教师技能培训，并取得高校教师资格证。</w:t>
      </w:r>
    </w:p>
    <w:p>
      <w:pPr>
        <w:spacing w:before="192"/>
        <w:ind w:left="4" w:right="9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2、经过拟开课程的辅导、答疑、习题课、实验课和实践教学等环节的助课，</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经过两次以上的实践，且效果良好。</w:t>
      </w:r>
    </w:p>
    <w:p>
      <w:pPr>
        <w:spacing w:before="212" w:line="304" w:lineRule="auto"/>
        <w:ind w:left="2" w:right="91"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3、熟悉教学大纲、教材、教学内容、教学方法、教学手段，</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了解各教学环节的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工作程序，编写课程完整教案。</w:t>
      </w:r>
    </w:p>
    <w:p>
      <w:pPr>
        <w:spacing w:before="35"/>
        <w:ind w:left="4" w:right="91"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4、符合上述条件，</w:t>
      </w:r>
      <w:r>
        <w:rPr>
          <w:rFonts w:ascii="方正书宋简体" w:hAnsi="方正书宋简体" w:eastAsia="方正书宋简体" w:cs="方正书宋简体"/>
          <w:spacing w:val="59"/>
          <w:w w:val="101"/>
          <w:sz w:val="24"/>
          <w:szCs w:val="24"/>
        </w:rPr>
        <w:t xml:space="preserve">  </w:t>
      </w:r>
      <w:r>
        <w:rPr>
          <w:rFonts w:ascii="方正书宋简体" w:hAnsi="方正书宋简体" w:eastAsia="方正书宋简体" w:cs="方正书宋简体"/>
          <w:spacing w:val="-11"/>
          <w:w w:val="96"/>
          <w:sz w:val="24"/>
          <w:szCs w:val="24"/>
        </w:rPr>
        <w:t>且在教研室通过试讲，</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w w:val="96"/>
          <w:sz w:val="24"/>
          <w:szCs w:val="24"/>
        </w:rPr>
        <w:t>经教研室主任同意，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w w:val="96"/>
          <w:sz w:val="24"/>
          <w:szCs w:val="24"/>
        </w:rPr>
        <w:t>院（部）</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1"/>
          <w:w w:val="96"/>
          <w:sz w:val="24"/>
          <w:szCs w:val="24"/>
        </w:rPr>
        <w:t>教学院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长（主任）审核批准报教务处批准备案后，方可任课。</w:t>
      </w:r>
    </w:p>
    <w:p>
      <w:pPr>
        <w:spacing w:before="205" w:line="281" w:lineRule="auto"/>
        <w:ind w:left="5" w:right="93"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第十一条</w:t>
      </w:r>
      <w:r>
        <w:rPr>
          <w:rFonts w:ascii="Microsoft JhengHei" w:hAnsi="Microsoft JhengHei" w:eastAsia="Microsoft JhengHei" w:cs="Microsoft JhengHei"/>
          <w:spacing w:val="14"/>
          <w:w w:val="101"/>
          <w:sz w:val="24"/>
          <w:szCs w:val="24"/>
        </w:rPr>
        <w:t xml:space="preserve">    </w:t>
      </w:r>
      <w:r>
        <w:rPr>
          <w:rFonts w:ascii="方正书宋简体" w:hAnsi="方正书宋简体" w:eastAsia="方正书宋简体" w:cs="方正书宋简体"/>
          <w:spacing w:val="8"/>
          <w:sz w:val="24"/>
          <w:szCs w:val="24"/>
        </w:rPr>
        <w:t>开新课教师是指在本人教学经历中首次担任某课程授课任务的教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师，开新课教师应满足以下条件：</w:t>
      </w:r>
    </w:p>
    <w:p>
      <w:pPr>
        <w:spacing w:before="23" w:line="187"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1、开新课教师必须具备课程主讲教师资格，已主讲过一门或一门以上的课程。</w:t>
      </w:r>
    </w:p>
    <w:p>
      <w:pPr>
        <w:spacing w:before="186" w:line="314" w:lineRule="auto"/>
        <w:ind w:left="8" w:right="12"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2、对新开课程内容作过较系统研究，</w:t>
      </w:r>
      <w:r>
        <w:rPr>
          <w:rFonts w:ascii="方正书宋简体" w:hAnsi="方正书宋简体" w:eastAsia="方正书宋简体" w:cs="方正书宋简体"/>
          <w:spacing w:val="67"/>
          <w:sz w:val="24"/>
          <w:szCs w:val="24"/>
        </w:rPr>
        <w:t xml:space="preserve"> </w:t>
      </w:r>
      <w:r>
        <w:rPr>
          <w:rFonts w:ascii="方正书宋简体" w:hAnsi="方正书宋简体" w:eastAsia="方正书宋简体" w:cs="方正书宋简体"/>
          <w:spacing w:val="-9"/>
          <w:sz w:val="24"/>
          <w:szCs w:val="24"/>
        </w:rPr>
        <w:t>依据教学大纲提出较详细的教学实施方案，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编写出较详细的教案或讲义。</w:t>
      </w:r>
    </w:p>
    <w:p>
      <w:pPr>
        <w:spacing w:before="1" w:line="27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3、开新课教师应填写《吉首大学教师新开课程授课资格审批表》，并提前向教</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研室提供已具备开设新课有关证明材料，经教研室确认，学院（部）教学负责人批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sz w:val="24"/>
          <w:szCs w:val="24"/>
        </w:rPr>
        <w:t>准后，</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1"/>
          <w:sz w:val="24"/>
          <w:szCs w:val="24"/>
        </w:rPr>
        <w:t>方可开课。审批材料报教务处备案（其中全校性通识选修课须由教务处审批）。</w:t>
      </w:r>
    </w:p>
    <w:p>
      <w:pPr>
        <w:spacing w:before="168" w:line="294" w:lineRule="auto"/>
        <w:ind w:left="1" w:right="8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第十二条    </w:t>
      </w:r>
      <w:r>
        <w:rPr>
          <w:rFonts w:ascii="方正书宋简体" w:hAnsi="方正书宋简体" w:eastAsia="方正书宋简体" w:cs="方正书宋简体"/>
          <w:spacing w:val="2"/>
          <w:sz w:val="24"/>
          <w:szCs w:val="24"/>
        </w:rPr>
        <w:t>课程主讲教师，由学生所在学院教学负责人聘请教学态度认真、业 务水平较高、教学经验较多、讲课（教学）效果较好的教师担任（原则上在课程归</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0"/>
          <w:sz w:val="24"/>
          <w:szCs w:val="24"/>
        </w:rPr>
        <w:t>口教学负责单位中聘任）。</w:t>
      </w:r>
    </w:p>
    <w:p>
      <w:pPr>
        <w:spacing w:before="1" w:line="281" w:lineRule="auto"/>
        <w:ind w:left="19" w:right="89"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4"/>
          <w:sz w:val="24"/>
          <w:szCs w:val="24"/>
        </w:rPr>
        <w:t>非教学系列中级以上职称的教师，</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4"/>
          <w:sz w:val="24"/>
          <w:szCs w:val="24"/>
        </w:rPr>
        <w:t>因为教学工作需要或其他条件的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限制而须聘其为课程主讲教师时应严格掌握，</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3"/>
          <w:sz w:val="24"/>
          <w:szCs w:val="24"/>
        </w:rPr>
        <w:t>须经教学负责人对其教学态度、业务</w:t>
      </w:r>
    </w:p>
    <w:p>
      <w:pPr>
        <w:spacing w:before="348"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66</w:t>
      </w:r>
    </w:p>
    <w:p>
      <w:pPr>
        <w:sectPr>
          <w:footerReference r:id="rId70" w:type="default"/>
          <w:pgSz w:w="11905" w:h="16840"/>
          <w:pgMar w:top="1431" w:right="1496" w:bottom="400" w:left="1590" w:header="0" w:footer="0" w:gutter="0"/>
          <w:cols w:space="720" w:num="1"/>
        </w:sectPr>
      </w:pPr>
    </w:p>
    <w:p>
      <w:pPr>
        <w:spacing w:before="426" w:line="315" w:lineRule="auto"/>
        <w:ind w:left="2" w:right="12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水平、教学水平以及教学质量等情况作基本的估价的基础上，并经教学院长认真审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查签署意见后，方可考虑是否聘其为课程主讲教师。</w:t>
      </w:r>
    </w:p>
    <w:p>
      <w:pPr>
        <w:ind w:left="3" w:right="13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聘请校外人员授课，学院必须对受聘人员进行必要的考查，并报教务主管部门</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批准备案。未报批教务主管部门，不得聘校外人员授课。</w:t>
      </w:r>
    </w:p>
    <w:p>
      <w:pPr>
        <w:spacing w:before="204" w:line="293" w:lineRule="auto"/>
        <w:ind w:left="5" w:right="11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第十四条</w:t>
      </w:r>
      <w:r>
        <w:rPr>
          <w:rFonts w:ascii="Microsoft JhengHei" w:hAnsi="Microsoft JhengHei" w:eastAsia="Microsoft JhengHei" w:cs="Microsoft JhengHei"/>
          <w:spacing w:val="26"/>
          <w:w w:val="101"/>
          <w:sz w:val="24"/>
          <w:szCs w:val="24"/>
        </w:rPr>
        <w:t xml:space="preserve">   </w:t>
      </w:r>
      <w:r>
        <w:rPr>
          <w:rFonts w:ascii="方正书宋简体" w:hAnsi="方正书宋简体" w:eastAsia="方正书宋简体" w:cs="方正书宋简体"/>
          <w:spacing w:val="-16"/>
          <w:sz w:val="24"/>
          <w:szCs w:val="24"/>
        </w:rPr>
        <w:t>研究生兼任助教工作，</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6"/>
          <w:sz w:val="24"/>
          <w:szCs w:val="24"/>
        </w:rPr>
        <w:t>是学校培养研究生教学能力的一个教学实践性环</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节，不属教师任课聘任范围，</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5"/>
          <w:sz w:val="24"/>
          <w:szCs w:val="24"/>
        </w:rPr>
        <w:t>其教学管理程序为：由指导教师申请、教学院长审核、主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管部门审批，有关教学负责单位安排、指导并对研究生兼职助教工作进行考核。</w:t>
      </w:r>
    </w:p>
    <w:p>
      <w:pPr>
        <w:spacing w:before="6" w:line="199"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第十五条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凡属下列情况之一者，不能担任课程主讲教师：</w:t>
      </w:r>
    </w:p>
    <w:p>
      <w:pPr>
        <w:spacing w:before="114" w:line="193" w:lineRule="auto"/>
        <w:ind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1、未取得高等学校教师资格证者；</w:t>
      </w:r>
    </w:p>
    <w:p>
      <w:pPr>
        <w:spacing w:before="174"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2、不具备主讲教师资格者；</w:t>
      </w:r>
    </w:p>
    <w:p>
      <w:pPr>
        <w:spacing w:before="175" w:line="193" w:lineRule="auto"/>
        <w:ind w:firstLine="49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3、对所开课程以往授课水平和效果较差，且无切实改进者；</w:t>
      </w:r>
    </w:p>
    <w:p>
      <w:pPr>
        <w:spacing w:before="175"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4、对新开课程内容未能掌握，缺乏准备者；</w:t>
      </w:r>
    </w:p>
    <w:p>
      <w:pPr>
        <w:spacing w:before="179" w:line="224" w:lineRule="auto"/>
        <w:ind w:left="3176" w:right="3248" w:hanging="2690"/>
        <w:rPr>
          <w:rFonts w:ascii="Microsoft JhengHei" w:hAnsi="Microsoft JhengHei" w:eastAsia="Microsoft JhengHei" w:cs="Microsoft JhengHei"/>
          <w:sz w:val="24"/>
          <w:szCs w:val="24"/>
        </w:rPr>
      </w:pPr>
      <w:r>
        <w:rPr>
          <w:rFonts w:ascii="方正书宋简体" w:hAnsi="方正书宋简体" w:eastAsia="方正书宋简体" w:cs="方正书宋简体"/>
          <w:spacing w:val="-2"/>
          <w:sz w:val="24"/>
          <w:szCs w:val="24"/>
        </w:rPr>
        <w:t>5、工作责任心不强，或出现过重大教学事故者。</w:t>
      </w:r>
      <w:r>
        <w:rPr>
          <w:rFonts w:ascii="方正书宋简体" w:hAnsi="方正书宋简体" w:eastAsia="方正书宋简体" w:cs="方正书宋简体"/>
          <w:spacing w:val="9"/>
          <w:sz w:val="24"/>
          <w:szCs w:val="24"/>
        </w:rPr>
        <w:t xml:space="preserve"> </w:t>
      </w: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1"/>
          <w:w w:val="101"/>
          <w:sz w:val="24"/>
          <w:szCs w:val="24"/>
        </w:rPr>
        <w:t xml:space="preserve">    </w:t>
      </w:r>
      <w:r>
        <w:rPr>
          <w:rFonts w:ascii="Microsoft JhengHei" w:hAnsi="Microsoft JhengHei" w:eastAsia="Microsoft JhengHei" w:cs="Microsoft JhengHei"/>
          <w:spacing w:val="-2"/>
          <w:sz w:val="24"/>
          <w:szCs w:val="24"/>
        </w:rPr>
        <w:t>教学工作纪律</w:t>
      </w:r>
    </w:p>
    <w:p>
      <w:pPr>
        <w:spacing w:before="180" w:line="220" w:lineRule="auto"/>
        <w:ind w:left="5" w:right="5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第十六条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1"/>
          <w:sz w:val="24"/>
          <w:szCs w:val="24"/>
        </w:rPr>
        <w:t>服从学院（部）</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1"/>
          <w:sz w:val="24"/>
          <w:szCs w:val="24"/>
        </w:rPr>
        <w:t>和教研室的工作分配与安排，</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承担一定的教学任务，</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完成规定的教学工作量。</w:t>
      </w:r>
    </w:p>
    <w:p>
      <w:pPr>
        <w:spacing w:line="151" w:lineRule="exact"/>
      </w:pPr>
    </w:p>
    <w:p>
      <w:pPr>
        <w:sectPr>
          <w:footerReference r:id="rId71" w:type="default"/>
          <w:pgSz w:w="11905" w:h="16840"/>
          <w:pgMar w:top="1431" w:right="1457" w:bottom="400" w:left="1587" w:header="0" w:footer="0" w:gutter="0"/>
          <w:cols w:equalWidth="0" w:num="1">
            <w:col w:w="8860"/>
          </w:cols>
        </w:sectPr>
      </w:pPr>
    </w:p>
    <w:p>
      <w:pPr>
        <w:spacing w:before="52" w:line="226" w:lineRule="auto"/>
        <w:ind w:left="492" w:right="67"/>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第十七条</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4"/>
          <w:sz w:val="24"/>
          <w:szCs w:val="24"/>
        </w:rPr>
        <w:t>第十八条</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2"/>
          <w:sz w:val="24"/>
          <w:szCs w:val="24"/>
        </w:rPr>
        <w:t>第十九条</w:t>
      </w:r>
    </w:p>
    <w:p>
      <w:pPr>
        <w:spacing w:line="14" w:lineRule="auto"/>
        <w:rPr>
          <w:rFonts w:ascii="Malgun Gothic"/>
          <w:sz w:val="2"/>
        </w:rPr>
      </w:pPr>
      <w:r>
        <w:rPr>
          <w:rFonts w:ascii="Malgun Gothic" w:hAnsi="Malgun Gothic" w:eastAsia="Malgun Gothic" w:cs="Malgun Gothic"/>
          <w:sz w:val="2"/>
          <w:szCs w:val="2"/>
        </w:rPr>
        <w:br w:type="column"/>
      </w:r>
    </w:p>
    <w:p>
      <w:pPr>
        <w:spacing w:before="64"/>
        <w:ind w:left="67" w:right="127"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承担教学任务的教师，必须按照各教学环节的规定和要求认真履行职责。</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严格遵守上课时间，不得迟到、早退。</w:t>
      </w:r>
    </w:p>
    <w:p>
      <w:pPr>
        <w:spacing w:before="216" w:line="180" w:lineRule="auto"/>
        <w:ind w:firstLine="8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不擅自停课、缺课、调课、请人代课。若遇特殊情况必须请假者，</w:t>
      </w:r>
    </w:p>
    <w:p>
      <w:pPr>
        <w:sectPr>
          <w:type w:val="continuous"/>
          <w:pgSz w:w="11905" w:h="16840"/>
          <w:pgMar w:top="1431" w:right="1457" w:bottom="400" w:left="1587" w:header="0" w:footer="0" w:gutter="0"/>
          <w:cols w:equalWidth="0" w:num="2">
            <w:col w:w="1516" w:space="100"/>
            <w:col w:w="7245"/>
          </w:cols>
        </w:sectPr>
      </w:pPr>
    </w:p>
    <w:p>
      <w:pPr>
        <w:spacing w:before="191"/>
        <w:ind w:left="6" w:firstLine="26"/>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由任课教师填写《调课、停课申请单》，</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6"/>
          <w:sz w:val="24"/>
          <w:szCs w:val="24"/>
        </w:rPr>
        <w:t>经过教研室主任同意，</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6"/>
          <w:sz w:val="24"/>
          <w:szCs w:val="24"/>
        </w:rPr>
        <w:t>院部教学院长（主任）</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签署意见后，报教务处核准，方可予以调课。</w:t>
      </w:r>
    </w:p>
    <w:p>
      <w:pPr>
        <w:spacing w:before="205" w:line="260" w:lineRule="auto"/>
        <w:ind w:left="3536" w:right="247" w:hanging="304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第二十条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公正、客观评价学生的学习成绩，杜绝送人情分或无依据的评分。</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3"/>
          <w:sz w:val="24"/>
          <w:szCs w:val="24"/>
        </w:rPr>
        <w:t>教学过程</w:t>
      </w:r>
    </w:p>
    <w:p>
      <w:pPr>
        <w:spacing w:line="204"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第二十一条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3"/>
          <w:sz w:val="24"/>
          <w:szCs w:val="24"/>
        </w:rPr>
        <w:t>备课</w:t>
      </w:r>
    </w:p>
    <w:p>
      <w:pPr>
        <w:spacing w:before="111" w:line="315" w:lineRule="auto"/>
        <w:ind w:left="2" w:right="13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备课是教学环节中重要的一环，是圆满完成课堂教学和实践教学的前提与基本</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保障，任课教师必须认真对待。</w:t>
      </w:r>
    </w:p>
    <w:p>
      <w:pPr>
        <w:spacing w:before="3" w:line="313" w:lineRule="auto"/>
        <w:ind w:right="120"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1、教师应按照专业培养方案和所担任课程教学大纲的要求，</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2"/>
          <w:w w:val="99"/>
          <w:sz w:val="24"/>
          <w:szCs w:val="24"/>
        </w:rPr>
        <w:t>认真研究本课程在整</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个教学体系中的地位和作用以及与其它课程的联系和分工，</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3"/>
          <w:sz w:val="24"/>
          <w:szCs w:val="24"/>
        </w:rPr>
        <w:t>了解先行课的教学情况和后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续课的安排，处理好本课程与先修课程、平行课程和后续课程之间的衔接关系。</w:t>
      </w:r>
    </w:p>
    <w:p>
      <w:pPr>
        <w:spacing w:before="8" w:line="196"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2、认真执行教学大纲要求，</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不随意变动教学大纲基本内容。明确本门课程的教</w:t>
      </w:r>
    </w:p>
    <w:p>
      <w:pPr>
        <w:spacing w:line="290" w:lineRule="auto"/>
        <w:rPr>
          <w:rFonts w:ascii="Malgun Gothic"/>
          <w:sz w:val="21"/>
        </w:rPr>
      </w:pPr>
    </w:p>
    <w:p>
      <w:pPr>
        <w:spacing w:before="53" w:line="124" w:lineRule="exact"/>
        <w:ind w:firstLine="4283"/>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67</w:t>
      </w:r>
    </w:p>
    <w:p>
      <w:pPr>
        <w:sectPr>
          <w:type w:val="continuous"/>
          <w:pgSz w:w="11905" w:h="16840"/>
          <w:pgMar w:top="1431" w:right="1457" w:bottom="400" w:left="1587" w:header="0" w:footer="0" w:gutter="0"/>
          <w:cols w:equalWidth="0" w:num="1">
            <w:col w:w="8860"/>
          </w:cols>
        </w:sectPr>
      </w:pPr>
    </w:p>
    <w:p>
      <w:pPr>
        <w:spacing w:before="423" w:line="313" w:lineRule="auto"/>
        <w:ind w:left="1" w:right="79"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学目的、主要内容和各章节的基本要求，确定教学的重点和难点。结合所授课程班</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级学生的情况，科学合理安排课程教学内容，</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认真做好教学设计，写出规范的教案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和详细的讲稿，并广泛阅读有关文献和教学参考书，不断更新教学内容，改进教学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方法，以适应学科发展和工程实际应用的需要。</w:t>
      </w:r>
    </w:p>
    <w:p>
      <w:pPr>
        <w:spacing w:before="4" w:line="267" w:lineRule="auto"/>
        <w:ind w:left="1" w:right="79"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3、按照学期教学任务表和课程安排表填写学期授课计划表。要求任课教师按照</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授课计划和教学进程的内容认真填写，教研室主任、院部教学院长（主任）应对其</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中内容进行审核。</w:t>
      </w:r>
    </w:p>
    <w:p>
      <w:pPr>
        <w:spacing w:before="21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4、准备好教学所需的多媒体课件、教具、图表、教学模型、演示仪器等。</w:t>
      </w:r>
    </w:p>
    <w:p>
      <w:pPr>
        <w:spacing w:before="193"/>
        <w:ind w:right="8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5、有课程组的要坚持教学小组集体备课制度，</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全校性公共基础课教学应坚持教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研室集体备课制度，统一要求和进度。</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课堂讲授</w:t>
      </w:r>
    </w:p>
    <w:p>
      <w:pPr>
        <w:spacing w:before="150"/>
        <w:ind w:left="3" w:right="82"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课堂讲授是传授知识、培养合格人才的重要方式，是发挥教师主导作用的中心</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环节，是决定教学质量的关键和基础。</w:t>
      </w:r>
    </w:p>
    <w:p>
      <w:pPr>
        <w:spacing w:before="214"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1、要严格按照教学大纲规定的知识体系和制定的授课计划组织实施教学。</w:t>
      </w:r>
    </w:p>
    <w:p>
      <w:pPr>
        <w:spacing w:before="194" w:line="274" w:lineRule="auto"/>
        <w:ind w:left="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2、课堂讲授应全面把握课程教学内容的深度和广度，</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1"/>
          <w:sz w:val="24"/>
          <w:szCs w:val="24"/>
        </w:rPr>
        <w:t>明确教学目的，</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保证教学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内容的科学性、思想性、系统性与正确性；</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5"/>
          <w:sz w:val="24"/>
          <w:szCs w:val="24"/>
        </w:rPr>
        <w:t>讲授要思路清晰，</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层次分明，</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5"/>
          <w:sz w:val="24"/>
          <w:szCs w:val="24"/>
        </w:rPr>
        <w:t>逻辑性强；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做到突出重点，处理好难点和疑点，注重对学生知识应用和创新意识的培养。</w:t>
      </w:r>
    </w:p>
    <w:p>
      <w:pPr>
        <w:spacing w:before="178" w:line="265" w:lineRule="auto"/>
        <w:ind w:right="64"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3、课堂讲授应充分发挥教师的主导作用并体现学生的主体地位，讲究教学艺术，遵</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24"/>
          <w:sz w:val="24"/>
          <w:szCs w:val="24"/>
        </w:rPr>
        <w:t>循启发式教学原则，</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4"/>
          <w:sz w:val="24"/>
          <w:szCs w:val="24"/>
        </w:rPr>
        <w:t>研究、改进教学方法，</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4"/>
          <w:sz w:val="24"/>
          <w:szCs w:val="24"/>
        </w:rPr>
        <w:t>注重传统教学方法和现代化教学手段的有机结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0"/>
          <w:sz w:val="24"/>
          <w:szCs w:val="24"/>
        </w:rPr>
        <w:t>合与运用，注意加强教学互动，</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0"/>
          <w:sz w:val="24"/>
          <w:szCs w:val="24"/>
        </w:rPr>
        <w:t>增强教与学双方的交流和沟通，不断提高课堂教学效果。</w:t>
      </w:r>
    </w:p>
    <w:p>
      <w:pPr>
        <w:spacing w:before="211" w:line="304" w:lineRule="auto"/>
        <w:ind w:left="10" w:right="82" w:firstLine="46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4、课堂讲授语言应准确精炼、条理清晰、生动流畅；</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板书设计布局合理，</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文字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书写工整规范。</w:t>
      </w:r>
    </w:p>
    <w:p>
      <w:pPr>
        <w:spacing w:before="39" w:line="237" w:lineRule="auto"/>
        <w:ind w:right="8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5、对同一课程平行班级的教学，</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其教学进度与主要内容应按统一的要求组织实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施教学。</w:t>
      </w:r>
    </w:p>
    <w:p>
      <w:pPr>
        <w:spacing w:before="220" w:line="265" w:lineRule="auto"/>
        <w:ind w:right="75"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6、教师课后应当认真做好总结，重视课堂教学效果的信息反馈，经常与学生、</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督导专家及同行进行交流，征求意见，及时改进教学中的不足，不断提高自身的教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学水平和教学质量。</w:t>
      </w:r>
    </w:p>
    <w:p>
      <w:pPr>
        <w:spacing w:before="205"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第二十三条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辅导答疑</w:t>
      </w:r>
    </w:p>
    <w:p>
      <w:pPr>
        <w:spacing w:before="153" w:line="315" w:lineRule="auto"/>
        <w:ind w:left="2" w:right="8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辅导答疑是课堂教学的延伸和必要补充，也是了解课堂教学效果与学生学习情</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4"/>
          <w:sz w:val="24"/>
          <w:szCs w:val="24"/>
        </w:rPr>
        <w:t>况的一种重要方式。</w:t>
      </w:r>
    </w:p>
    <w:p>
      <w:pPr>
        <w:spacing w:before="322"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68</w:t>
      </w:r>
    </w:p>
    <w:p>
      <w:pPr>
        <w:sectPr>
          <w:footerReference r:id="rId72" w:type="default"/>
          <w:pgSz w:w="11905" w:h="16840"/>
          <w:pgMar w:top="1431" w:right="1506" w:bottom="400" w:left="1590" w:header="0" w:footer="0" w:gutter="0"/>
          <w:cols w:space="720" w:num="1"/>
        </w:sectPr>
      </w:pPr>
    </w:p>
    <w:p>
      <w:pPr>
        <w:spacing w:before="424" w:line="316"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1、主讲教师和辅导教师应定期做好辅导答疑工作，</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帮助学生深入理解和全面掌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握课堂讲授的知识，了解学生接受知识情况，</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解答学生疑难问题，指导学生学习方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法，及时处理学生的学习状况和学习中存在的问题。</w:t>
      </w:r>
    </w:p>
    <w:p>
      <w:pPr>
        <w:spacing w:before="4" w:line="312" w:lineRule="auto"/>
        <w:ind w:lef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2、辅导答疑一般以个别答疑为主但对共同性的问题可以进行集中辅导，</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也可以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根据学生学习情况主动地进行个别质疑，答疑可采取当面或网上答疑等多种形式。</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在辅导答疑过程中，应重视因材施教，既要热情帮助基础较差的学生，又要注意发</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现和培养优秀的学生。</w:t>
      </w:r>
    </w:p>
    <w:p>
      <w:pPr>
        <w:spacing w:before="11" w:line="19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3、任课教师定时、定点做好学生的辅导、答疑工作，并作记录。</w:t>
      </w:r>
    </w:p>
    <w:p>
      <w:pPr>
        <w:spacing w:before="163" w:line="244" w:lineRule="auto"/>
        <w:ind w:left="2" w:right="1"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4、对于考试的课程，</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任课教师应在期末考试前安排时间进行答疑。辅导答疑过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程中，教师不得指定复习范围，向学生暗示、泄露试题内容。</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
          <w:sz w:val="24"/>
          <w:szCs w:val="24"/>
        </w:rPr>
        <w:t>作业批改</w:t>
      </w:r>
    </w:p>
    <w:p>
      <w:pPr>
        <w:spacing w:before="151" w:line="315" w:lineRule="auto"/>
        <w:ind w:left="5" w:right="3"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作业是课堂教学的延伸，是帮助学生巩固所学知识、加强学生思维训练、提高</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动手能力、提高学生分析问题及解决问题能力的重要手段。</w:t>
      </w:r>
    </w:p>
    <w:p>
      <w:pPr>
        <w:spacing w:before="2" w:line="315"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1、教师承担的每门课程都必须依据课程的性质与要求布置份量适当的作业，</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仅辅导教师要批改作业，主讲教师也应批改一定数量的作业，以便了解情况，有针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对性的改进教学。布置给学生的习题、作业，教师要预做。</w:t>
      </w:r>
    </w:p>
    <w:p>
      <w:pPr>
        <w:spacing w:before="1" w:line="315"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2、应按时全部收交作业，并认真、仔细批改，做出作业批改记录，确保质量。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批改作业的数量视班组人数而定，对于少数作业量大的课程，可适当减少批改量，</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9"/>
          <w:sz w:val="24"/>
          <w:szCs w:val="24"/>
        </w:rPr>
        <w:t>但须经院（部）</w:t>
      </w:r>
      <w:r>
        <w:rPr>
          <w:rFonts w:ascii="方正书宋简体" w:hAnsi="方正书宋简体" w:eastAsia="方正书宋简体" w:cs="方正书宋简体"/>
          <w:spacing w:val="73"/>
          <w:w w:val="101"/>
          <w:sz w:val="24"/>
          <w:szCs w:val="24"/>
        </w:rPr>
        <w:t xml:space="preserve"> </w:t>
      </w:r>
      <w:r>
        <w:rPr>
          <w:rFonts w:ascii="方正书宋简体" w:hAnsi="方正书宋简体" w:eastAsia="方正书宋简体" w:cs="方正书宋简体"/>
          <w:spacing w:val="-9"/>
          <w:sz w:val="24"/>
          <w:szCs w:val="24"/>
        </w:rPr>
        <w:t>批准，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且每次批改量不得少于学生总人数的</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9"/>
          <w:sz w:val="24"/>
          <w:szCs w:val="24"/>
        </w:rPr>
        <w:t>1/3。对不符合要求的作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业要退给学生重做，对作业中出现的普遍性问题，应做好讲评。教师批改作业的情</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况作为考核教师教学工作的内容之一。</w:t>
      </w:r>
    </w:p>
    <w:p>
      <w:pPr>
        <w:spacing w:before="4" w:line="277"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3、学生作业的完成情况，</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作为学生课程平时成绩的主要依据之一，</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并按平时成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绩的一部分计入总评成绩内。任课教师对作业的具体要求应提前向学生公布，学生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7"/>
          <w:sz w:val="24"/>
          <w:szCs w:val="24"/>
        </w:rPr>
        <w:t>缺交作业、实验报告达全学期作业总量的</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7"/>
          <w:sz w:val="24"/>
          <w:szCs w:val="24"/>
        </w:rPr>
        <w:t>1/3</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7"/>
          <w:sz w:val="24"/>
          <w:szCs w:val="24"/>
        </w:rPr>
        <w:t>不得参加该课程考试，</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7"/>
          <w:sz w:val="24"/>
          <w:szCs w:val="24"/>
        </w:rPr>
        <w:t>登记成绩时在学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生成绩登记册上注明“缺交作业未考”字样，该门课程成绩记</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
          <w:sz w:val="24"/>
          <w:szCs w:val="24"/>
        </w:rPr>
        <w:t>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分。</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实验（训）教学</w:t>
      </w:r>
    </w:p>
    <w:p>
      <w:pPr>
        <w:spacing w:before="154" w:line="238" w:lineRule="auto"/>
        <w:ind w:left="3" w:right="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实验（训）教学是理论联系实际、启发学生思维、巩固所学理论、训练学生科</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学研究技能、培养学生严谨的科学态度和创造能力的重要教学环节。</w:t>
      </w:r>
    </w:p>
    <w:p>
      <w:pPr>
        <w:spacing w:before="217" w:line="316" w:lineRule="auto"/>
        <w:ind w:left="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1、应从大学生实验技能的总体要求出发，</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w w:val="98"/>
          <w:sz w:val="24"/>
          <w:szCs w:val="24"/>
        </w:rPr>
        <w:t>遵循学生的认识规律，</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8"/>
          <w:sz w:val="24"/>
          <w:szCs w:val="24"/>
        </w:rPr>
        <w:t>由浅入深，</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w w:val="98"/>
          <w:sz w:val="24"/>
          <w:szCs w:val="24"/>
        </w:rPr>
        <w:t>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抓好基础性实验项目的基础上，有计划增加综合性、设计性实验比例，使学生的实</w:t>
      </w:r>
    </w:p>
    <w:p>
      <w:pPr>
        <w:spacing w:before="322" w:line="180" w:lineRule="auto"/>
        <w:ind w:firstLine="428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w:t>
      </w:r>
    </w:p>
    <w:p>
      <w:pPr>
        <w:sectPr>
          <w:footerReference r:id="rId73" w:type="default"/>
          <w:pgSz w:w="11905" w:h="16840"/>
          <w:pgMar w:top="1431" w:right="1585" w:bottom="400" w:left="1590" w:header="0" w:footer="0" w:gutter="0"/>
          <w:cols w:space="720" w:num="1"/>
        </w:sectPr>
      </w:pPr>
    </w:p>
    <w:p>
      <w:pPr>
        <w:spacing w:before="428" w:line="239" w:lineRule="auto"/>
        <w:ind w:left="11" w:right="95" w:hanging="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验技能得到系统全面培养。每门实验课应科学合理地制定实验教学大纲和实验指导</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书，不断改进教学方法，提高实验课的教学质量。</w:t>
      </w:r>
    </w:p>
    <w:p>
      <w:pPr>
        <w:spacing w:before="218" w:line="277" w:lineRule="auto"/>
        <w:ind w:right="86"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2、应按实验（训）的教学大纲和教学进度计划，认真组织实验（训</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2"/>
          <w:sz w:val="24"/>
          <w:szCs w:val="24"/>
        </w:rPr>
        <w:t>实验员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应在实验（训）前准备好实验所用的仪器设备和所用物品等，保证学生实验（训）</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顺利进行。对于新开实验和新开课教师应预做实验，对实验中可能出现的问题要心</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中有数，并能及时处理。</w:t>
      </w:r>
    </w:p>
    <w:p>
      <w:pPr>
        <w:spacing w:before="218" w:line="315" w:lineRule="auto"/>
        <w:ind w:left="2" w:right="95"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3、指导实验（训）应严格要求。加强检查，学生没有预习报告，不准做实验。</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实验进行时，教师必须在场巡回指导，解答实验中出现的问题，实验结束后，教师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应仔细批改实验报告，对不符合要求的报告，应退给学生重做。</w:t>
      </w:r>
    </w:p>
    <w:p>
      <w:pPr>
        <w:spacing w:line="310" w:lineRule="auto"/>
        <w:ind w:left="4" w:right="96"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4、实验（训）</w:t>
      </w:r>
      <w:r>
        <w:rPr>
          <w:rFonts w:ascii="方正书宋简体" w:hAnsi="方正书宋简体" w:eastAsia="方正书宋简体" w:cs="方正书宋简体"/>
          <w:spacing w:val="78"/>
          <w:w w:val="101"/>
          <w:sz w:val="24"/>
          <w:szCs w:val="24"/>
        </w:rPr>
        <w:t xml:space="preserve"> </w:t>
      </w:r>
      <w:r>
        <w:rPr>
          <w:rFonts w:ascii="方正书宋简体" w:hAnsi="方正书宋简体" w:eastAsia="方正书宋简体" w:cs="方正书宋简体"/>
          <w:spacing w:val="-8"/>
          <w:sz w:val="24"/>
          <w:szCs w:val="24"/>
        </w:rPr>
        <w:t>指导教师应对学生实验（训）</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8"/>
          <w:sz w:val="24"/>
          <w:szCs w:val="24"/>
        </w:rPr>
        <w:t>进行严格全面的考核。单独设课的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实验（训）</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11"/>
          <w:sz w:val="24"/>
          <w:szCs w:val="24"/>
        </w:rPr>
        <w:t>按一门课程成绩记载；</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非单独设课的实验（训</w:t>
      </w:r>
      <w:r>
        <w:rPr>
          <w:rFonts w:ascii="方正书宋简体" w:hAnsi="方正书宋简体" w:eastAsia="方正书宋简体" w:cs="方正书宋简体"/>
          <w:spacing w:val="-98"/>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成绩应按比例计入该课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程的总成绩。</w:t>
      </w:r>
    </w:p>
    <w:p>
      <w:pPr>
        <w:spacing w:before="22" w:line="238" w:lineRule="auto"/>
        <w:ind w:left="4" w:right="9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5、实验（训）</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8"/>
          <w:sz w:val="24"/>
          <w:szCs w:val="24"/>
        </w:rPr>
        <w:t>教学工作具体按照《吉首大学实验（训）</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8"/>
          <w:sz w:val="24"/>
          <w:szCs w:val="24"/>
        </w:rPr>
        <w:t>教学工作管理规定》组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织实施。</w:t>
      </w:r>
    </w:p>
    <w:p>
      <w:pPr>
        <w:spacing w:before="209"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第二十六条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实习教学</w:t>
      </w:r>
    </w:p>
    <w:p>
      <w:pPr>
        <w:spacing w:before="152" w:line="239" w:lineRule="auto"/>
        <w:ind w:right="98"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实习是实现培养目标的重要实践性教学环节，</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是学生巩固、加深所学的理论知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识，培养分析问题解决问题及动手能力的重要途径。</w:t>
      </w:r>
    </w:p>
    <w:p>
      <w:pPr>
        <w:spacing w:before="218" w:line="315" w:lineRule="auto"/>
        <w:ind w:left="1"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1、各学院应按照不同专业人才培养方案的要求，</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9"/>
          <w:sz w:val="24"/>
          <w:szCs w:val="24"/>
        </w:rPr>
        <w:t>组织教研室教师制订实习大纲、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计划，明确实习目的、任务和要求，并经学院主管领导审批后实施。</w:t>
      </w:r>
    </w:p>
    <w:p>
      <w:pPr>
        <w:spacing w:before="1" w:line="204"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2、各学院应加强实习教学的组织管理，成立专门机构，实行统一组织领导。</w:t>
      </w:r>
    </w:p>
    <w:p>
      <w:pPr>
        <w:spacing w:before="144" w:line="317" w:lineRule="auto"/>
        <w:ind w:left="6" w:right="86"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3、各学院应安排有经验的教师指导学生实习。教师主要负责学生的实习指导、</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思想工作、生活安排和安全，并对学生实习成绩进行评定考核，做好实习队（组）</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5"/>
          <w:sz w:val="24"/>
          <w:szCs w:val="24"/>
        </w:rPr>
        <w:t>的总结工作。</w:t>
      </w:r>
    </w:p>
    <w:p>
      <w:pPr>
        <w:spacing w:before="7" w:line="310" w:lineRule="auto"/>
        <w:ind w:left="2" w:right="9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4、实习结束后，</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指导教师应对学生的实习报告进行批改，</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并根据学生的实习报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告、实习单位的鉴定材料以及学生的综合表现，综合评定其实习成绩，并做好有关</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5"/>
          <w:sz w:val="24"/>
          <w:szCs w:val="24"/>
        </w:rPr>
        <w:t>资料的存档。</w:t>
      </w:r>
    </w:p>
    <w:p>
      <w:pPr>
        <w:spacing w:before="20" w:line="19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5、实习教学工作具体按照《吉首大学实习教学工作管理规定》有关要求组织实施。</w:t>
      </w:r>
    </w:p>
    <w:p>
      <w:pPr>
        <w:spacing w:before="169"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z w:val="24"/>
          <w:szCs w:val="24"/>
        </w:rPr>
        <w:t xml:space="preserve">    </w:t>
      </w:r>
      <w:r>
        <w:rPr>
          <w:rFonts w:ascii="方正书宋简体" w:hAnsi="方正书宋简体" w:eastAsia="方正书宋简体" w:cs="方正书宋简体"/>
          <w:spacing w:val="-1"/>
          <w:sz w:val="24"/>
          <w:szCs w:val="24"/>
        </w:rPr>
        <w:t>课程设计与学年论文</w:t>
      </w:r>
    </w:p>
    <w:p>
      <w:pPr>
        <w:spacing w:before="153" w:line="315" w:lineRule="auto"/>
        <w:ind w:right="95"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1、课程设计（学年论文）</w:t>
      </w:r>
      <w:r>
        <w:rPr>
          <w:rFonts w:ascii="方正书宋简体" w:hAnsi="方正书宋简体" w:eastAsia="方正书宋简体" w:cs="方正书宋简体"/>
          <w:spacing w:val="74"/>
          <w:w w:val="101"/>
          <w:sz w:val="24"/>
          <w:szCs w:val="24"/>
        </w:rPr>
        <w:t xml:space="preserve"> </w:t>
      </w:r>
      <w:r>
        <w:rPr>
          <w:rFonts w:ascii="方正书宋简体" w:hAnsi="方正书宋简体" w:eastAsia="方正书宋简体" w:cs="方正书宋简体"/>
          <w:spacing w:val="-10"/>
          <w:sz w:val="24"/>
          <w:szCs w:val="24"/>
        </w:rPr>
        <w:t>是课程教学中综合性和实践性较强的教学环节，</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通过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课程设计（学年论文</w:t>
      </w:r>
      <w:r>
        <w:rPr>
          <w:rFonts w:ascii="方正书宋简体" w:hAnsi="方正书宋简体" w:eastAsia="方正书宋简体" w:cs="方正书宋简体"/>
          <w:spacing w:val="-86"/>
          <w:sz w:val="24"/>
          <w:szCs w:val="24"/>
        </w:rPr>
        <w:t>），</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4"/>
          <w:sz w:val="24"/>
          <w:szCs w:val="24"/>
        </w:rPr>
        <w:t>培养学生进行初步的科学研究、工程设计和分析实际问题的</w:t>
      </w:r>
    </w:p>
    <w:p>
      <w:pPr>
        <w:spacing w:before="321"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p>
      <w:pPr>
        <w:sectPr>
          <w:footerReference r:id="rId74" w:type="default"/>
          <w:pgSz w:w="11905" w:h="16840"/>
          <w:pgMar w:top="1431" w:right="1490" w:bottom="400" w:left="1588" w:header="0" w:footer="0" w:gutter="0"/>
          <w:cols w:space="720" w:num="1"/>
        </w:sectPr>
      </w:pPr>
    </w:p>
    <w:p>
      <w:pPr>
        <w:spacing w:before="428" w:line="315" w:lineRule="auto"/>
        <w:ind w:left="6"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能力，</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0"/>
          <w:sz w:val="24"/>
          <w:szCs w:val="24"/>
        </w:rPr>
        <w:t>对巩固和深化学生所学课程的理论知识，</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0"/>
          <w:sz w:val="24"/>
          <w:szCs w:val="24"/>
        </w:rPr>
        <w:t>增强学生的应用能力具有重要作用。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指导教师应按照《课程设计和学年论文管理暂行规定》严格执行。</w:t>
      </w:r>
    </w:p>
    <w:p>
      <w:pPr>
        <w:spacing w:before="3" w:line="314" w:lineRule="auto"/>
        <w:ind w:left="3" w:right="8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2、担任课程设计（学年论文）</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w w:val="98"/>
          <w:sz w:val="24"/>
          <w:szCs w:val="24"/>
        </w:rPr>
        <w:t>的指导教师在开课前，</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按照教学大纲的要求，</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1"/>
          <w:w w:val="98"/>
          <w:sz w:val="24"/>
          <w:szCs w:val="24"/>
        </w:rPr>
        <w:t>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写课程设计（学年论文）指导书，准备各种必要的教学资料，并向学生宣讲具体要</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求和组织纪律。</w:t>
      </w:r>
    </w:p>
    <w:p>
      <w:pPr>
        <w:spacing w:before="2" w:line="310" w:lineRule="auto"/>
        <w:ind w:left="1" w:right="89"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3、课程设计（学年论文）</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0"/>
          <w:sz w:val="24"/>
          <w:szCs w:val="24"/>
        </w:rPr>
        <w:t>的选题应满足教学要求，</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课题在难易程度、工作量上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要适当。指导教师应熟练把握课程设计（学年论文）的内容、方法与要求，做好开</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题的指导工作。</w:t>
      </w:r>
    </w:p>
    <w:p>
      <w:pPr>
        <w:spacing w:before="19" w:line="311" w:lineRule="auto"/>
        <w:ind w:right="9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4、每位指导教师指导学生数一般不超过</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1"/>
          <w:sz w:val="24"/>
          <w:szCs w:val="24"/>
        </w:rPr>
        <w:t>20</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名。要求学生在指定地点进行课程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设计，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7"/>
          <w:sz w:val="24"/>
          <w:szCs w:val="24"/>
        </w:rPr>
        <w:t>按计划完成设计报告（论文）。指导教师应认真指导，</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7"/>
          <w:sz w:val="24"/>
          <w:szCs w:val="24"/>
        </w:rPr>
        <w:t>严格要求，</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7"/>
          <w:sz w:val="24"/>
          <w:szCs w:val="24"/>
        </w:rPr>
        <w:t>充分调动学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生的积极性、主动性和创造性。</w:t>
      </w:r>
    </w:p>
    <w:p>
      <w:pPr>
        <w:spacing w:before="21" w:line="316" w:lineRule="auto"/>
        <w:ind w:left="4" w:right="9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5、课程设计（学年论文）</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9"/>
          <w:sz w:val="24"/>
          <w:szCs w:val="24"/>
        </w:rPr>
        <w:t>结束后，</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指导教师应组织学生答辩。答辩形式可以以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小组或学生班为单位进行，以达到学生开阔思路，增长知识，提高能力的目的。</w:t>
      </w:r>
    </w:p>
    <w:p>
      <w:pPr>
        <w:spacing w:before="1" w:line="264" w:lineRule="auto"/>
        <w:ind w:left="2" w:right="8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6、指导教师要按时收齐设计报告（论文</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
          <w:sz w:val="24"/>
          <w:szCs w:val="24"/>
        </w:rPr>
        <w:t>认真评阅，根据学生的完成情况和</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平时表现、答辩情况等综合评定成绩，并将课程设计（学年论文）的文档资料按要</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求归档。</w:t>
      </w:r>
    </w:p>
    <w:p>
      <w:pPr>
        <w:spacing w:before="205"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第二十八条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毕业设计（论文）</w:t>
      </w:r>
    </w:p>
    <w:p>
      <w:pPr>
        <w:spacing w:before="152" w:line="315" w:lineRule="auto"/>
        <w:ind w:left="2" w:right="8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毕业设计（论文）是培养学生创新能力、实践能力和创业精神的重要实践教学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环节，通过该环节对学生进行科学研究的基本训练，培养学生综合运用所学知识解</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决实际问题的能力。</w:t>
      </w:r>
    </w:p>
    <w:p>
      <w:pPr>
        <w:spacing w:before="4" w:line="264" w:lineRule="auto"/>
        <w:ind w:left="2" w:right="8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毕业设计（论文）的教学组织实施、选题、开题、指导、检查、撰写、答辩及</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成绩评定等环节根据《吉首大学本科生毕业设计（论文）管理规定》和《吉首大学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本科生毕业设计（论文）质量管理评估办法》执行。</w:t>
      </w:r>
    </w:p>
    <w:p>
      <w:pPr>
        <w:spacing w:before="204" w:line="180" w:lineRule="auto"/>
        <w:ind w:firstLine="341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第六章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课程考核</w:t>
      </w:r>
    </w:p>
    <w:p>
      <w:pPr>
        <w:spacing w:before="141" w:line="249" w:lineRule="auto"/>
        <w:ind w:left="4" w:right="8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课程考核是教学过程的重要环节，是检验教师教学效果和学生学 </w:t>
      </w:r>
      <w:r>
        <w:rPr>
          <w:rFonts w:ascii="方正书宋简体" w:hAnsi="方正书宋简体" w:eastAsia="方正书宋简体" w:cs="方正书宋简体"/>
          <w:spacing w:val="2"/>
          <w:sz w:val="24"/>
          <w:szCs w:val="24"/>
        </w:rPr>
        <w:t>习情况的重要手段，凡教学计划规定的课程（含实验、实习、主要实践教学环节）</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9"/>
          <w:sz w:val="24"/>
          <w:szCs w:val="24"/>
        </w:rPr>
        <w:t>须进行考核（考试或考查）。</w:t>
      </w:r>
    </w:p>
    <w:p>
      <w:pPr>
        <w:spacing w:before="204" w:line="295" w:lineRule="auto"/>
        <w:ind w:left="4" w:right="9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教师应按照《吉首大学课程考核与成绩管理办法》规定和要求，认</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真做好课程考核命题、制卷、考试组织、阅卷、成绩评定、考试分析和总结归档等</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8"/>
          <w:sz w:val="24"/>
          <w:szCs w:val="24"/>
        </w:rPr>
        <w:t>工作。</w:t>
      </w:r>
    </w:p>
    <w:p>
      <w:pPr>
        <w:spacing w:before="335"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71</w:t>
      </w:r>
    </w:p>
    <w:p>
      <w:pPr>
        <w:sectPr>
          <w:footerReference r:id="rId75" w:type="default"/>
          <w:pgSz w:w="11905" w:h="16840"/>
          <w:pgMar w:top="1431" w:right="1496" w:bottom="400" w:left="1588" w:header="0" w:footer="0" w:gutter="0"/>
          <w:cols w:space="720" w:num="1"/>
        </w:sectPr>
      </w:pPr>
    </w:p>
    <w:p>
      <w:pPr>
        <w:spacing w:before="414" w:line="180" w:lineRule="auto"/>
        <w:ind w:firstLine="305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第七章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教学研究与改革</w:t>
      </w:r>
    </w:p>
    <w:p>
      <w:pPr>
        <w:spacing w:before="138" w:line="281" w:lineRule="auto"/>
        <w:ind w:left="2" w:right="1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教学研究是高等学校科学研究的一个重要组成部分，是进行教学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改革、提高教学质量的重要环节。</w:t>
      </w:r>
    </w:p>
    <w:p>
      <w:pPr>
        <w:spacing w:before="12" w:line="282" w:lineRule="auto"/>
        <w:ind w:left="2" w:right="1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教师应积极关注高等教育改革和发展的动向，更新教育观念，加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强对教学内容、教学方法、教学手段的改革，不断提高教学质量。</w:t>
      </w:r>
    </w:p>
    <w:p>
      <w:pPr>
        <w:spacing w:before="12" w:line="294" w:lineRule="auto"/>
        <w:ind w:right="1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第三十三条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5"/>
          <w:sz w:val="24"/>
          <w:szCs w:val="24"/>
        </w:rPr>
        <w:t>教师应重视理论研究与教育实践相结合，坚持以课程教学为基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础，激发学生的学习动力和兴趣，把培养学生的创造性融于日常的教学活动中，形</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成具有自己特色和风格的教学方法。</w:t>
      </w:r>
    </w:p>
    <w:p>
      <w:pPr>
        <w:spacing w:before="2" w:line="265" w:lineRule="auto"/>
        <w:ind w:right="1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教师在教学过程中应根据课程性质和教学内容恰当运用现代化教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学手段，积极开发和使用教学效果好的</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1"/>
          <w:sz w:val="24"/>
          <w:szCs w:val="24"/>
        </w:rPr>
        <w:t>CAI</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
          <w:sz w:val="24"/>
          <w:szCs w:val="24"/>
        </w:rPr>
        <w:t>课件，充分利用网络，及时引入最新科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技和教改成果，丰富教学内容，扩大信息量，</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3"/>
          <w:sz w:val="24"/>
          <w:szCs w:val="24"/>
        </w:rPr>
        <w:t>以充分调动学生的学习积极性，取得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最佳教学效果。</w:t>
      </w:r>
    </w:p>
    <w:p>
      <w:pPr>
        <w:spacing w:before="205" w:line="281" w:lineRule="auto"/>
        <w:ind w:left="3" w:right="41"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第三十五条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教师在完成教学任务的同时，应积极参与专业建设、课程建设、 </w:t>
      </w:r>
      <w:r>
        <w:rPr>
          <w:rFonts w:ascii="方正书宋简体" w:hAnsi="方正书宋简体" w:eastAsia="方正书宋简体" w:cs="方正书宋简体"/>
          <w:spacing w:val="-2"/>
          <w:sz w:val="24"/>
          <w:szCs w:val="24"/>
        </w:rPr>
        <w:t>实验室建设、教学改革以及其他教学活动。</w:t>
      </w:r>
    </w:p>
    <w:p>
      <w:pPr>
        <w:spacing w:before="13" w:line="195" w:lineRule="auto"/>
        <w:ind w:firstLine="281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第八章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教学工作考核与奖惩</w:t>
      </w:r>
    </w:p>
    <w:p>
      <w:pPr>
        <w:spacing w:before="114" w:line="250" w:lineRule="auto"/>
        <w:ind w:right="4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教师教学工作考核要以教师的基本职责、工作态度、教学能力、 教学方法和教学效果，以及教研水平、教研成果和参加教学基本建设情况为内容，</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着重考核师德表现、业务水平和工作实绩。</w:t>
      </w:r>
    </w:p>
    <w:p>
      <w:pPr>
        <w:spacing w:before="203" w:line="282" w:lineRule="auto"/>
        <w:ind w:left="2" w:right="1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教师的教学质量年度考核，按《吉首大学教师课程教学质量考核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办法（试行）》执行。</w:t>
      </w:r>
    </w:p>
    <w:p>
      <w:pPr>
        <w:spacing w:before="12" w:line="250" w:lineRule="auto"/>
        <w:ind w:left="2" w:right="15"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学校设优秀教学成果奖、教学名师奖、教学竞赛奖、教学研究与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改革奖、优秀教学管理奖、优秀指导教师奖、</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课程教学质量奖等奖项，对教学工作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突出的教师按照《吉首大学教学工作奖励办法》给予表扬和奖励。</w:t>
      </w:r>
    </w:p>
    <w:p>
      <w:pPr>
        <w:spacing w:before="204" w:line="25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第三十九条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2"/>
          <w:sz w:val="24"/>
          <w:szCs w:val="24"/>
        </w:rPr>
        <w:t>教师应认真履行职责，严格遵守教学管理规章制度。对违反教师教学</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3"/>
          <w:sz w:val="24"/>
          <w:szCs w:val="24"/>
        </w:rPr>
        <w:t>纪律的行为，</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3"/>
          <w:sz w:val="24"/>
          <w:szCs w:val="24"/>
        </w:rPr>
        <w:t>按《吉首大学教学事故认定与处理暂行办法》处理，</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3"/>
          <w:sz w:val="24"/>
          <w:szCs w:val="24"/>
        </w:rPr>
        <w:t>并在教师职务晋升、职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9"/>
          <w:sz w:val="24"/>
          <w:szCs w:val="24"/>
        </w:rPr>
        <w:t>称评定、岗位考核、评优评先中严格执行《吉首大学教学质量一票否决制》。</w:t>
      </w:r>
    </w:p>
    <w:p>
      <w:pPr>
        <w:spacing w:before="205" w:line="260" w:lineRule="auto"/>
        <w:ind w:left="3651" w:right="134" w:hanging="316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第四十条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对教师的鉴定、考核、奖励或处分等均应归入教师教学业务档案。</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5"/>
          <w:sz w:val="24"/>
          <w:szCs w:val="24"/>
        </w:rPr>
        <w:t>第九章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5"/>
          <w:sz w:val="24"/>
          <w:szCs w:val="24"/>
        </w:rPr>
        <w:t>附则</w:t>
      </w:r>
    </w:p>
    <w:p>
      <w:pPr>
        <w:spacing w:line="450" w:lineRule="exact"/>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position w:val="12"/>
          <w:sz w:val="24"/>
          <w:szCs w:val="24"/>
        </w:rPr>
        <w:t>第四十一条</w:t>
      </w:r>
      <w:r>
        <w:rPr>
          <w:rFonts w:ascii="Microsoft JhengHei" w:hAnsi="Microsoft JhengHei" w:eastAsia="Microsoft JhengHei" w:cs="Microsoft JhengHei"/>
          <w:spacing w:val="6"/>
          <w:position w:val="12"/>
          <w:sz w:val="24"/>
          <w:szCs w:val="24"/>
        </w:rPr>
        <w:t xml:space="preserve">    </w:t>
      </w:r>
      <w:r>
        <w:rPr>
          <w:rFonts w:ascii="方正书宋简体" w:hAnsi="方正书宋简体" w:eastAsia="方正书宋简体" w:cs="方正书宋简体"/>
          <w:spacing w:val="-3"/>
          <w:position w:val="12"/>
          <w:sz w:val="24"/>
          <w:szCs w:val="24"/>
        </w:rPr>
        <w:t>本规范由教务处、人事处负责解释。</w:t>
      </w:r>
    </w:p>
    <w:p>
      <w:pPr>
        <w:spacing w:line="204"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本规范自发布之日起施行。</w:t>
      </w:r>
    </w:p>
    <w:p>
      <w:pPr>
        <w:spacing w:line="251" w:lineRule="auto"/>
        <w:rPr>
          <w:rFonts w:ascii="Malgun Gothic"/>
          <w:sz w:val="21"/>
        </w:rPr>
      </w:pPr>
    </w:p>
    <w:p>
      <w:pPr>
        <w:spacing w:before="52" w:line="180" w:lineRule="auto"/>
        <w:ind w:firstLine="427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72</w:t>
      </w:r>
    </w:p>
    <w:p>
      <w:pPr>
        <w:sectPr>
          <w:footerReference r:id="rId76" w:type="default"/>
          <w:pgSz w:w="11905" w:h="16840"/>
          <w:pgMar w:top="1431" w:right="1570" w:bottom="400" w:left="1592" w:header="0" w:footer="0" w:gutter="0"/>
          <w:cols w:space="720" w:num="1"/>
        </w:sectPr>
      </w:pPr>
    </w:p>
    <w:p>
      <w:pPr>
        <w:spacing w:before="349" w:line="180" w:lineRule="auto"/>
        <w:ind w:firstLine="56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吉首大学本科人才培养方案制（修）订与执行管理规定</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61" w:lineRule="auto"/>
        <w:rPr>
          <w:rFonts w:ascii="Malgun Gothic"/>
          <w:sz w:val="21"/>
        </w:rPr>
      </w:pPr>
    </w:p>
    <w:p>
      <w:pPr>
        <w:spacing w:before="104" w:line="180" w:lineRule="auto"/>
        <w:ind w:firstLine="4052"/>
        <w:rPr>
          <w:rFonts w:ascii="Microsoft JhengHei" w:hAnsi="Microsoft JhengHei" w:eastAsia="Microsoft JhengHei" w:cs="Microsoft JhengHei"/>
          <w:sz w:val="24"/>
          <w:szCs w:val="24"/>
        </w:rPr>
      </w:pPr>
      <w:r>
        <w:rPr>
          <w:rFonts w:ascii="Microsoft JhengHei" w:hAnsi="Microsoft JhengHei" w:eastAsia="Microsoft JhengHei" w:cs="Microsoft JhengHei"/>
          <w:spacing w:val="-9"/>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9"/>
          <w:sz w:val="24"/>
          <w:szCs w:val="24"/>
        </w:rPr>
        <w:t>则</w:t>
      </w:r>
    </w:p>
    <w:p>
      <w:pPr>
        <w:spacing w:before="138" w:line="282" w:lineRule="auto"/>
        <w:ind w:left="32" w:right="14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第一条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2"/>
          <w:sz w:val="24"/>
          <w:szCs w:val="24"/>
        </w:rPr>
        <w:t>为提高我校人才培养质量，科学合理地制订和修订本科人才培养方案，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保证人才培养方案的顺利实施，结合我校实际，特制订本管理规定。</w:t>
      </w:r>
    </w:p>
    <w:p>
      <w:pPr>
        <w:spacing w:before="11" w:line="277" w:lineRule="auto"/>
        <w:ind w:left="33" w:right="11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8"/>
          <w:sz w:val="24"/>
          <w:szCs w:val="24"/>
        </w:rPr>
        <w:t>第二条</w:t>
      </w:r>
      <w:r>
        <w:rPr>
          <w:rFonts w:ascii="Microsoft JhengHei" w:hAnsi="Microsoft JhengHei" w:eastAsia="Microsoft JhengHei" w:cs="Microsoft JhengHei"/>
          <w:spacing w:val="26"/>
          <w:w w:val="101"/>
          <w:sz w:val="24"/>
          <w:szCs w:val="24"/>
        </w:rPr>
        <w:t xml:space="preserve">   </w:t>
      </w:r>
      <w:r>
        <w:rPr>
          <w:rFonts w:ascii="方正书宋简体" w:hAnsi="方正书宋简体" w:eastAsia="方正书宋简体" w:cs="方正书宋简体"/>
          <w:spacing w:val="-18"/>
          <w:sz w:val="24"/>
          <w:szCs w:val="24"/>
        </w:rPr>
        <w:t>人才培养方案是学校人才培养总体设计的具体体现，是学校保证教学质量和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人才培养规格的重要文件，是组织教学过程，安排教学任务，确定教学编制的基本依据。</w:t>
      </w:r>
    </w:p>
    <w:p>
      <w:pPr>
        <w:spacing w:before="25" w:line="298" w:lineRule="auto"/>
        <w:ind w:left="35" w:right="12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人才培养方案是在国家教育部宏观指导下，由校内专家自主制（修）</w:t>
      </w:r>
      <w:r>
        <w:rPr>
          <w:rFonts w:ascii="方正书宋简体" w:hAnsi="方正书宋简体" w:eastAsia="方正书宋简体" w:cs="方正书宋简体"/>
          <w:spacing w:val="1"/>
          <w:sz w:val="24"/>
          <w:szCs w:val="24"/>
        </w:rPr>
        <w:t xml:space="preserve"> 订。它既要体现国家人才培养的一般要求，又要体现学校的办学定位和专业特色；</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它既要符合教学规律，保持一定的稳定性，又要不断根据经济、社会和科学技术的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发展，适时地进行调整和修订。人才培养方案一经确定，必须认真组织实施。</w:t>
      </w:r>
    </w:p>
    <w:p>
      <w:pPr>
        <w:spacing w:before="8" w:line="197" w:lineRule="auto"/>
        <w:ind w:firstLine="248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第一章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人才培养方案的制（修）订</w:t>
      </w:r>
    </w:p>
    <w:p>
      <w:pPr>
        <w:spacing w:before="110" w:line="281" w:lineRule="auto"/>
        <w:ind w:left="34" w:right="13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人才培养方案的制（修）订，应在学校主管副校长领导下，由教务处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组织进行，各专业所在学院具体负责制（修）订。</w:t>
      </w:r>
    </w:p>
    <w:p>
      <w:pPr>
        <w:spacing w:before="12" w:line="302" w:lineRule="auto"/>
        <w:ind w:left="33" w:right="12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制（修）订人才培养方案的基本原则主要有：德、智、体等全面发展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的原则，理论和实际相结合的原则，注重知识、能力、素质协调发展和共同提高的</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原则，因材施教的原则和整体优化的原则，遵循人才成长规律和高等教育教学的科</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学性原则，人才培养模式与机制的创新性原则和突出专业特色与优势原则，以及适</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合区域经济社会发展人才需要的适应性原则。</w:t>
      </w:r>
    </w:p>
    <w:p>
      <w:pPr>
        <w:spacing w:before="6" w:line="199"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第六条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专业人才培养方案的主要内容包括：</w:t>
      </w:r>
    </w:p>
    <w:p>
      <w:pPr>
        <w:spacing w:before="112" w:line="307" w:lineRule="auto"/>
        <w:ind w:left="3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（一）培养目标；</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0"/>
          <w:sz w:val="24"/>
          <w:szCs w:val="24"/>
        </w:rPr>
        <w:t>（二）培养规格；</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0"/>
          <w:sz w:val="24"/>
          <w:szCs w:val="24"/>
        </w:rPr>
        <w:t>（三）学制与学位；</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0"/>
          <w:sz w:val="24"/>
          <w:szCs w:val="24"/>
        </w:rPr>
        <w:t>（四）主干学科和主要课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w w:val="99"/>
          <w:sz w:val="24"/>
          <w:szCs w:val="24"/>
        </w:rPr>
        <w:t>程</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3"/>
          <w:w w:val="99"/>
          <w:sz w:val="24"/>
          <w:szCs w:val="24"/>
        </w:rPr>
        <w:t>五）课程设置及课时分配</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3"/>
          <w:w w:val="99"/>
          <w:sz w:val="24"/>
          <w:szCs w:val="24"/>
        </w:rPr>
        <w:t>六）实践教学环节安排</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3"/>
          <w:w w:val="99"/>
          <w:sz w:val="24"/>
          <w:szCs w:val="24"/>
        </w:rPr>
        <w:t>七）教学进程安排</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9"/>
          <w:sz w:val="24"/>
          <w:szCs w:val="24"/>
        </w:rPr>
        <w:t>（</w:t>
      </w:r>
      <w:r>
        <w:rPr>
          <w:rFonts w:ascii="方正书宋简体" w:hAnsi="方正书宋简体" w:eastAsia="方正书宋简体" w:cs="方正书宋简体"/>
          <w:spacing w:val="-23"/>
          <w:w w:val="99"/>
          <w:sz w:val="24"/>
          <w:szCs w:val="24"/>
        </w:rPr>
        <w:t>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必要说明与统计数字。</w:t>
      </w:r>
    </w:p>
    <w:p>
      <w:pPr>
        <w:spacing w:before="29" w:line="18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1"/>
          <w:sz w:val="24"/>
          <w:szCs w:val="24"/>
        </w:rPr>
        <w:t>制（修）订人才培养方案的一般程序</w:t>
      </w:r>
    </w:p>
    <w:p>
      <w:pPr>
        <w:spacing w:before="138" w:line="253" w:lineRule="auto"/>
        <w:ind w:left="35" w:right="9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（一）教务处根据高等教育改革的需要，在调查研究的基础上提出本校制（修）</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订专业人才培养方案的原则和指导意见，作为学校的文件发至各学院；</w:t>
      </w:r>
    </w:p>
    <w:p>
      <w:pPr>
        <w:spacing w:before="178" w:line="319" w:lineRule="auto"/>
        <w:ind w:left="36" w:right="129"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8"/>
          <w:sz w:val="24"/>
          <w:szCs w:val="24"/>
        </w:rPr>
        <w:t>各学院根据文件的要求，</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认真组织调研、讨论拟订本学院专业人才培养方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案；对于某些按学科大类培养的包括若干专业的宽口径人才培养方案，由分管教学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院长直接主持，相关系或教研室指派专人参与制（修）订；</w:t>
      </w:r>
    </w:p>
    <w:p>
      <w:pPr>
        <w:spacing w:before="308" w:line="180" w:lineRule="auto"/>
        <w:ind w:firstLine="431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73</w:t>
      </w:r>
    </w:p>
    <w:p>
      <w:pPr>
        <w:sectPr>
          <w:footerReference r:id="rId77" w:type="default"/>
          <w:pgSz w:w="11905" w:h="16840"/>
          <w:pgMar w:top="1431" w:right="1456" w:bottom="400" w:left="1557" w:header="0" w:footer="0" w:gutter="0"/>
          <w:cols w:space="720" w:num="1"/>
        </w:sectPr>
      </w:pPr>
    </w:p>
    <w:p>
      <w:pPr>
        <w:spacing w:before="426" w:line="253" w:lineRule="auto"/>
        <w:ind w:left="1"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（三）</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各学院应组织院教学委员会对各专业人才培养方案进行审议、修改，</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8"/>
          <w:sz w:val="24"/>
          <w:szCs w:val="24"/>
        </w:rPr>
        <w:t>并由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分管教学院长审核、院长审定签字并加盖公章后报送教务处；</w:t>
      </w:r>
    </w:p>
    <w:p>
      <w:pPr>
        <w:spacing w:before="180" w:line="238" w:lineRule="auto"/>
        <w:ind w:left="10" w:right="77" w:firstLine="33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（四）</w:t>
      </w:r>
      <w:r>
        <w:rPr>
          <w:rFonts w:ascii="方正书宋简体" w:hAnsi="方正书宋简体" w:eastAsia="方正书宋简体" w:cs="方正书宋简体"/>
          <w:spacing w:val="65"/>
          <w:sz w:val="24"/>
          <w:szCs w:val="24"/>
        </w:rPr>
        <w:t xml:space="preserve"> </w:t>
      </w:r>
      <w:r>
        <w:rPr>
          <w:rFonts w:ascii="方正书宋简体" w:hAnsi="方正书宋简体" w:eastAsia="方正书宋简体" w:cs="方正书宋简体"/>
          <w:spacing w:val="-13"/>
          <w:sz w:val="24"/>
          <w:szCs w:val="24"/>
        </w:rPr>
        <w:t>教务处负责对各专业人才培养方案进行初审，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送校教学委员会审查，</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并报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主管校长审核批准后组织实施。</w:t>
      </w:r>
    </w:p>
    <w:p>
      <w:pPr>
        <w:spacing w:before="206"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
          <w:sz w:val="24"/>
          <w:szCs w:val="24"/>
        </w:rPr>
        <w:t>人才培养方案的制（修）订应考虑以下几个方面问题</w:t>
      </w:r>
    </w:p>
    <w:p>
      <w:pPr>
        <w:spacing w:before="147"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（一）人才培养方案要贯彻国家教育方针，着眼于学生综合素质的全面提高；</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（二）人才培养方案要体现理论联系实际，知识传授与智能培养并重的原则；</w:t>
      </w:r>
    </w:p>
    <w:p>
      <w:pPr>
        <w:spacing w:before="181" w:line="252" w:lineRule="auto"/>
        <w:ind w:right="7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9"/>
          <w:sz w:val="24"/>
          <w:szCs w:val="24"/>
        </w:rPr>
        <w:t xml:space="preserve"> </w:t>
      </w:r>
      <w:r>
        <w:rPr>
          <w:rFonts w:ascii="方正书宋简体" w:hAnsi="方正书宋简体" w:eastAsia="方正书宋简体" w:cs="方正书宋简体"/>
          <w:spacing w:val="-9"/>
          <w:sz w:val="24"/>
          <w:szCs w:val="24"/>
        </w:rPr>
        <w:t>人才培养方案要在发挥教师主导作用的同时，</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充分调动学生主动性、积极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性和创造性；</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（四）人才培养方案既要反映学科前沿，又要具有学校特色；</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（五）人才培养方案要有相对的稳定性；</w:t>
      </w:r>
    </w:p>
    <w:p>
      <w:pPr>
        <w:spacing w:before="176" w:line="225" w:lineRule="auto"/>
        <w:ind w:left="2811" w:right="2717" w:hanging="246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（六）人才培养方案要有相应的评估体系与评估方法。</w:t>
      </w:r>
      <w:r>
        <w:rPr>
          <w:rFonts w:ascii="方正书宋简体" w:hAnsi="方正书宋简体" w:eastAsia="方正书宋简体" w:cs="方正书宋简体"/>
          <w:spacing w:val="6"/>
          <w:sz w:val="24"/>
          <w:szCs w:val="24"/>
        </w:rPr>
        <w:t xml:space="preserve"> </w:t>
      </w: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人才培养方案的执行</w:t>
      </w:r>
    </w:p>
    <w:p>
      <w:pPr>
        <w:spacing w:before="180"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第九条</w:t>
      </w:r>
      <w:r>
        <w:rPr>
          <w:rFonts w:ascii="Microsoft JhengHei" w:hAnsi="Microsoft JhengHei" w:eastAsia="Microsoft JhengHei" w:cs="Microsoft JhengHei"/>
          <w:spacing w:val="22"/>
          <w:w w:val="101"/>
          <w:sz w:val="24"/>
          <w:szCs w:val="24"/>
        </w:rPr>
        <w:t xml:space="preserve">   </w:t>
      </w:r>
      <w:r>
        <w:rPr>
          <w:rFonts w:ascii="方正书宋简体" w:hAnsi="方正书宋简体" w:eastAsia="方正书宋简体" w:cs="方正书宋简体"/>
          <w:spacing w:val="-16"/>
          <w:sz w:val="24"/>
          <w:szCs w:val="24"/>
        </w:rPr>
        <w:t>经学校批准的各专业人才培养方案，由教务处和各院（部）负责组织实施。</w:t>
      </w:r>
    </w:p>
    <w:p>
      <w:pPr>
        <w:spacing w:before="139" w:line="250" w:lineRule="auto"/>
        <w:ind w:left="1"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人才培养方案规定的教学任务，必须认真执行，任何单位和教学人员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不得推诿，不得任意增减。教学任务按学科性质和业务范围由相关院（部）归口承</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担，教务处负责教学任务的划分和协调管理。</w:t>
      </w:r>
    </w:p>
    <w:p>
      <w:pPr>
        <w:spacing w:before="204"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执行人才培养方案的工作程序</w:t>
      </w:r>
    </w:p>
    <w:p>
      <w:pPr>
        <w:spacing w:before="151" w:line="264" w:lineRule="auto"/>
        <w:ind w:left="6" w:right="77"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（一）每学期第十周（具体时间由教务处届时通知），教务处根据人才培养方案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向开课单位下发下一学期的执行计划，各院（部）在一周内核对，由主管领导书面</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3"/>
          <w:sz w:val="24"/>
          <w:szCs w:val="24"/>
        </w:rPr>
        <w:t>审核、签字后交回教务处教务科。</w:t>
      </w:r>
    </w:p>
    <w:p>
      <w:pPr>
        <w:spacing w:before="208" w:line="267" w:lineRule="auto"/>
        <w:ind w:left="1"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（二）</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7"/>
          <w:sz w:val="24"/>
          <w:szCs w:val="24"/>
        </w:rPr>
        <w:t>教务处根据执行计划下发下一学期的教学任务安排。各院（部）</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7"/>
          <w:sz w:val="24"/>
          <w:szCs w:val="24"/>
        </w:rPr>
        <w:t>应尽快把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教学任务分解，具体落实到有关系或教研室和承担教学的所有教师及教学人员，并</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在两周内由主管领导签字后交教务处教务科。</w:t>
      </w:r>
    </w:p>
    <w:p>
      <w:pPr>
        <w:spacing w:before="206" w:line="243" w:lineRule="auto"/>
        <w:ind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（三）教务处教务科根据教学安排表按学期排出课表（初稿）并发至各学院（部</w:t>
      </w:r>
      <w:r>
        <w:rPr>
          <w:rFonts w:ascii="方正书宋简体" w:hAnsi="方正书宋简体" w:eastAsia="方正书宋简体" w:cs="方正书宋简体"/>
          <w:spacing w:val="-71"/>
          <w:sz w:val="24"/>
          <w:szCs w:val="24"/>
        </w:rPr>
        <w:t>），</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各院（部）在一周内组织核实。</w:t>
      </w:r>
    </w:p>
    <w:p>
      <w:pPr>
        <w:spacing w:before="206" w:line="244" w:lineRule="auto"/>
        <w:ind w:left="18" w:right="78" w:firstLine="32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（四）</w:t>
      </w:r>
      <w:r>
        <w:rPr>
          <w:rFonts w:ascii="方正书宋简体" w:hAnsi="方正书宋简体" w:eastAsia="方正书宋简体" w:cs="方正书宋简体"/>
          <w:spacing w:val="71"/>
          <w:w w:val="101"/>
          <w:sz w:val="24"/>
          <w:szCs w:val="24"/>
        </w:rPr>
        <w:t xml:space="preserve"> </w:t>
      </w:r>
      <w:r>
        <w:rPr>
          <w:rFonts w:ascii="方正书宋简体" w:hAnsi="方正书宋简体" w:eastAsia="方正书宋简体" w:cs="方正书宋简体"/>
          <w:spacing w:val="-12"/>
          <w:sz w:val="24"/>
          <w:szCs w:val="24"/>
        </w:rPr>
        <w:t>教务处根据教学安排表向学院（部）</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2"/>
          <w:sz w:val="24"/>
          <w:szCs w:val="24"/>
        </w:rPr>
        <w:t>下达正式课程安排表和教学任务，</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sz w:val="24"/>
          <w:szCs w:val="24"/>
        </w:rPr>
        <w:t>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院（部）向教师和教学人员下达教学任务书。</w:t>
      </w:r>
    </w:p>
    <w:p>
      <w:pPr>
        <w:spacing w:before="205" w:line="180" w:lineRule="auto"/>
        <w:ind w:firstLine="245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人才培养方案的修改和调整</w:t>
      </w:r>
    </w:p>
    <w:p>
      <w:pPr>
        <w:spacing w:before="139"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要维护人才培养方案的严肃性，保持人才培养方案的相对稳定。对</w:t>
      </w:r>
    </w:p>
    <w:p>
      <w:pPr>
        <w:spacing w:line="278" w:lineRule="auto"/>
        <w:rPr>
          <w:rFonts w:ascii="Malgun Gothic"/>
          <w:sz w:val="21"/>
        </w:rPr>
      </w:pPr>
    </w:p>
    <w:p>
      <w:pPr>
        <w:spacing w:before="52" w:line="180" w:lineRule="auto"/>
        <w:ind w:firstLine="4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74</w:t>
      </w:r>
    </w:p>
    <w:p>
      <w:pPr>
        <w:sectPr>
          <w:footerReference r:id="rId78" w:type="default"/>
          <w:pgSz w:w="11905" w:h="16840"/>
          <w:pgMar w:top="1431" w:right="1507" w:bottom="400" w:left="1591" w:header="0" w:footer="0" w:gutter="0"/>
          <w:cols w:space="720" w:num="1"/>
        </w:sectPr>
      </w:pPr>
    </w:p>
    <w:p>
      <w:pPr>
        <w:spacing w:before="428" w:line="180" w:lineRule="auto"/>
        <w:ind w:firstLine="2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已经批准并正在执行的人才培养方案，原则上不得随意更改。</w:t>
      </w:r>
    </w:p>
    <w:p>
      <w:pPr>
        <w:spacing w:before="181" w:line="294" w:lineRule="auto"/>
        <w:ind w:left="5" w:right="3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新设课程、取消课程、更改授课学期、变动授课学时以及增设或取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消实习、实习学时变动等情况，</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而导致课程结构的变更，</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均属人才培养方案的调整。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调整人才培养方案必须报教务处审批。</w:t>
      </w:r>
    </w:p>
    <w:p>
      <w:pPr>
        <w:spacing w:line="202"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调整人才培养方案的一般程序</w:t>
      </w:r>
    </w:p>
    <w:p>
      <w:pPr>
        <w:spacing w:before="113" w:line="315" w:lineRule="auto"/>
        <w:ind w:left="3"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（一）为保证教学工作正常运行，</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5"/>
          <w:sz w:val="24"/>
          <w:szCs w:val="24"/>
        </w:rPr>
        <w:t>有关人才培养方案的临时调整、变动，</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5"/>
          <w:sz w:val="24"/>
          <w:szCs w:val="24"/>
        </w:rPr>
        <w:t>各院（部）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应在核定学期教学执行计划时提出具体的调整方案，并填写“人才培养方案调整、</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8"/>
          <w:sz w:val="24"/>
          <w:szCs w:val="24"/>
        </w:rPr>
        <w:t>变更申请表”，由主管领导审核后报教务处。</w:t>
      </w:r>
    </w:p>
    <w:p>
      <w:pPr>
        <w:spacing w:before="2" w:line="238" w:lineRule="auto"/>
        <w:ind w:left="8" w:right="130"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8"/>
          <w:sz w:val="24"/>
          <w:szCs w:val="24"/>
        </w:rPr>
        <w:t>教务处教务科负责对调整方案进行初审并进行有关的协调，</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8"/>
          <w:sz w:val="24"/>
          <w:szCs w:val="24"/>
        </w:rPr>
        <w:t>并根据计划变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动幅度由教务处处长或主管校长审批后执行。</w:t>
      </w:r>
    </w:p>
    <w:p>
      <w:pPr>
        <w:spacing w:before="218"/>
        <w:ind w:left="5" w:right="12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（三）</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4"/>
          <w:sz w:val="24"/>
          <w:szCs w:val="24"/>
        </w:rPr>
        <w:t>教务处教务科根据审批后的“人才培养方案调整、变动申请表”调整学期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教学执行计划，落实教学任务。</w:t>
      </w:r>
    </w:p>
    <w:p>
      <w:pPr>
        <w:spacing w:before="218" w:line="310" w:lineRule="auto"/>
        <w:ind w:right="128"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（四）</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7"/>
          <w:sz w:val="24"/>
          <w:szCs w:val="24"/>
        </w:rPr>
        <w:t>各专业局部调整（如调整基础教学课程、专业主要课程等）</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7"/>
          <w:sz w:val="24"/>
          <w:szCs w:val="24"/>
        </w:rPr>
        <w:t>人才培养方案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时，应由相关院（部）主管领导提出调整依据及具体修改意见，并提供背景材料或</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说明，参照人才培养方案修订程序进行报批。</w:t>
      </w:r>
    </w:p>
    <w:p>
      <w:pPr>
        <w:spacing w:before="8" w:line="220" w:lineRule="auto"/>
        <w:ind w:left="4" w:right="130"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第十五条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凡未按上述规定报批而擅自调整、</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3"/>
          <w:sz w:val="24"/>
          <w:szCs w:val="24"/>
        </w:rPr>
        <w:t>变动人才培养方案，均按教学事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故处理。</w:t>
      </w:r>
    </w:p>
    <w:p>
      <w:pPr>
        <w:spacing w:line="153" w:lineRule="exact"/>
      </w:pPr>
    </w:p>
    <w:p>
      <w:pPr>
        <w:sectPr>
          <w:footerReference r:id="rId79" w:type="default"/>
          <w:pgSz w:w="11905" w:h="16840"/>
          <w:pgMar w:top="1431" w:right="1457" w:bottom="400" w:left="1587" w:header="0" w:footer="0" w:gutter="0"/>
          <w:cols w:equalWidth="0" w:num="1">
            <w:col w:w="8860"/>
          </w:cols>
        </w:sectPr>
      </w:pPr>
    </w:p>
    <w:p>
      <w:pPr>
        <w:spacing w:line="265" w:lineRule="auto"/>
        <w:rPr>
          <w:rFonts w:ascii="Malgun Gothic"/>
          <w:sz w:val="21"/>
        </w:rPr>
      </w:pPr>
    </w:p>
    <w:p>
      <w:pPr>
        <w:spacing w:before="104" w:line="260" w:lineRule="auto"/>
        <w:ind w:left="492" w:right="71"/>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第十六条</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4"/>
          <w:sz w:val="24"/>
          <w:szCs w:val="24"/>
        </w:rPr>
        <w:t>第十七条</w:t>
      </w:r>
    </w:p>
    <w:p/>
    <w:p/>
    <w:p/>
    <w:p/>
    <w:p/>
    <w:p/>
    <w:p/>
    <w:p/>
    <w:p/>
    <w:p/>
    <w:p/>
    <w:p/>
    <w:p/>
    <w:p/>
    <w:p/>
    <w:p/>
    <w:p/>
    <w:p/>
    <w:p/>
    <w:p/>
    <w:p>
      <w:pPr>
        <w:spacing w:line="129" w:lineRule="exact"/>
      </w:pPr>
    </w:p>
    <w:p>
      <w:pPr>
        <w:spacing w:line="14" w:lineRule="auto"/>
        <w:rPr>
          <w:rFonts w:ascii="Malgun Gothic"/>
          <w:sz w:val="2"/>
        </w:rPr>
      </w:pPr>
      <w:r>
        <w:rPr>
          <w:rFonts w:ascii="Malgun Gothic" w:hAnsi="Malgun Gothic" w:eastAsia="Malgun Gothic" w:cs="Malgun Gothic"/>
          <w:sz w:val="2"/>
          <w:szCs w:val="2"/>
        </w:rPr>
        <w:br w:type="column"/>
      </w:r>
    </w:p>
    <w:p>
      <w:pPr>
        <w:spacing w:before="52" w:line="180" w:lineRule="auto"/>
        <w:ind w:firstLine="2164"/>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第四章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53" w:line="449" w:lineRule="exact"/>
        <w:ind w:firstLine="7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position w:val="16"/>
          <w:sz w:val="24"/>
          <w:szCs w:val="24"/>
        </w:rPr>
        <w:t>本办法自发布之日起施行。</w:t>
      </w:r>
    </w:p>
    <w:p>
      <w:pPr>
        <w:spacing w:before="1" w:line="204" w:lineRule="auto"/>
        <w:ind w:firstLine="7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本办法由教务处负责解释。</w:t>
      </w: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53" w:line="121" w:lineRule="exact"/>
        <w:ind w:firstLine="2670"/>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75</w:t>
      </w:r>
    </w:p>
    <w:p>
      <w:pPr>
        <w:sectPr>
          <w:type w:val="continuous"/>
          <w:pgSz w:w="11905" w:h="16840"/>
          <w:pgMar w:top="1431" w:right="1457" w:bottom="400" w:left="1587" w:header="0" w:footer="0" w:gutter="0"/>
          <w:cols w:equalWidth="0" w:num="2">
            <w:col w:w="1512" w:space="100"/>
            <w:col w:w="7248"/>
          </w:cols>
        </w:sectPr>
      </w:pPr>
    </w:p>
    <w:p>
      <w:pPr>
        <w:spacing w:before="349" w:line="180" w:lineRule="auto"/>
        <w:ind w:firstLine="1491"/>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吉首大学本科生导师制实施办法（试行）</w:t>
      </w:r>
    </w:p>
    <w:p>
      <w:pPr>
        <w:spacing w:before="110" w:line="184" w:lineRule="auto"/>
        <w:ind w:firstLine="3130"/>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12</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61" w:lineRule="auto"/>
        <w:rPr>
          <w:rFonts w:ascii="Malgun Gothic"/>
          <w:sz w:val="21"/>
        </w:rPr>
      </w:pPr>
    </w:p>
    <w:p>
      <w:pPr>
        <w:spacing w:before="1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一、总则</w:t>
      </w:r>
    </w:p>
    <w:p>
      <w:pPr>
        <w:spacing w:before="150" w:line="313" w:lineRule="auto"/>
        <w:ind w:right="95"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1、本科生导师制是实施和完善学分制必要的组织保证，</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是充分发挥教师主导作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用，建立新型师生关系，实现因材施教和个性化培养，提高人才培养质量的重要途</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径。为保证学分制的顺利运行，全面落实导师制各项工作要求，根据《吉首大学学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分制管理实施意见》，特制定本办法。</w:t>
      </w:r>
    </w:p>
    <w:p>
      <w:pPr>
        <w:spacing w:before="12"/>
        <w:ind w:left="3" w:right="29"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2、本办法所指“导师”，</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1"/>
          <w:w w:val="96"/>
          <w:sz w:val="24"/>
          <w:szCs w:val="24"/>
        </w:rPr>
        <w:t>是指针对实行学分制的普通本科学生，</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w w:val="96"/>
          <w:sz w:val="24"/>
          <w:szCs w:val="24"/>
        </w:rPr>
        <w:t>以其学习、学术引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导和指导为核心，兼顾学生思想品德教育和生活、心理等方面指导的兼职教育工作者。</w:t>
      </w:r>
    </w:p>
    <w:p>
      <w:pPr>
        <w:spacing w:before="204"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二、导师的任职资格与聘任</w:t>
      </w:r>
    </w:p>
    <w:p>
      <w:pPr>
        <w:spacing w:before="150" w:line="316" w:lineRule="auto"/>
        <w:ind w:left="4" w:right="97"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1、凡获得教师系列职称或受聘担任教学科研岗位的教师均有义务承担本科生导</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师工作。担任本科生导师应具备以下任职资格：</w:t>
      </w:r>
    </w:p>
    <w:p>
      <w:pPr>
        <w:spacing w:before="2" w:line="238" w:lineRule="auto"/>
        <w:ind w:left="3" w:right="97"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（1）具有良好的师德，较强的工作责任心，严于律己，为人师表，关心学生成</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7"/>
          <w:sz w:val="24"/>
          <w:szCs w:val="24"/>
        </w:rPr>
        <w:t>长成才。</w:t>
      </w:r>
    </w:p>
    <w:p>
      <w:pPr>
        <w:spacing w:before="21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（2）熟悉教育教学规律，具有较高的教学水平和一定的组织管理能力。</w:t>
      </w:r>
    </w:p>
    <w:p>
      <w:pPr>
        <w:spacing w:before="176" w:line="303" w:lineRule="auto"/>
        <w:ind w:left="2" w:right="97"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（3）熟悉相关学科、专业的培养目标和培养要求，具有较强的科研能力和专业</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5"/>
          <w:sz w:val="24"/>
          <w:szCs w:val="24"/>
        </w:rPr>
        <w:t>学习指导能力。</w:t>
      </w:r>
    </w:p>
    <w:p>
      <w:pPr>
        <w:spacing w:before="41" w:line="238" w:lineRule="auto"/>
        <w:ind w:right="9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（4）具有中级以上（含中级）职称或博士研究生学历且具有一年以上的教学工</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作或管理工作经历。</w:t>
      </w:r>
    </w:p>
    <w:p>
      <w:pPr>
        <w:spacing w:before="218" w:line="315" w:lineRule="auto"/>
        <w:ind w:right="9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2、本科生导师的选聘工作由学院具体负责。各学院应根据导师任职资格提出拟</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聘导师名单并向学生公布，经学生和导师双向选择后确定聘任名单并报教务处、学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工部等单位备案。</w:t>
      </w:r>
    </w:p>
    <w:p>
      <w:pPr>
        <w:spacing w:line="265" w:lineRule="auto"/>
        <w:ind w:right="95"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3、各学院应根据本单位实际情况为本科生配备导师，</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7"/>
          <w:sz w:val="24"/>
          <w:szCs w:val="24"/>
        </w:rPr>
        <w:t>原则上按年级每</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10-20</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学生配备一名导师。如果学院没有足够的符合任职资格的导师，报经学校批准可以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选聘符合任职资格的公共课教学单位及研究所、中心和行政管理部门的教师担任。</w:t>
      </w:r>
    </w:p>
    <w:p>
      <w:pPr>
        <w:spacing w:before="210" w:line="314" w:lineRule="auto"/>
        <w:ind w:left="1"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4、导师实行聘任制，</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9"/>
          <w:sz w:val="24"/>
          <w:szCs w:val="24"/>
        </w:rPr>
        <w:t>学院可根据学科专业特点分阶段、按需求为学生配备导师，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学生与导师之间实行双向选择和适当退出机制，聘期内导师和学生确因特殊情况或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不能按要求履行职责的可选择更换或撤换。聘期内终止聘任或聘任变动需报教务处、</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5"/>
          <w:sz w:val="24"/>
          <w:szCs w:val="24"/>
        </w:rPr>
        <w:t>学工部备案。</w:t>
      </w:r>
    </w:p>
    <w:p>
      <w:pPr>
        <w:spacing w:before="337" w:line="180" w:lineRule="auto"/>
        <w:ind w:firstLine="427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76</w:t>
      </w:r>
    </w:p>
    <w:p>
      <w:pPr>
        <w:sectPr>
          <w:footerReference r:id="rId80" w:type="default"/>
          <w:pgSz w:w="11905" w:h="16840"/>
          <w:pgMar w:top="1431" w:right="1490" w:bottom="400" w:left="1591" w:header="0" w:footer="0" w:gutter="0"/>
          <w:cols w:space="720" w:num="1"/>
        </w:sectPr>
      </w:pPr>
    </w:p>
    <w:p>
      <w:pPr>
        <w:spacing w:before="41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三、导师的工作职责</w:t>
      </w:r>
    </w:p>
    <w:p>
      <w:pPr>
        <w:spacing w:before="149"/>
        <w:ind w:left="3" w:right="97"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1、关心学生的思想进步，</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引导学生明确学习目的和成才目标，</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端正专业思想和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学习态度，促进学生知识、能力、素质协调发展。</w:t>
      </w:r>
    </w:p>
    <w:p>
      <w:pPr>
        <w:spacing w:before="211" w:line="312" w:lineRule="auto"/>
        <w:ind w:right="9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2、针对学生的个体差异因材施教，</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发挥自身专业优势和知识结构优势，</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对学生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选课、选师、选时、选择专业及专业方向以及学习方法、科学研究、职业生涯规划</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等方面进行指导，当好学生的参谋。</w:t>
      </w:r>
    </w:p>
    <w:p>
      <w:pPr>
        <w:spacing w:before="17" w:line="311" w:lineRule="auto"/>
        <w:ind w:right="95"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3、针对学生在不同学习阶段的特点进行指导。对低年级学生重在帮助他们尽快</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完成从中学生到大学生的角色转变，尽快融入大学的学习和生活，帮助学生树立专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业观和打牢专业基础；对高年级学生则重在培养专业素质、创新精神和实践能力，</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1"/>
          <w:sz w:val="24"/>
          <w:szCs w:val="24"/>
        </w:rPr>
        <w:t>对学生专业发展方向选择、报考攻读研究生及就业、创业等进行相应指导和帮助。</w:t>
      </w:r>
    </w:p>
    <w:p>
      <w:pPr>
        <w:spacing w:before="27" w:line="315" w:lineRule="auto"/>
        <w:ind w:right="9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4、密切联系学生。每学期初与每学期末须与学生见面交流，</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采取集体指导与个</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别指导相结合的方式，每学期集体指导不少于两次，对每个学生的个别指导不少于</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一次。对有特殊学业需求的学生应及时给予指导。</w:t>
      </w:r>
    </w:p>
    <w:p>
      <w:pPr>
        <w:spacing w:before="1" w:line="202"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5、协助配合教务、学生管理等部门做好相关的学生事务管理工作。</w:t>
      </w:r>
    </w:p>
    <w:p>
      <w:pPr>
        <w:spacing w:before="164" w:line="239" w:lineRule="auto"/>
        <w:ind w:left="2" w:right="9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6、工作须有计划、有记录、有总结。每学期末，</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6"/>
          <w:sz w:val="24"/>
          <w:szCs w:val="24"/>
        </w:rPr>
        <w:t>应向学院导师制工作小组提交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工作总结，并对所指导学生做出学习、品行等方面的评价。</w:t>
      </w:r>
    </w:p>
    <w:p>
      <w:pPr>
        <w:spacing w:before="204"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四、对学生的要求</w:t>
      </w:r>
    </w:p>
    <w:p>
      <w:pPr>
        <w:spacing w:before="150"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1、尊重导师，主动与导师联系、寻求导师的指导和帮助。</w:t>
      </w:r>
    </w:p>
    <w:p>
      <w:pPr>
        <w:spacing w:before="193" w:line="315" w:lineRule="auto"/>
        <w:ind w:left="4" w:right="97"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2、每学期开学初与导师联系，</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汇报自己的思想、学业等情况，</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并根据导师的指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导意见与本人的实际情况制定出本学期的学习与综合素质发展计划。</w:t>
      </w:r>
    </w:p>
    <w:p>
      <w:pPr>
        <w:spacing w:before="1" w:line="315" w:lineRule="auto"/>
        <w:ind w:right="97"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3、以主动、认真的态度，</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参与导师确定的各项活动，</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努力培养和提高自身的科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研能力与创新思维。</w:t>
      </w:r>
    </w:p>
    <w:p>
      <w:pPr>
        <w:spacing w:before="5" w:line="199"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4、自觉遵守有关管理制度。</w:t>
      </w:r>
    </w:p>
    <w:p>
      <w:pPr>
        <w:spacing w:before="166"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5、要客观、公正地对导师的指导情况进行评议。</w:t>
      </w:r>
    </w:p>
    <w:p>
      <w:pPr>
        <w:spacing w:before="178"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五、导师的管理与考核</w:t>
      </w:r>
    </w:p>
    <w:p>
      <w:pPr>
        <w:spacing w:before="152" w:line="315"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1、为保证本科生导师制的顺利实施，</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2"/>
          <w:sz w:val="24"/>
          <w:szCs w:val="24"/>
        </w:rPr>
        <w:t>学校成立本科生导师制工作领导小组，</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2"/>
          <w:sz w:val="24"/>
          <w:szCs w:val="24"/>
        </w:rPr>
        <w:t>由</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2"/>
          <w:sz w:val="24"/>
          <w:szCs w:val="24"/>
        </w:rPr>
        <w:t>分管本科生教学工作副校长任组长，教务处、</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学生工作部、人事处、财务处、团委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等部门的负责人为成员。领导小组负责制定学校本科生导师制的政策、指导、监督、</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评价学院导师制工作开展等事项。</w:t>
      </w:r>
    </w:p>
    <w:p>
      <w:pPr>
        <w:spacing w:before="3" w:line="201"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领导小组下设办公室，设在教务处，负责本科生导师的岗位审查、调剂，汇总</w:t>
      </w:r>
    </w:p>
    <w:p>
      <w:pPr>
        <w:spacing w:line="287" w:lineRule="auto"/>
        <w:rPr>
          <w:rFonts w:ascii="Malgun Gothic"/>
          <w:sz w:val="21"/>
        </w:rPr>
      </w:pPr>
    </w:p>
    <w:p>
      <w:pPr>
        <w:spacing w:before="52" w:line="180" w:lineRule="auto"/>
        <w:ind w:firstLine="42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77</w:t>
      </w:r>
    </w:p>
    <w:p>
      <w:pPr>
        <w:sectPr>
          <w:footerReference r:id="rId81" w:type="default"/>
          <w:pgSz w:w="11905" w:h="16840"/>
          <w:pgMar w:top="1431" w:right="1489" w:bottom="400" w:left="1590" w:header="0" w:footer="0" w:gutter="0"/>
          <w:cols w:space="720" w:num="1"/>
        </w:sectPr>
      </w:pPr>
    </w:p>
    <w:p>
      <w:pPr>
        <w:spacing w:before="426" w:line="180" w:lineRule="auto"/>
        <w:ind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全校配备、考核结果，组织评选优秀本科生导师和管理协调等工作。</w:t>
      </w:r>
    </w:p>
    <w:p>
      <w:pPr>
        <w:spacing w:before="192" w:line="316" w:lineRule="auto"/>
        <w:ind w:left="2" w:right="4"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各学院成立由院长为组长的本科生导师制工作小组，负责本院导师的遴选、聘</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任、日常管理和组织协调工作，并根据本单位的实际情况，制定相应的管理规定和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实施细则，抓好本科生导师制的工作落实。</w:t>
      </w:r>
    </w:p>
    <w:p>
      <w:pPr>
        <w:spacing w:before="2" w:line="264" w:lineRule="auto"/>
        <w:ind w:right="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2、本科生导师工作考核纳入学校教职工的年度考核，</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每学年进行一次，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本科生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导师的考核由各学院负责，考核细则由学院制定。考核方法可采用学院考评和学生</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评价相结合的办法，全面考核导师履行职责情况和指导学生实际效果。</w:t>
      </w:r>
    </w:p>
    <w:p>
      <w:pPr>
        <w:spacing w:before="215" w:line="315" w:lineRule="auto"/>
        <w:ind w:left="24" w:firstLine="46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3、本科生导师工作的考核结果，作为教师工作年度考核、专业技术职务晋升、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岗位聘任和评优评奖的重要依据之一。</w:t>
      </w:r>
    </w:p>
    <w:p>
      <w:pPr>
        <w:spacing w:before="2" w:line="315" w:lineRule="auto"/>
        <w:ind w:left="3" w:right="20"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4、学校每年评选“优秀本科生导师”，对本科生导师工作表现突出的教师给予</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表彰和奖励，其比例不超过全校本科生导师总数的</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2"/>
          <w:sz w:val="24"/>
          <w:szCs w:val="24"/>
        </w:rPr>
        <w:t>10%。</w:t>
      </w:r>
    </w:p>
    <w:p>
      <w:pPr>
        <w:spacing w:before="2" w:line="239" w:lineRule="auto"/>
        <w:ind w:left="2" w:right="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5、学校对考核合格的本科生导师按《教学工作量核算办法》规定计入当年教学</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工作量，核发相应工作量津贴。</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六、附则</w:t>
      </w:r>
    </w:p>
    <w:p>
      <w:pPr>
        <w:spacing w:before="153"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1、本办法自公布之日起开始施行。</w:t>
      </w:r>
    </w:p>
    <w:p>
      <w:pPr>
        <w:spacing w:before="192"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2、本办法由教务处负责解释。</w:t>
      </w: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before="53" w:line="180" w:lineRule="auto"/>
        <w:ind w:firstLine="42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78</w:t>
      </w:r>
    </w:p>
    <w:p>
      <w:pPr>
        <w:sectPr>
          <w:footerReference r:id="rId82" w:type="default"/>
          <w:pgSz w:w="11905" w:h="16840"/>
          <w:pgMar w:top="1431" w:right="1581" w:bottom="400" w:left="1590" w:header="0" w:footer="0" w:gutter="0"/>
          <w:cols w:space="720" w:num="1"/>
        </w:sectPr>
      </w:pPr>
    </w:p>
    <w:p>
      <w:pPr>
        <w:spacing w:before="316" w:line="180" w:lineRule="auto"/>
        <w:ind w:firstLine="197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吉首大学关于调（停）课管理规定</w:t>
      </w:r>
    </w:p>
    <w:p>
      <w:pPr>
        <w:spacing w:line="263" w:lineRule="auto"/>
        <w:rPr>
          <w:rFonts w:ascii="Malgun Gothic"/>
          <w:sz w:val="21"/>
        </w:rPr>
      </w:pPr>
    </w:p>
    <w:p>
      <w:pPr>
        <w:spacing w:before="86" w:line="225" w:lineRule="auto"/>
        <w:ind w:left="5" w:right="98"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为严格教学管理，维护正常的教学秩序，确保人才培养方案的实施，提高教学</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质量，结合我校实际，特制定本规定。</w:t>
      </w:r>
    </w:p>
    <w:p>
      <w:pPr>
        <w:spacing w:before="174" w:line="226" w:lineRule="auto"/>
        <w:ind w:left="4" w:right="14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一、教学工作是学校的中心工作，学校的其他工作都必须以保证教学为中心，</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不得任意妨碍教学活动，影响正常的教学秩序。</w:t>
      </w:r>
    </w:p>
    <w:p>
      <w:pPr>
        <w:spacing w:before="175" w:line="287" w:lineRule="auto"/>
        <w:ind w:left="1" w:right="96"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1、凡节假日、运动会、重大活动等涉及的停课和调课，</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按校历和学校下发的有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关文件执行。</w:t>
      </w:r>
    </w:p>
    <w:p>
      <w:pPr>
        <w:spacing w:before="1" w:line="226" w:lineRule="auto"/>
        <w:ind w:left="10" w:right="96"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2、学校临时组织的大型活动需要停课，</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由主办单位提出书面申请，</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经主管教学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副校长批准后，由教务处统一下发停课通知。</w:t>
      </w:r>
    </w:p>
    <w:p>
      <w:pPr>
        <w:spacing w:before="177"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3、学校有关部门的非教学活动应尽量不占授课时间，不得任意发布停课通知。</w:t>
      </w:r>
    </w:p>
    <w:p>
      <w:pPr>
        <w:spacing w:before="138" w:line="290" w:lineRule="auto"/>
        <w:ind w:left="2"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二、各学院应严格执行教学计划，教师应严格按照课程安排表组织教学，不得</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擅自停课和调课。教师如因病假、事假、公假等特殊原因必须停课和调课时，需办</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7"/>
          <w:sz w:val="24"/>
          <w:szCs w:val="24"/>
        </w:rPr>
        <w:t>理如下手续：</w:t>
      </w:r>
    </w:p>
    <w:p>
      <w:pPr>
        <w:spacing w:before="2" w:line="239" w:lineRule="auto"/>
        <w:ind w:left="5" w:right="96"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1、由停、调课教师在所在学院填写停、调课申请表，</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1"/>
          <w:sz w:val="24"/>
          <w:szCs w:val="24"/>
        </w:rPr>
        <w:t>并注明停、调课原因，</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交</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学院教学秘书备查；</w:t>
      </w:r>
    </w:p>
    <w:p>
      <w:pPr>
        <w:spacing w:before="138" w:line="283" w:lineRule="auto"/>
        <w:ind w:left="4"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2、所在学院对教师停、调课进行审核，</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2"/>
          <w:sz w:val="24"/>
          <w:szCs w:val="24"/>
        </w:rPr>
        <w:t>属本学院课程在</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2"/>
          <w:sz w:val="24"/>
          <w:szCs w:val="24"/>
        </w:rPr>
        <w:t>4</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节以内的，</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2"/>
          <w:sz w:val="24"/>
          <w:szCs w:val="24"/>
        </w:rPr>
        <w:t>由主管教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学院长或主任签字同意，</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11"/>
          <w:w w:val="98"/>
          <w:sz w:val="24"/>
          <w:szCs w:val="24"/>
        </w:rPr>
        <w:t>报教务处备案；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w w:val="98"/>
          <w:sz w:val="24"/>
          <w:szCs w:val="24"/>
        </w:rPr>
        <w:t>课时超过</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1"/>
          <w:w w:val="98"/>
          <w:sz w:val="24"/>
          <w:szCs w:val="24"/>
        </w:rPr>
        <w:t>4</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w w:val="98"/>
          <w:sz w:val="24"/>
          <w:szCs w:val="24"/>
        </w:rPr>
        <w:t>节的须报教务处同意；</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w w:val="98"/>
          <w:sz w:val="24"/>
          <w:szCs w:val="24"/>
        </w:rPr>
        <w:t>公共课、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通识选修课和外学院的调课，须报教务处审批。</w:t>
      </w:r>
    </w:p>
    <w:p>
      <w:pPr>
        <w:spacing w:before="21" w:line="238" w:lineRule="auto"/>
        <w:ind w:left="7"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3、经审批同意的停、调课，</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涉及本院师生的课程，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所在学院教学秘书通知到教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师本人和学生；公共课或涉及到外院师生的课程，由教务处通知相关学院。</w:t>
      </w:r>
    </w:p>
    <w:p>
      <w:pPr>
        <w:spacing w:before="139"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4、停、调课需提前一周办理，开学第一周内一律不允许停、调课。</w:t>
      </w:r>
    </w:p>
    <w:p>
      <w:pPr>
        <w:spacing w:before="154" w:line="246" w:lineRule="auto"/>
        <w:ind w:left="4"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三、因突发性事由，教师无法事先办理停、调课手续的，应及时向学院教学秘</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书和教学院长报告，学院须以电话等形式报教务处备案。事后本人应向所在学学院</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充分说明原因，并补办停、调课手续，否则按旷课处理。</w:t>
      </w:r>
    </w:p>
    <w:p>
      <w:pPr>
        <w:spacing w:before="177" w:line="246" w:lineRule="auto"/>
        <w:ind w:right="95" w:firstLine="50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四、任课教师应严格按课程表中规定的时间上课，不得任意增减课时，调整上</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课时间。因特殊原因必须增减课时的，应本人提出书面申请，经主管教学院长签字</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同意，报教务处审批后方能执行。</w:t>
      </w:r>
    </w:p>
    <w:p>
      <w:pPr>
        <w:spacing w:before="175" w:line="283" w:lineRule="auto"/>
        <w:ind w:left="3" w:right="98"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五、因停课、调课造成的缺课和学时不足的情况，学院应通知任课教师及时安</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排补课，以确保教学工作任务的完成。</w:t>
      </w:r>
    </w:p>
    <w:p>
      <w:pPr>
        <w:spacing w:before="16" w:line="286" w:lineRule="auto"/>
        <w:ind w:left="6" w:right="9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六、未经批准擅自停课、调课和因停调课导致教学工作量不足，对教学工作产</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生影响的按《吉首大学教学事故认定与处理办法》进行处理。</w:t>
      </w:r>
    </w:p>
    <w:p>
      <w:pPr>
        <w:spacing w:before="3" w:line="201"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七、本规定由教务处负责解释。</w:t>
      </w:r>
    </w:p>
    <w:p>
      <w:pPr>
        <w:spacing w:line="260" w:lineRule="auto"/>
        <w:rPr>
          <w:rFonts w:ascii="Malgun Gothic"/>
          <w:sz w:val="21"/>
        </w:rPr>
      </w:pPr>
    </w:p>
    <w:p>
      <w:pPr>
        <w:spacing w:before="5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79</w:t>
      </w:r>
    </w:p>
    <w:p>
      <w:pPr>
        <w:sectPr>
          <w:footerReference r:id="rId83" w:type="default"/>
          <w:pgSz w:w="11905" w:h="16840"/>
          <w:pgMar w:top="1431" w:right="1490" w:bottom="400" w:left="1588" w:header="0" w:footer="0" w:gutter="0"/>
          <w:cols w:space="720" w:num="1"/>
        </w:sectPr>
      </w:pPr>
    </w:p>
    <w:p>
      <w:pPr>
        <w:spacing w:before="349" w:line="180" w:lineRule="auto"/>
        <w:ind w:firstLine="213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吉首大学课堂教学秩序管理办法</w:t>
      </w:r>
    </w:p>
    <w:p>
      <w:pPr>
        <w:spacing w:line="316" w:lineRule="auto"/>
        <w:rPr>
          <w:rFonts w:ascii="Malgun Gothic"/>
          <w:sz w:val="21"/>
        </w:rPr>
      </w:pPr>
    </w:p>
    <w:p>
      <w:pPr>
        <w:spacing w:before="86" w:line="239" w:lineRule="auto"/>
        <w:ind w:left="20" w:right="3" w:firstLine="46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为维护课堂教学秩序，严格课堂纪律，营造良好的学风、校风，确保教学工作</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的正常进行，不断提高教学质量，结合学校实际，特制定本办法。</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一、课堂教学考勤</w:t>
      </w:r>
    </w:p>
    <w:p>
      <w:pPr>
        <w:spacing w:before="151" w:line="315" w:lineRule="auto"/>
        <w:ind w:left="2" w:right="1"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1、学生上课实行考勤制度，</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各学院指定专人负责做好本单位各班级学生课堂教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学秩序考核和管理。</w:t>
      </w:r>
    </w:p>
    <w:p>
      <w:pPr>
        <w:spacing w:before="1" w:line="315" w:lineRule="auto"/>
        <w:ind w:left="6" w:right="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2、各班级学习委员协助任课教师做好每堂课考勤和学习情况考核，</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1"/>
          <w:sz w:val="24"/>
          <w:szCs w:val="24"/>
        </w:rPr>
        <w:t>如实填写《课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堂考勤日志》，每周负责将考勤情况汇总并上报学院教务秘书处。</w:t>
      </w:r>
    </w:p>
    <w:p>
      <w:pPr>
        <w:spacing w:before="1" w:line="315" w:lineRule="auto"/>
        <w:ind w:right="14"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3、各学院教学考勤负责人每月定期汇总课堂考勤情况，并将结果向学生公布，</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对于旷课、缺课的学生视其情况给予批评教育，直至纪律处分。</w:t>
      </w:r>
    </w:p>
    <w:p>
      <w:pPr>
        <w:spacing w:before="1" w:line="238" w:lineRule="auto"/>
        <w:ind w:left="1" w:right="1"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4、教务处不定期对各学院课堂教学考勤情况进行抽查，</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并将抽查结果定期进行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通报。</w:t>
      </w:r>
    </w:p>
    <w:p>
      <w:pPr>
        <w:spacing w:before="217" w:line="311"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5、学生因病、因事不能上课必须请假，</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6"/>
          <w:sz w:val="24"/>
          <w:szCs w:val="24"/>
        </w:rPr>
        <w:t>提出书面申请（因病者须附医疗单位证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明</w:t>
      </w:r>
      <w:r>
        <w:rPr>
          <w:rFonts w:ascii="方正书宋简体" w:hAnsi="方正书宋简体" w:eastAsia="方正书宋简体" w:cs="方正书宋简体"/>
          <w:spacing w:val="-100"/>
          <w:sz w:val="24"/>
          <w:szCs w:val="24"/>
        </w:rPr>
        <w:t>），</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经审批签字同意后方可生效。请假一天以内由辅导员或班主任批准；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7"/>
          <w:sz w:val="24"/>
          <w:szCs w:val="24"/>
        </w:rPr>
        <w:t>二至七天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由主管教学院长（或副书记）批准；一周以上由学院签署意见后报教务处批准。请</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假期满或提前返校，应办理销假手续。须延长假期的应按规定办理续假手续。</w:t>
      </w:r>
    </w:p>
    <w:p>
      <w:pPr>
        <w:spacing w:before="25" w:line="311" w:lineRule="auto"/>
        <w:ind w:left="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6、一学期内，</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sz w:val="24"/>
          <w:szCs w:val="24"/>
        </w:rPr>
        <w:t>因请假缺课超过某门课程的总学时三分之一者，</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不得参加该门课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程的考试，课程须经重修后，方可参加考试；</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一学期内因请假缺课超过总学时三分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之一（或六周及以上者）作休学处理。</w:t>
      </w:r>
    </w:p>
    <w:p>
      <w:pPr>
        <w:spacing w:before="9" w:line="199"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二、课堂教学纪律</w:t>
      </w:r>
    </w:p>
    <w:p>
      <w:pPr>
        <w:spacing w:before="117" w:line="239" w:lineRule="auto"/>
        <w:ind w:right="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1、学生必须按时参加教学计划规定的课程教学活动，</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1"/>
          <w:sz w:val="24"/>
          <w:szCs w:val="24"/>
        </w:rPr>
        <w:t>按时上课，</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不得迟到、早</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退和缺席。</w:t>
      </w:r>
    </w:p>
    <w:p>
      <w:pPr>
        <w:spacing w:before="216" w:line="239" w:lineRule="auto"/>
        <w:ind w:left="3" w:right="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2、师生上课时必须衣着整洁得体，</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行为举止应符合教师行为规范和高等学校学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生行为准则。</w:t>
      </w:r>
    </w:p>
    <w:p>
      <w:pPr>
        <w:spacing w:before="220" w:line="253" w:lineRule="auto"/>
        <w:ind w:right="2"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3、上课时，</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1"/>
          <w:w w:val="96"/>
          <w:sz w:val="24"/>
          <w:szCs w:val="24"/>
        </w:rPr>
        <w:t>学生必须遵守课堂纪律，</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6"/>
          <w:sz w:val="24"/>
          <w:szCs w:val="24"/>
        </w:rPr>
        <w:t>专心听讲，</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6"/>
          <w:sz w:val="24"/>
          <w:szCs w:val="24"/>
        </w:rPr>
        <w:t>认真思考和记笔记，</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6"/>
          <w:sz w:val="24"/>
          <w:szCs w:val="24"/>
        </w:rPr>
        <w:t>不得看与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本课无关的书刊；不准交谈、抽烟、随意走动；不得会客、接打电话。</w:t>
      </w:r>
    </w:p>
    <w:p>
      <w:pPr>
        <w:spacing w:before="175" w:line="315" w:lineRule="auto"/>
        <w:ind w:left="2" w:right="14"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4、讲究文明礼貌，尊师爱生。上、下课呼起立，互相致意问候；教师提问时，</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学生应起立回答；学生提问题时，应先举手，教师同意后方可起立发言。</w:t>
      </w:r>
    </w:p>
    <w:p>
      <w:pPr>
        <w:spacing w:before="6" w:line="199"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5、任课教师应按时上、下课，</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1"/>
          <w:w w:val="96"/>
          <w:sz w:val="24"/>
          <w:szCs w:val="24"/>
        </w:rPr>
        <w:t>不迟到，</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6"/>
          <w:sz w:val="24"/>
          <w:szCs w:val="24"/>
        </w:rPr>
        <w:t>不提前下课，</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6"/>
          <w:sz w:val="24"/>
          <w:szCs w:val="24"/>
        </w:rPr>
        <w:t>不拖堂。老师上课时，</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6"/>
          <w:sz w:val="24"/>
          <w:szCs w:val="24"/>
        </w:rPr>
        <w:t>要</w:t>
      </w:r>
    </w:p>
    <w:p>
      <w:pPr>
        <w:spacing w:line="287" w:lineRule="auto"/>
        <w:rPr>
          <w:rFonts w:ascii="Malgun Gothic"/>
          <w:sz w:val="21"/>
        </w:rPr>
      </w:pPr>
    </w:p>
    <w:p>
      <w:pPr>
        <w:spacing w:before="53" w:line="180" w:lineRule="auto"/>
        <w:ind w:firstLine="42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w:t>
      </w:r>
    </w:p>
    <w:p>
      <w:pPr>
        <w:sectPr>
          <w:footerReference r:id="rId84" w:type="default"/>
          <w:pgSz w:w="11905" w:h="16840"/>
          <w:pgMar w:top="1431" w:right="1585" w:bottom="400" w:left="1591" w:header="0" w:footer="0" w:gutter="0"/>
          <w:cols w:space="720" w:num="1"/>
        </w:sectPr>
      </w:pPr>
    </w:p>
    <w:p>
      <w:pPr>
        <w:spacing w:before="424" w:line="304" w:lineRule="auto"/>
        <w:ind w:left="482" w:right="12" w:hanging="46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以良好的精神风貌和教学技能激发学生的学习热情。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6、学生对教师授课有意见，可在课后向学习委员或有关领导反映，转告教师，</w:t>
      </w:r>
    </w:p>
    <w:p>
      <w:pPr>
        <w:spacing w:before="34" w:line="265" w:lineRule="auto"/>
        <w:ind w:left="480" w:hanging="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或课后找教师善意提出，不得当场起哄指责。</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7、教室内外应保持清洁，室内布置整齐有序，营造良好的学习环境。</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w w:val="99"/>
          <w:sz w:val="24"/>
          <w:szCs w:val="24"/>
        </w:rPr>
        <w:t>8、建立班级值日制度。值日生应负责维持教学秩序，</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w w:val="99"/>
          <w:sz w:val="24"/>
          <w:szCs w:val="24"/>
        </w:rPr>
        <w:t>负责擦净白（黑）</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1"/>
          <w:w w:val="99"/>
          <w:sz w:val="24"/>
          <w:szCs w:val="24"/>
        </w:rPr>
        <w:t>板，</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w w:val="99"/>
          <w:sz w:val="24"/>
          <w:szCs w:val="24"/>
        </w:rPr>
        <w:t>协</w:t>
      </w:r>
    </w:p>
    <w:p>
      <w:pPr>
        <w:spacing w:before="216"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助教师搬送示教仪器及相关用具。</w:t>
      </w:r>
    </w:p>
    <w:p>
      <w:pPr>
        <w:spacing w:before="190" w:line="317"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9、本校或外单位人员旁听课程应到学院办理有关手续，</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报教务处备案，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旁听生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应遵守课堂纪律，不得影响学生正常教学。</w:t>
      </w: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spacing w:line="241" w:lineRule="auto"/>
        <w:rPr>
          <w:rFonts w:ascii="Malgun Gothic"/>
          <w:sz w:val="21"/>
        </w:rPr>
      </w:pPr>
    </w:p>
    <w:p>
      <w:pPr>
        <w:spacing w:before="51" w:line="180" w:lineRule="auto"/>
        <w:ind w:firstLine="428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81</w:t>
      </w:r>
    </w:p>
    <w:p>
      <w:pPr>
        <w:sectPr>
          <w:footerReference r:id="rId85" w:type="default"/>
          <w:pgSz w:w="11905" w:h="16840"/>
          <w:pgMar w:top="1431" w:right="1587" w:bottom="400" w:left="1591" w:header="0" w:footer="0" w:gutter="0"/>
          <w:cols w:space="720" w:num="1"/>
        </w:sectPr>
      </w:pPr>
    </w:p>
    <w:p>
      <w:pPr>
        <w:spacing w:before="325" w:line="180" w:lineRule="auto"/>
        <w:ind w:firstLine="259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吉首大学教室使用管理办法</w:t>
      </w:r>
    </w:p>
    <w:p>
      <w:pPr>
        <w:spacing w:line="276" w:lineRule="auto"/>
        <w:rPr>
          <w:rFonts w:ascii="Malgun Gothic"/>
          <w:sz w:val="21"/>
        </w:rPr>
      </w:pPr>
    </w:p>
    <w:p>
      <w:pPr>
        <w:spacing w:before="85" w:line="229" w:lineRule="auto"/>
        <w:ind w:left="146" w:right="50"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教室是进行教学活动的重要场所，为加强教室的使用与管理，稳定教学秩序，</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确保教学工作的正常进行，结合学校实际，特制定本办法。</w:t>
      </w:r>
    </w:p>
    <w:p>
      <w:pPr>
        <w:spacing w:before="174" w:line="211" w:lineRule="auto"/>
        <w:ind w:left="149" w:right="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一、</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8"/>
          <w:sz w:val="24"/>
          <w:szCs w:val="24"/>
        </w:rPr>
        <w:t>学校的教室由教务处统一调配使用（研究生专用教室除外</w:t>
      </w:r>
      <w:r>
        <w:rPr>
          <w:rFonts w:ascii="方正书宋简体" w:hAnsi="方正书宋简体" w:eastAsia="方正书宋简体" w:cs="方正书宋简体"/>
          <w:spacing w:val="-90"/>
          <w:sz w:val="24"/>
          <w:szCs w:val="24"/>
        </w:rPr>
        <w:t>），</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课表排定的教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室不得随意变动，任何单位或个人未经教务处批准不得擅自使用教室。</w:t>
      </w:r>
    </w:p>
    <w:p>
      <w:pPr>
        <w:spacing w:before="173" w:line="274" w:lineRule="auto"/>
        <w:ind w:left="9" w:right="4" w:firstLine="62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二、</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2"/>
          <w:sz w:val="24"/>
          <w:szCs w:val="24"/>
        </w:rPr>
        <w:t>全校教室安排和调配，必须优先保证普通本、专科生、研究生的课堂教学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（含全校通识选修课教学）</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和考试使用。学校正常的教室使用安排，</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9"/>
          <w:sz w:val="24"/>
          <w:szCs w:val="24"/>
        </w:rPr>
        <w:t>以教务处核准的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课程安排表和考试安排表为准。</w:t>
      </w:r>
    </w:p>
    <w:p>
      <w:pPr>
        <w:spacing w:before="17" w:line="192" w:lineRule="auto"/>
        <w:ind w:firstLine="637"/>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三、</w:t>
      </w:r>
      <w:r>
        <w:rPr>
          <w:rFonts w:ascii="Microsoft JhengHei" w:hAnsi="Microsoft JhengHei" w:eastAsia="Microsoft JhengHei" w:cs="Microsoft JhengHei"/>
          <w:spacing w:val="21"/>
          <w:w w:val="101"/>
          <w:sz w:val="24"/>
          <w:szCs w:val="24"/>
        </w:rPr>
        <w:t xml:space="preserve">  </w:t>
      </w:r>
      <w:r>
        <w:rPr>
          <w:rFonts w:ascii="方正书宋简体" w:hAnsi="方正书宋简体" w:eastAsia="方正书宋简体" w:cs="方正书宋简体"/>
          <w:spacing w:val="-9"/>
          <w:sz w:val="24"/>
          <w:szCs w:val="24"/>
        </w:rPr>
        <w:t>临时使用、调整教室按以下程序办理有关手续。</w:t>
      </w:r>
    </w:p>
    <w:p>
      <w:pPr>
        <w:spacing w:before="88" w:line="294" w:lineRule="auto"/>
        <w:ind w:right="6"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1、各学院因临时补课、临时考试和进行学术活动等需要使用公共教室，</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须填写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《吉首大学教室使用申请表》，由教学秘书到教务科直接办理使用手续，使用多媒体</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8"/>
          <w:sz w:val="24"/>
          <w:szCs w:val="24"/>
        </w:rPr>
        <w:t>教室需经信息网络中心同意。</w:t>
      </w:r>
    </w:p>
    <w:p>
      <w:pPr>
        <w:spacing w:before="1" w:line="294" w:lineRule="auto"/>
        <w:ind w:left="146" w:right="1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2、教师因故需要调整授课时间或教室，</w:t>
      </w:r>
      <w:r>
        <w:rPr>
          <w:rFonts w:ascii="方正书宋简体" w:hAnsi="方正书宋简体" w:eastAsia="方正书宋简体" w:cs="方正书宋简体"/>
          <w:spacing w:val="123"/>
          <w:sz w:val="24"/>
          <w:szCs w:val="24"/>
        </w:rPr>
        <w:t xml:space="preserve"> </w:t>
      </w:r>
      <w:r>
        <w:rPr>
          <w:rFonts w:ascii="方正书宋简体" w:hAnsi="方正书宋简体" w:eastAsia="方正书宋简体" w:cs="方正书宋简体"/>
          <w:spacing w:val="-11"/>
          <w:w w:val="98"/>
          <w:sz w:val="24"/>
          <w:szCs w:val="24"/>
        </w:rPr>
        <w:t>必须与所在学院教学秘书联系，</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1"/>
          <w:w w:val="98"/>
          <w:sz w:val="24"/>
          <w:szCs w:val="24"/>
        </w:rPr>
        <w:t>填写《教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学异动申请表》，报教务处批准后，由教学秘书到教务科办理使用手续。</w:t>
      </w:r>
    </w:p>
    <w:p>
      <w:pPr>
        <w:spacing w:before="1" w:line="294" w:lineRule="auto"/>
        <w:ind w:left="145"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3、各类成人学历学生（如函授班、研究生班、自考班、短期培训班等）上课、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考试以及学校相关单位使用教室，由使用部门填写申请表，经主管领导批准后，到</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教务处教务科办理相关使用手续。</w:t>
      </w:r>
    </w:p>
    <w:p>
      <w:pPr>
        <w:spacing w:before="1" w:line="229" w:lineRule="auto"/>
        <w:ind w:left="142" w:right="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4、学生社团活动需使用教室，</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1"/>
          <w:sz w:val="24"/>
          <w:szCs w:val="24"/>
        </w:rPr>
        <w:t>由有关人员持所属单位使用说明，</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要求加盖单位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公章，经学校团委审批后，到教务科办理使用手续。</w:t>
      </w:r>
    </w:p>
    <w:p>
      <w:pPr>
        <w:spacing w:before="186" w:line="294" w:lineRule="auto"/>
        <w:ind w:left="14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5、各单位、学生需借用教室时，应至少提前一天办理完相关手续。若在周末、</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节假日借用教室，必须在放假的前一天办理完相关手续。</w:t>
      </w:r>
    </w:p>
    <w:p>
      <w:pPr>
        <w:spacing w:before="1" w:line="290" w:lineRule="auto"/>
        <w:ind w:left="146" w:right="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6、各学院及教室管理人员未经教务科同意，</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不得擅自开出教室借用单，</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1"/>
          <w:sz w:val="24"/>
          <w:szCs w:val="24"/>
        </w:rPr>
        <w:t>以免与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正常的教室使用安排发生冲突，影响教学秩序。</w:t>
      </w:r>
    </w:p>
    <w:p>
      <w:pPr>
        <w:spacing w:before="11" w:line="251" w:lineRule="auto"/>
        <w:ind w:left="146" w:right="4"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7、凡借用教室的有关人员不得利用教室进行与教学、科技活动、班务活动无关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的活动，不得开展文艺晚会等可能影响其他教室上课或自习的活动。不得以单位或</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学生社团活动的名义借用教室而将其租给校外单位或个人使用。</w:t>
      </w:r>
    </w:p>
    <w:p>
      <w:pPr>
        <w:spacing w:before="185" w:line="295" w:lineRule="auto"/>
        <w:ind w:left="164" w:right="6" w:firstLine="46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8、教室管理人员接到教务科开出的教室借用单后，</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6"/>
          <w:sz w:val="24"/>
          <w:szCs w:val="24"/>
        </w:rPr>
        <w:t>应按时提供教学及活动所需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的设备，并不得以任何理由私自收取费用。</w:t>
      </w:r>
    </w:p>
    <w:p>
      <w:pPr>
        <w:spacing w:before="1" w:line="204"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9、外单位或校内单位的盈利性活动使用教室的，必须报学校批准。</w:t>
      </w:r>
    </w:p>
    <w:p>
      <w:pPr>
        <w:spacing w:before="116" w:line="180" w:lineRule="auto"/>
        <w:ind w:firstLine="64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四、多媒体教室使用的注意事项</w:t>
      </w:r>
    </w:p>
    <w:p>
      <w:pPr>
        <w:spacing w:before="117" w:line="193" w:lineRule="auto"/>
        <w:ind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1、多媒体教室的管理人员应在上课前做好各种设备的准备工作；</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做好多媒体教</w:t>
      </w:r>
    </w:p>
    <w:p>
      <w:pPr>
        <w:spacing w:line="332" w:lineRule="auto"/>
        <w:rPr>
          <w:rFonts w:ascii="Malgun Gothic"/>
          <w:sz w:val="21"/>
        </w:rPr>
      </w:pPr>
    </w:p>
    <w:p>
      <w:pPr>
        <w:spacing w:before="53" w:line="180" w:lineRule="auto"/>
        <w:ind w:firstLine="442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82</w:t>
      </w:r>
    </w:p>
    <w:p>
      <w:pPr>
        <w:sectPr>
          <w:footerReference r:id="rId86" w:type="default"/>
          <w:pgSz w:w="11905" w:h="16840"/>
          <w:pgMar w:top="1431" w:right="1581" w:bottom="400" w:left="1447" w:header="0" w:footer="0" w:gutter="0"/>
          <w:cols w:space="720" w:num="1"/>
        </w:sectPr>
      </w:pPr>
    </w:p>
    <w:p>
      <w:pPr>
        <w:spacing w:before="403" w:line="180" w:lineRule="auto"/>
        <w:ind w:firstLine="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室的设备保管和日常维护保养工作。</w:t>
      </w:r>
    </w:p>
    <w:p>
      <w:pPr>
        <w:spacing w:before="159" w:line="251" w:lineRule="auto"/>
        <w:ind w:right="97"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2、在多媒体教室授课的教师不得自行拆卸多媒体系统的各种连接线或更改系统</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
          <w:sz w:val="24"/>
          <w:szCs w:val="24"/>
        </w:rPr>
        <w:t>设置。如确有必要，应与多媒体教室的管理人员联系。教师不得让学生代其打开、</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关闭教学设备或安装、删除教学软件。</w:t>
      </w:r>
    </w:p>
    <w:p>
      <w:pPr>
        <w:spacing w:before="185" w:line="295"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3、在多媒体教室授课的教师在计算机中安装各种软件时，不得破坏其他教师已保</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4"/>
          <w:sz w:val="24"/>
          <w:szCs w:val="24"/>
        </w:rPr>
        <w:t>存在其中的教学内容，不得在计算机上设置口令或安装其它会引起系统故障的特殊软</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4"/>
          <w:sz w:val="24"/>
          <w:szCs w:val="24"/>
        </w:rPr>
        <w:t>件。授课教师自带的移动存储设备必须确保无病毒，并及时删除自己已不再使用的文件。</w:t>
      </w:r>
    </w:p>
    <w:p>
      <w:pPr>
        <w:spacing w:before="3" w:line="228" w:lineRule="auto"/>
        <w:ind w:left="7" w:right="97"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4、在教学过程中，</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若出现设备使用方法不明确或异常现象，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授课教师应及时通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知多媒体教室管理人员，以便及时处理或维修，保证后续教学课堂的正常运行。</w:t>
      </w:r>
    </w:p>
    <w:p>
      <w:pPr>
        <w:spacing w:before="17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五、学生在教室活动期间应自觉遵守如下纪律</w:t>
      </w:r>
    </w:p>
    <w:p>
      <w:pPr>
        <w:spacing w:before="120"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1、服从教室管理人员的管理，尊重服务人员的劳动，遵守教室使用规定。</w:t>
      </w:r>
    </w:p>
    <w:p>
      <w:pPr>
        <w:spacing w:before="166" w:line="289" w:lineRule="auto"/>
        <w:ind w:left="4" w:right="9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2、保持教室整洁。学生应自觉维护教室卫生，</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不得乱扔果皮、纸屑及其他废弃</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物；不得在教室内吸烟，不得随地吐痰、任意张贴、乱写乱画；在每堂课前，所在</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z w:val="24"/>
          <w:szCs w:val="24"/>
        </w:rPr>
        <w:t>教室上课班级应指定专人擦净白（黑）</w:t>
      </w:r>
    </w:p>
    <w:p>
      <w:pPr>
        <w:spacing w:before="21" w:line="229" w:lineRule="auto"/>
        <w:ind w:left="10" w:right="98"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3、自觉保持教室安静。自习或课间休息时，</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6"/>
          <w:sz w:val="24"/>
          <w:szCs w:val="24"/>
        </w:rPr>
        <w:t>不得在教室、走廊大声喧哗、嬉戏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打闹，以免影响他人学习。</w:t>
      </w:r>
    </w:p>
    <w:p>
      <w:pPr>
        <w:spacing w:before="185" w:line="251" w:lineRule="auto"/>
        <w:ind w:left="3" w:right="9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4、自觉爱护教室设施，不得对桌椅、黑板、灯具、多媒体设备、电扇、空调、</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门窗、窗帘、玻璃等设备仪器造成人为损坏，</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对造成上述设施损坏者，经核实，按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有关规定予以处罚，直至给予纪律处分。</w:t>
      </w:r>
    </w:p>
    <w:p>
      <w:pPr>
        <w:spacing w:before="183" w:line="283" w:lineRule="auto"/>
        <w:ind w:left="20" w:right="98" w:firstLine="46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5、自习时，</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1"/>
          <w:w w:val="98"/>
          <w:sz w:val="24"/>
          <w:szCs w:val="24"/>
        </w:rPr>
        <w:t>不得抢占、多占座位，</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8"/>
          <w:sz w:val="24"/>
          <w:szCs w:val="24"/>
        </w:rPr>
        <w:t>不得倒插教室门而将其他同学拒之门外；</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8"/>
          <w:sz w:val="24"/>
          <w:szCs w:val="24"/>
        </w:rPr>
        <w:t>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间按学校规定的作息时间离开教室，并注意随手关灯。</w:t>
      </w:r>
    </w:p>
    <w:p>
      <w:pPr>
        <w:spacing w:before="36" w:line="229" w:lineRule="auto"/>
        <w:ind w:left="2"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6、各教室内设施和用具只限本教室使用，</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未经教室管理人员的同意不得搬动或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搬出本室外，更不得移作他用。</w:t>
      </w:r>
    </w:p>
    <w:p>
      <w:pPr>
        <w:spacing w:before="186"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7、教师休息室为教师课间休息的场所，其他人不得占用。</w:t>
      </w:r>
    </w:p>
    <w:p>
      <w:pPr>
        <w:spacing w:before="148" w:line="278" w:lineRule="auto"/>
        <w:ind w:left="4" w:right="9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六、</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2"/>
          <w:sz w:val="24"/>
          <w:szCs w:val="24"/>
        </w:rPr>
        <w:t>教室管理人员应认真履行岗位职责，对教室实施科学严谨、规范有序的管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理，为课堂教学及其他正常活动提供热情、周到、耐心、及时的服务。教室保洁人</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员应按岗位职责要求，坚持保洁标准，始终保持保洁范围内的干净整洁，努力为师</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生创造洁净舒适的教学环境。</w:t>
      </w:r>
    </w:p>
    <w:p>
      <w:pPr>
        <w:spacing w:before="12" w:line="263" w:lineRule="auto"/>
        <w:ind w:left="4" w:right="99"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七、</w:t>
      </w:r>
      <w:r>
        <w:rPr>
          <w:rFonts w:ascii="Microsoft JhengHei" w:hAnsi="Microsoft JhengHei" w:eastAsia="Microsoft JhengHei" w:cs="Microsoft JhengHei"/>
          <w:spacing w:val="12"/>
          <w:w w:val="101"/>
          <w:sz w:val="24"/>
          <w:szCs w:val="24"/>
        </w:rPr>
        <w:t xml:space="preserve">  </w:t>
      </w:r>
      <w:r>
        <w:rPr>
          <w:rFonts w:ascii="方正书宋简体" w:hAnsi="方正书宋简体" w:eastAsia="方正书宋简体" w:cs="方正书宋简体"/>
          <w:spacing w:val="-2"/>
          <w:sz w:val="24"/>
          <w:szCs w:val="24"/>
        </w:rPr>
        <w:t>使用教室要遵守教室开放的时间规定，遵守教学设施管理规定，不得影响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教室管理人员的正常工作，不得影响正常教学秩序。</w:t>
      </w:r>
    </w:p>
    <w:p>
      <w:pPr>
        <w:spacing w:before="10" w:line="197" w:lineRule="auto"/>
        <w:ind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八、</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2"/>
          <w:sz w:val="24"/>
          <w:szCs w:val="24"/>
        </w:rPr>
        <w:t>本规定由教务处负责解释。</w:t>
      </w:r>
    </w:p>
    <w:p>
      <w:pPr>
        <w:spacing w:line="286" w:lineRule="auto"/>
        <w:rPr>
          <w:rFonts w:ascii="Malgun Gothic"/>
          <w:sz w:val="21"/>
        </w:rPr>
      </w:pPr>
    </w:p>
    <w:p>
      <w:pPr>
        <w:spacing w:line="287" w:lineRule="auto"/>
        <w:rPr>
          <w:rFonts w:ascii="Malgun Gothic"/>
          <w:sz w:val="21"/>
        </w:rPr>
      </w:pPr>
    </w:p>
    <w:p>
      <w:pPr>
        <w:spacing w:before="52" w:line="180" w:lineRule="auto"/>
        <w:ind w:firstLine="42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83</w:t>
      </w:r>
    </w:p>
    <w:p>
      <w:pPr>
        <w:sectPr>
          <w:footerReference r:id="rId87" w:type="default"/>
          <w:pgSz w:w="11905" w:h="16840"/>
          <w:pgMar w:top="1431" w:right="1489" w:bottom="400" w:left="1588" w:header="0" w:footer="0" w:gutter="0"/>
          <w:cols w:space="720" w:num="1"/>
        </w:sectPr>
      </w:pPr>
    </w:p>
    <w:p>
      <w:pPr>
        <w:spacing w:before="349" w:line="180" w:lineRule="auto"/>
        <w:ind w:firstLine="1465"/>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吉首大学学分制学生选课管理办法（试行）</w:t>
      </w:r>
    </w:p>
    <w:p>
      <w:pPr>
        <w:spacing w:line="316" w:lineRule="auto"/>
        <w:rPr>
          <w:rFonts w:ascii="Malgun Gothic"/>
          <w:sz w:val="21"/>
        </w:rPr>
      </w:pPr>
    </w:p>
    <w:p>
      <w:pPr>
        <w:spacing w:before="86" w:line="239" w:lineRule="auto"/>
        <w:ind w:left="131" w:right="99"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学生自主选课是学分制教学管理的重要环节，</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为加强教学管理，规范学生的选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课过程，保障学分制管理的顺利运行，特制定本办法。</w:t>
      </w:r>
    </w:p>
    <w:p>
      <w:pPr>
        <w:spacing w:before="204" w:line="180" w:lineRule="auto"/>
        <w:ind w:firstLine="354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第一章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课程分类</w:t>
      </w:r>
    </w:p>
    <w:p>
      <w:pPr>
        <w:spacing w:before="147" w:line="254" w:lineRule="auto"/>
        <w:ind w:left="152" w:right="99" w:firstLine="46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本科生的课程按类型分为公共课、专业课；按性质分为必修课、选修课（包括</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限选课和任选课</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pacing w:val="-2"/>
          <w:sz w:val="24"/>
          <w:szCs w:val="24"/>
        </w:rPr>
        <w:t>其中各类课程的规定及修读要求见本科人才培养方案。</w:t>
      </w:r>
    </w:p>
    <w:p>
      <w:pPr>
        <w:spacing w:before="166" w:line="180" w:lineRule="auto"/>
        <w:ind w:firstLine="354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选课原则</w:t>
      </w:r>
    </w:p>
    <w:p>
      <w:pPr>
        <w:spacing w:before="140" w:line="277" w:lineRule="auto"/>
        <w:ind w:left="149" w:right="99" w:firstLine="472"/>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第一条</w:t>
      </w:r>
      <w:r>
        <w:rPr>
          <w:rFonts w:ascii="Microsoft JhengHei" w:hAnsi="Microsoft JhengHei" w:eastAsia="Microsoft JhengHei" w:cs="Microsoft JhengHei"/>
          <w:spacing w:val="19"/>
          <w:sz w:val="24"/>
          <w:szCs w:val="24"/>
        </w:rPr>
        <w:t xml:space="preserve">    </w:t>
      </w:r>
      <w:r>
        <w:rPr>
          <w:rFonts w:ascii="方正书宋简体" w:hAnsi="方正书宋简体" w:eastAsia="方正书宋简体" w:cs="方正书宋简体"/>
          <w:sz w:val="24"/>
          <w:szCs w:val="24"/>
        </w:rPr>
        <w:t xml:space="preserve">自主选择学习进程。全日制本专科生在学分制管理模式下实行弹性学 </w:t>
      </w:r>
      <w:r>
        <w:rPr>
          <w:rFonts w:ascii="方正书宋简体" w:hAnsi="方正书宋简体" w:eastAsia="方正书宋简体" w:cs="方正书宋简体"/>
          <w:spacing w:val="-2"/>
          <w:sz w:val="24"/>
          <w:szCs w:val="24"/>
        </w:rPr>
        <w:t>习年限，学生可在本专业规定的修读年限基础上自主安排学习进程。</w:t>
      </w:r>
    </w:p>
    <w:p>
      <w:pPr>
        <w:spacing w:before="26" w:line="294" w:lineRule="auto"/>
        <w:ind w:left="131" w:right="96"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第二条</w:t>
      </w:r>
      <w:r>
        <w:rPr>
          <w:rFonts w:ascii="Microsoft JhengHei" w:hAnsi="Microsoft JhengHei" w:eastAsia="Microsoft JhengHei" w:cs="Microsoft JhengHei"/>
          <w:spacing w:val="19"/>
          <w:sz w:val="24"/>
          <w:szCs w:val="24"/>
        </w:rPr>
        <w:t xml:space="preserve">    </w:t>
      </w:r>
      <w:r>
        <w:rPr>
          <w:rFonts w:ascii="方正书宋简体" w:hAnsi="方正书宋简体" w:eastAsia="方正书宋简体" w:cs="方正书宋简体"/>
          <w:sz w:val="24"/>
          <w:szCs w:val="24"/>
        </w:rPr>
        <w:t xml:space="preserve">自主选择修读课程。学生应在导师或班主任的指导下，结合个人情况 </w:t>
      </w:r>
      <w:r>
        <w:rPr>
          <w:rFonts w:ascii="方正书宋简体" w:hAnsi="方正书宋简体" w:eastAsia="方正书宋简体" w:cs="方正书宋简体"/>
          <w:spacing w:val="2"/>
          <w:sz w:val="24"/>
          <w:szCs w:val="24"/>
        </w:rPr>
        <w:t>与所属专业的教学计划课程开设情况，按照课程修读的先后顺序，在学校规定的选</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课时间内自主确定各学期所修读的课程。</w:t>
      </w:r>
    </w:p>
    <w:p>
      <w:pPr>
        <w:spacing w:before="4" w:line="301" w:lineRule="auto"/>
        <w:ind w:left="131"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第三条</w:t>
      </w:r>
      <w:r>
        <w:rPr>
          <w:rFonts w:ascii="Microsoft JhengHei" w:hAnsi="Microsoft JhengHei" w:eastAsia="Microsoft JhengHei" w:cs="Microsoft JhengHei"/>
          <w:spacing w:val="17"/>
          <w:w w:val="101"/>
          <w:sz w:val="24"/>
          <w:szCs w:val="24"/>
        </w:rPr>
        <w:t xml:space="preserve">    </w:t>
      </w:r>
      <w:r>
        <w:rPr>
          <w:rFonts w:ascii="方正书宋简体" w:hAnsi="方正书宋简体" w:eastAsia="方正书宋简体" w:cs="方正书宋简体"/>
          <w:spacing w:val="-4"/>
          <w:sz w:val="24"/>
          <w:szCs w:val="24"/>
        </w:rPr>
        <w:t>自主选择授课教师。公共选修课、公共必修课（大学英语、大学体育、</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公共计算机、思想政治理论课、高等数学、大学生心理健康教育、大学生就业指导、</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军事理论等）采用板块与分级教学，学生可根据不同情况自主选择授课教师；专业</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2"/>
          <w:sz w:val="24"/>
          <w:szCs w:val="24"/>
        </w:rPr>
        <w:t>课、专业方向课，在学院教学资源允许的情况下，学生可在学校规定的选课时间内</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3"/>
          <w:sz w:val="24"/>
          <w:szCs w:val="24"/>
        </w:rPr>
        <w:t>自主选择授课教师。</w:t>
      </w:r>
    </w:p>
    <w:p>
      <w:pPr>
        <w:spacing w:before="8" w:line="199" w:lineRule="auto"/>
        <w:ind w:firstLine="354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选课要求</w:t>
      </w:r>
    </w:p>
    <w:p>
      <w:pPr>
        <w:spacing w:before="106"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注册并取得学籍的全日制本专科学生方可参加选课。</w:t>
      </w:r>
    </w:p>
    <w:p>
      <w:pPr>
        <w:spacing w:before="138"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第五条</w:t>
      </w:r>
      <w:r>
        <w:rPr>
          <w:rFonts w:ascii="Microsoft JhengHei" w:hAnsi="Microsoft JhengHei" w:eastAsia="Microsoft JhengHei" w:cs="Microsoft JhengHei"/>
          <w:spacing w:val="15"/>
          <w:sz w:val="24"/>
          <w:szCs w:val="24"/>
        </w:rPr>
        <w:t xml:space="preserve">    </w:t>
      </w:r>
      <w:r>
        <w:rPr>
          <w:rFonts w:ascii="方正书宋简体" w:hAnsi="方正书宋简体" w:eastAsia="方正书宋简体" w:cs="方正书宋简体"/>
          <w:spacing w:val="8"/>
          <w:sz w:val="24"/>
          <w:szCs w:val="24"/>
        </w:rPr>
        <w:t>学生应根据选课通知要求在规定时间到教务信息管理系统进行选课</w:t>
      </w:r>
    </w:p>
    <w:p>
      <w:pPr>
        <w:spacing w:before="154"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（新生入学时在军训期间组织选课培训并完成选课）。</w:t>
      </w:r>
    </w:p>
    <w:p>
      <w:pPr>
        <w:spacing w:before="181" w:line="286" w:lineRule="auto"/>
        <w:ind w:left="133" w:right="1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对于在同一学期内开设的不同类别的课程，必修课原则上按照各专业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的教学计划进度进行，选修课程可以自主安排，建议优先选择专业选修课程，最后</w:t>
      </w:r>
      <w:r>
        <w:rPr>
          <w:rFonts w:ascii="方正书宋简体" w:hAnsi="方正书宋简体" w:eastAsia="方正书宋简体" w:cs="方正书宋简体"/>
          <w:w w:val="103"/>
          <w:sz w:val="24"/>
          <w:szCs w:val="24"/>
        </w:rPr>
        <w:t xml:space="preserve">  </w:t>
      </w:r>
      <w:r>
        <w:rPr>
          <w:rFonts w:ascii="方正书宋简体" w:hAnsi="方正书宋简体" w:eastAsia="方正书宋简体" w:cs="方正书宋简体"/>
          <w:spacing w:val="-3"/>
          <w:sz w:val="24"/>
          <w:szCs w:val="24"/>
        </w:rPr>
        <w:t>选择修读任意选修课程。各专业的教学计划中均对各类课程的修读提出了明确要求，</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2"/>
          <w:sz w:val="24"/>
          <w:szCs w:val="24"/>
        </w:rPr>
        <w:t>即分别规定了在学生毕业时应修满的学分数。</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学生在选课时，应先了解所选课程对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先修课程的要求以及与后续课程之间的关系，</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再根据各类课程已修读完成的学分数，</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并结合个人的实际情况选课。学生在进行公共选修课的选课时，应对照本学期的个</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人课表，避免所选的公共选修课与其它类课程在授课时间上的冲突。</w:t>
      </w:r>
    </w:p>
    <w:p>
      <w:pPr>
        <w:spacing w:before="204"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第七条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5"/>
          <w:sz w:val="24"/>
          <w:szCs w:val="24"/>
        </w:rPr>
        <w:t>选定课程的学生（在退选阶段办理退选申请且获得学校批准的除外</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2"/>
          <w:sz w:val="24"/>
          <w:szCs w:val="24"/>
        </w:rPr>
        <w:t>，</w:t>
      </w:r>
    </w:p>
    <w:p>
      <w:pPr>
        <w:spacing w:line="279" w:lineRule="auto"/>
        <w:rPr>
          <w:rFonts w:ascii="Malgun Gothic"/>
          <w:sz w:val="21"/>
        </w:rPr>
      </w:pPr>
    </w:p>
    <w:p>
      <w:pPr>
        <w:spacing w:before="52" w:line="180" w:lineRule="auto"/>
        <w:ind w:firstLine="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84</w:t>
      </w:r>
    </w:p>
    <w:p>
      <w:pPr>
        <w:sectPr>
          <w:footerReference r:id="rId88" w:type="default"/>
          <w:pgSz w:w="11905" w:h="16840"/>
          <w:pgMar w:top="1431" w:right="1489" w:bottom="400" w:left="1457" w:header="0" w:footer="0" w:gutter="0"/>
          <w:cols w:space="720" w:num="1"/>
        </w:sectPr>
      </w:pPr>
    </w:p>
    <w:p>
      <w:pPr>
        <w:spacing w:before="425"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必须严格按照课表要求上课和参加考核。</w:t>
      </w:r>
    </w:p>
    <w:p>
      <w:pPr>
        <w:spacing w:before="183" w:line="281" w:lineRule="auto"/>
        <w:ind w:left="4" w:right="9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各门课程的学生名单将在教务信息管理系统中予以公布，并作为任课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教师进行教学管理的依据，课程中选的学生方可参加该课程的学习。</w:t>
      </w:r>
    </w:p>
    <w:p>
      <w:pPr>
        <w:spacing w:before="11" w:line="197" w:lineRule="auto"/>
        <w:ind w:firstLine="341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选课程序</w:t>
      </w:r>
    </w:p>
    <w:p>
      <w:pPr>
        <w:spacing w:before="109"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选课程序包含预选、正选、补选、改（退）选四个阶段。</w:t>
      </w:r>
    </w:p>
    <w:p>
      <w:pPr>
        <w:spacing w:before="154" w:line="277" w:lineRule="auto"/>
        <w:ind w:left="1"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1、预选：</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11"/>
          <w:w w:val="96"/>
          <w:sz w:val="24"/>
          <w:szCs w:val="24"/>
        </w:rPr>
        <w:t>即第一次选课，</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6"/>
          <w:sz w:val="24"/>
          <w:szCs w:val="24"/>
        </w:rPr>
        <w:t>由学生根据所学专业教学计划的要求，</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1"/>
          <w:w w:val="96"/>
          <w:sz w:val="24"/>
          <w:szCs w:val="24"/>
        </w:rPr>
        <w:t>自主进行选择。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预选时间一般为七天。选课系统根据教学执行计划，列出学生本次可选的课程和允</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许选择课程的门数。对于有名额限制的课程，</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系统中会显示计划人数、当前已选人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数，但预选时不受人数限制。</w:t>
      </w:r>
    </w:p>
    <w:p>
      <w:pPr>
        <w:spacing w:before="213" w:line="303" w:lineRule="auto"/>
        <w:ind w:left="4" w:right="8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2、正选：</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w w:val="96"/>
          <w:sz w:val="24"/>
          <w:szCs w:val="24"/>
        </w:rPr>
        <w:t>学校根据预选结果，</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6"/>
          <w:sz w:val="24"/>
          <w:szCs w:val="24"/>
        </w:rPr>
        <w:t>停开选课人数不足30</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11"/>
          <w:w w:val="96"/>
          <w:sz w:val="24"/>
          <w:szCs w:val="24"/>
        </w:rPr>
        <w:t>人的课程以及不足30</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1"/>
          <w:w w:val="96"/>
          <w:sz w:val="24"/>
          <w:szCs w:val="24"/>
        </w:rPr>
        <w:t>人的上课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班级，同时在预选范围内参与正选课程。选中的学生按照中选课程的课表准时上课。</w:t>
      </w:r>
    </w:p>
    <w:p>
      <w:pPr>
        <w:spacing w:before="38" w:line="315" w:lineRule="auto"/>
        <w:ind w:left="1" w:right="90"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3、补选：</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教务信息管理系统公布预选、正选结果，</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sz w:val="24"/>
          <w:szCs w:val="24"/>
        </w:rPr>
        <w:t>同时列出预选后尚有余额的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选修课程。预选因受所选课程计划人数限制未能选中的学生，或因预选人数太少而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停开的课程的学生可以补选其它课程。</w:t>
      </w:r>
    </w:p>
    <w:p>
      <w:pPr>
        <w:spacing w:before="1" w:line="265" w:lineRule="auto"/>
        <w:ind w:right="9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4、改选或退选：</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11"/>
          <w:w w:val="98"/>
          <w:sz w:val="24"/>
          <w:szCs w:val="24"/>
        </w:rPr>
        <w:t>选修课程的中选学生，</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8"/>
          <w:sz w:val="24"/>
          <w:szCs w:val="24"/>
        </w:rPr>
        <w:t>可在该课程开课后试听一周，</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8"/>
          <w:sz w:val="24"/>
          <w:szCs w:val="24"/>
        </w:rPr>
        <w:t>若觉得所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选课程不适应自身要求，决定不修读该门课程或者上课时间、教师不合适，可在该</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课程开课后两周内申请改选或退选（专业必修课不得退选）。</w:t>
      </w:r>
    </w:p>
    <w:p>
      <w:pPr>
        <w:spacing w:before="204" w:line="180" w:lineRule="auto"/>
        <w:ind w:firstLine="347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第五章</w:t>
      </w:r>
      <w:r>
        <w:rPr>
          <w:rFonts w:ascii="Microsoft JhengHei" w:hAnsi="Microsoft JhengHei" w:eastAsia="Microsoft JhengHei" w:cs="Microsoft JhengHei"/>
          <w:spacing w:val="9"/>
          <w:w w:val="101"/>
          <w:sz w:val="24"/>
          <w:szCs w:val="24"/>
        </w:rPr>
        <w:t xml:space="preserve">  </w:t>
      </w:r>
      <w:r>
        <w:rPr>
          <w:rFonts w:ascii="Microsoft JhengHei" w:hAnsi="Microsoft JhengHei" w:eastAsia="Microsoft JhengHei" w:cs="Microsoft JhengHei"/>
          <w:spacing w:val="-4"/>
          <w:sz w:val="24"/>
          <w:szCs w:val="24"/>
        </w:rPr>
        <w:t>其他事项</w:t>
      </w:r>
    </w:p>
    <w:p>
      <w:pPr>
        <w:spacing w:before="139"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其他相关事项</w:t>
      </w:r>
    </w:p>
    <w:p>
      <w:pPr>
        <w:spacing w:before="151" w:line="315" w:lineRule="auto"/>
        <w:ind w:left="2" w:right="90"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1、正选课程结束后，</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1"/>
          <w:w w:val="98"/>
          <w:sz w:val="24"/>
          <w:szCs w:val="24"/>
        </w:rPr>
        <w:t>如因特殊原因（非个人原因）</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1"/>
          <w:w w:val="98"/>
          <w:sz w:val="24"/>
          <w:szCs w:val="24"/>
        </w:rPr>
        <w:t>未选中必修课的学生，</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应在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下学期开学第一周内向所在学院申请“补选必修课程”，并持此申请到教务处办理</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选择必修课相关手续。</w:t>
      </w:r>
    </w:p>
    <w:p>
      <w:pPr>
        <w:ind w:left="5"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2、休学复学的学生应在学期开学第一周内到所在学院填写“休学复学学生选课</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表”，并持此表到教务处办理选课手续。</w:t>
      </w:r>
    </w:p>
    <w:p>
      <w:pPr>
        <w:spacing w:before="218" w:line="238" w:lineRule="auto"/>
        <w:ind w:left="5" w:right="9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3、全日制本专科生每学期修读课程的学分一般应在14-30学分之间，学生可以</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3"/>
          <w:sz w:val="24"/>
          <w:szCs w:val="24"/>
        </w:rPr>
        <w:t>根据本人的实际情况自行决定。</w:t>
      </w:r>
    </w:p>
    <w:p>
      <w:pPr>
        <w:spacing w:before="220" w:line="310" w:lineRule="auto"/>
        <w:ind w:left="3" w:right="90"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4、必修课程考核不合格者，</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0"/>
          <w:sz w:val="24"/>
          <w:szCs w:val="24"/>
        </w:rPr>
        <w:t>可按规定在下学期开学初参加补考，</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合格者按60分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记载成绩；也可以选择跟班重修；选修课考核不合格者，不能取得相应的学分，可</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以选择重修或重新选课。</w:t>
      </w:r>
    </w:p>
    <w:p>
      <w:pPr>
        <w:spacing w:before="10"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本办法由教务处负责解释。</w:t>
      </w:r>
    </w:p>
    <w:p>
      <w:pPr>
        <w:spacing w:line="259" w:lineRule="auto"/>
        <w:rPr>
          <w:rFonts w:ascii="Malgun Gothic"/>
          <w:sz w:val="21"/>
        </w:rPr>
      </w:pPr>
    </w:p>
    <w:p>
      <w:pPr>
        <w:spacing w:before="53" w:line="180" w:lineRule="auto"/>
        <w:ind w:firstLine="42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85</w:t>
      </w:r>
    </w:p>
    <w:p>
      <w:pPr>
        <w:sectPr>
          <w:footerReference r:id="rId89" w:type="default"/>
          <w:pgSz w:w="11905" w:h="16840"/>
          <w:pgMar w:top="1431" w:right="1495" w:bottom="400" w:left="1588" w:header="0" w:footer="0" w:gutter="0"/>
          <w:cols w:space="720" w:num="1"/>
        </w:sectPr>
      </w:pPr>
    </w:p>
    <w:p>
      <w:pPr>
        <w:spacing w:before="349" w:line="180" w:lineRule="auto"/>
        <w:ind w:firstLine="259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吉首大学课程修读管理办法</w:t>
      </w:r>
    </w:p>
    <w:p>
      <w:pPr>
        <w:spacing w:line="295" w:lineRule="auto"/>
        <w:rPr>
          <w:rFonts w:ascii="Malgun Gothic"/>
          <w:sz w:val="21"/>
        </w:rPr>
      </w:pPr>
    </w:p>
    <w:p>
      <w:pPr>
        <w:spacing w:before="104" w:line="180" w:lineRule="auto"/>
        <w:ind w:firstLine="367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95"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为贯彻党和国家的教育方针，维护学校教育教学秩序，树立良好的学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风，</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
          <w:sz w:val="24"/>
          <w:szCs w:val="24"/>
        </w:rPr>
        <w:t>促进学生德、智、体、美全面发展。依据教育部《普通高等学校学生管理规定》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《吉首大学学生学籍管理规定》，特制定本办法。</w:t>
      </w:r>
    </w:p>
    <w:p>
      <w:pPr>
        <w:spacing w:line="282" w:lineRule="auto"/>
        <w:ind w:left="144" w:right="14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本办法适用于我校全日制本科教育的学生。只有按照学校规定完成注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册手续后，才能具有课程修读的资格。</w:t>
      </w:r>
    </w:p>
    <w:p>
      <w:pPr>
        <w:spacing w:before="9" w:line="197" w:lineRule="auto"/>
        <w:ind w:firstLine="319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课程修读的要求</w:t>
      </w:r>
    </w:p>
    <w:p>
      <w:pPr>
        <w:spacing w:before="109" w:line="250" w:lineRule="auto"/>
        <w:ind w:left="142" w:right="13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人才培养方案是学生课程修读的重要依据。学生应全面了解本专业的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教学要求，遵照教学进程计划进行课程修读，</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并根据教学计划要求检查自己课程修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读的情况，在规定的年限内，取得相应的学分，达到毕业的要求。</w:t>
      </w:r>
    </w:p>
    <w:p>
      <w:pPr>
        <w:spacing w:before="206" w:line="281" w:lineRule="auto"/>
        <w:ind w:left="147" w:right="142"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学生应按照《吉首大学本科生选课指南》中的有关规定，在导师的指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导下修读课程。</w:t>
      </w:r>
    </w:p>
    <w:p>
      <w:pPr>
        <w:spacing w:before="10" w:line="250" w:lineRule="auto"/>
        <w:ind w:left="142" w:right="6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学生修读课程应根据各类课程的系统性和连续性，对有严格先行后续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关系的课程，</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1"/>
          <w:sz w:val="24"/>
          <w:szCs w:val="24"/>
        </w:rPr>
        <w:t>应先修先行课程，</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再修后续课程。同一门课程分理论与实验两部分时，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应同时修读。</w:t>
      </w:r>
    </w:p>
    <w:p>
      <w:pPr>
        <w:spacing w:before="206"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学生每学期修读课程最少不低于14</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个学分，最多不得超过30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学分。</w:t>
      </w:r>
    </w:p>
    <w:p>
      <w:pPr>
        <w:spacing w:before="140" w:line="294" w:lineRule="auto"/>
        <w:ind w:left="142" w:right="13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转学学生按入学时所在专业培养计划修读课程。转专业的学生，原专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业已经取得学分的课程如与新专业相同，可以申请免修并认定取得的学分，不相同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的可作为选修认定。</w:t>
      </w:r>
    </w:p>
    <w:p>
      <w:pPr>
        <w:spacing w:before="3" w:line="294" w:lineRule="auto"/>
        <w:ind w:left="141" w:right="139"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学生必须在修读完本专业或专业大类必修课程（一般为两年）后，达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到辅修专业的要求，可在本专业或专业大类范围内经批准修读选修专业或专业方向</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
          <w:sz w:val="24"/>
          <w:szCs w:val="24"/>
        </w:rPr>
        <w:t>模块课程，具体办法见《吉首大学辅修专业与双学士学位管理办法》。</w:t>
      </w:r>
    </w:p>
    <w:p>
      <w:pPr>
        <w:spacing w:before="2" w:line="201" w:lineRule="auto"/>
        <w:ind w:firstLine="283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3"/>
          <w:w w:val="101"/>
          <w:sz w:val="24"/>
          <w:szCs w:val="24"/>
        </w:rPr>
        <w:t xml:space="preserve">    </w:t>
      </w:r>
      <w:r>
        <w:rPr>
          <w:rFonts w:ascii="Microsoft JhengHei" w:hAnsi="Microsoft JhengHei" w:eastAsia="Microsoft JhengHei" w:cs="Microsoft JhengHei"/>
          <w:spacing w:val="-2"/>
          <w:sz w:val="24"/>
          <w:szCs w:val="24"/>
        </w:rPr>
        <w:t>课程修读的组织与程序</w:t>
      </w:r>
    </w:p>
    <w:p>
      <w:pPr>
        <w:spacing w:before="100" w:line="282" w:lineRule="auto"/>
        <w:ind w:left="145" w:right="15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教务处以各专业人才培养方案为依据，按照各专业计划、学期教学进 </w:t>
      </w:r>
      <w:r>
        <w:rPr>
          <w:rFonts w:ascii="方正书宋简体" w:hAnsi="方正书宋简体" w:eastAsia="方正书宋简体" w:cs="方正书宋简体"/>
          <w:spacing w:val="-2"/>
          <w:sz w:val="24"/>
          <w:szCs w:val="24"/>
        </w:rPr>
        <w:t>程表，给学院（部）下发《教学任务通知》。</w:t>
      </w:r>
    </w:p>
    <w:p>
      <w:pPr>
        <w:spacing w:before="13" w:line="277" w:lineRule="auto"/>
        <w:ind w:left="147" w:right="184"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3"/>
          <w:sz w:val="24"/>
          <w:szCs w:val="24"/>
        </w:rPr>
        <w:t>学院（部）根据教学计划，核实调整</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3"/>
          <w:sz w:val="24"/>
          <w:szCs w:val="24"/>
        </w:rPr>
        <w:t>《教学任务通知书》开课信息，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落实开课任务，安排上课教师，提交教学任务安排数据。</w:t>
      </w:r>
    </w:p>
    <w:p>
      <w:pPr>
        <w:spacing w:before="23" w:line="19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教务处审核学院（部）上报的开课数据，整理数据，编排全校各类</w:t>
      </w:r>
    </w:p>
    <w:p>
      <w:pPr>
        <w:spacing w:line="268" w:lineRule="auto"/>
        <w:rPr>
          <w:rFonts w:ascii="Malgun Gothic"/>
          <w:sz w:val="21"/>
        </w:rPr>
      </w:pPr>
    </w:p>
    <w:p>
      <w:pPr>
        <w:spacing w:before="52" w:line="180" w:lineRule="auto"/>
        <w:ind w:firstLine="442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86</w:t>
      </w:r>
    </w:p>
    <w:p>
      <w:pPr>
        <w:sectPr>
          <w:footerReference r:id="rId90" w:type="default"/>
          <w:pgSz w:w="11905" w:h="16840"/>
          <w:pgMar w:top="1431" w:right="1445" w:bottom="400" w:left="1447" w:header="0" w:footer="0" w:gutter="0"/>
          <w:cols w:space="720" w:num="1"/>
        </w:sectPr>
      </w:pPr>
    </w:p>
    <w:p>
      <w:pPr>
        <w:spacing w:before="414"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课程的课程表，并于放假前公布下学期课程安排。</w:t>
      </w:r>
    </w:p>
    <w:p>
      <w:pPr>
        <w:spacing w:before="192" w:line="282" w:lineRule="auto"/>
        <w:ind w:left="23" w:right="77" w:firstLine="46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各教学院（部）在规定的时间内安排指导教师，向学生介绍下学期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的开课情况及选课要求，指导学生选课。</w:t>
      </w:r>
    </w:p>
    <w:p>
      <w:pPr>
        <w:spacing w:before="10"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学生在规定的选课时间内进入教务管理系统进行选课。</w:t>
      </w:r>
    </w:p>
    <w:p>
      <w:pPr>
        <w:spacing w:before="108" w:line="282" w:lineRule="auto"/>
        <w:ind w:left="9" w:right="77"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第一次选课结束，教务处对选课数据进行汇总、处理，原则上不足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30</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4"/>
          <w:sz w:val="24"/>
          <w:szCs w:val="24"/>
        </w:rPr>
        <w:t>人的课程不予开班。</w:t>
      </w:r>
    </w:p>
    <w:p>
      <w:pPr>
        <w:spacing w:before="13" w:line="294" w:lineRule="auto"/>
        <w:ind w:left="4" w:right="7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各教学院（部）在规定时间内公布学生第一次选课结果，教务处同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时公布第二次可选课程。未选够规定学分的学生和尚有可选学分的学生均可参加第</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二次选课。</w:t>
      </w:r>
    </w:p>
    <w:p>
      <w:pPr>
        <w:spacing w:before="2" w:line="281" w:lineRule="auto"/>
        <w:ind w:left="6" w:right="7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根据学生的选课情况，计算机选课系统进行信息统计和处理后，学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生可以登录教务系统查询自己的课程表。</w:t>
      </w:r>
    </w:p>
    <w:p>
      <w:pPr>
        <w:spacing w:before="13" w:line="282" w:lineRule="auto"/>
        <w:ind w:left="3"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学生根据本专业教学计划、各学期教学开课计划，于规定的时间内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进行选课，学生听课的教学班一经选定，不得擅自更改。</w:t>
      </w:r>
    </w:p>
    <w:p>
      <w:pPr>
        <w:spacing w:before="8" w:line="197" w:lineRule="auto"/>
        <w:ind w:firstLine="305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课程修读的管理</w:t>
      </w:r>
    </w:p>
    <w:p>
      <w:pPr>
        <w:spacing w:before="109" w:line="282" w:lineRule="auto"/>
        <w:ind w:left="4"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学生应根据选课通知主动认真地参加选课，因任何原因而漏选，责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任自负。</w:t>
      </w:r>
    </w:p>
    <w:p>
      <w:pPr>
        <w:spacing w:before="11"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8"/>
          <w:sz w:val="24"/>
          <w:szCs w:val="24"/>
        </w:rPr>
        <w:t>学生对自己选定的课程，</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都要按时参加听课、完成作业并参加考试，</w:t>
      </w:r>
    </w:p>
    <w:p>
      <w:pPr>
        <w:spacing w:before="121"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无故不参加听课或考试者，作旷课或旷考论处。</w:t>
      </w:r>
    </w:p>
    <w:p>
      <w:pPr>
        <w:spacing w:before="181" w:line="290" w:lineRule="auto"/>
        <w:ind w:left="2" w:right="7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为保证学校正常的教学秩序，学生必须按照课表上课，如因自行修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改上课时间、地点和更换教师一律不予安排，</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不予考试，即使参加考试，成绩也按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零分计。</w:t>
      </w:r>
    </w:p>
    <w:p>
      <w:pPr>
        <w:spacing w:before="21" w:line="282" w:lineRule="auto"/>
        <w:ind w:left="3"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学生如因错选、漏选课程需要更改原有课程安排，必须在开学一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周内办理补选手续。课程容量已满的课程不能补选，只能改期修读。</w:t>
      </w:r>
    </w:p>
    <w:p>
      <w:pPr>
        <w:spacing w:before="9" w:line="282" w:lineRule="auto"/>
        <w:ind w:left="9" w:right="77"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第二十二条</w:t>
      </w:r>
      <w:r>
        <w:rPr>
          <w:rFonts w:ascii="Microsoft JhengHei" w:hAnsi="Microsoft JhengHei" w:eastAsia="Microsoft JhengHei" w:cs="Microsoft JhengHei"/>
          <w:spacing w:val="19"/>
          <w:sz w:val="24"/>
          <w:szCs w:val="24"/>
        </w:rPr>
        <w:t xml:space="preserve">    </w:t>
      </w:r>
      <w:r>
        <w:rPr>
          <w:rFonts w:ascii="方正书宋简体" w:hAnsi="方正书宋简体" w:eastAsia="方正书宋简体" w:cs="方正书宋简体"/>
          <w:sz w:val="24"/>
          <w:szCs w:val="24"/>
        </w:rPr>
        <w:t xml:space="preserve">自然班实行考勤制，由课代表负责学生到课率、学风、班风的考 </w:t>
      </w:r>
      <w:r>
        <w:rPr>
          <w:rFonts w:ascii="方正书宋简体" w:hAnsi="方正书宋简体" w:eastAsia="方正书宋简体" w:cs="方正书宋简体"/>
          <w:spacing w:val="-3"/>
          <w:sz w:val="24"/>
          <w:szCs w:val="24"/>
        </w:rPr>
        <w:t>勤。任课教师应对考勤结果进行抽查。</w:t>
      </w:r>
    </w:p>
    <w:p>
      <w:pPr>
        <w:spacing w:before="11" w:line="282" w:lineRule="auto"/>
        <w:ind w:left="8" w:right="77"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担任课程教学的教师应按照要求组织教学，遵守学校教学工作规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范，保质保量地完成各教学环节规定的教学任务，负责学生考勤和学习管理。</w:t>
      </w:r>
    </w:p>
    <w:p>
      <w:pPr>
        <w:spacing w:before="10" w:line="450" w:lineRule="exact"/>
        <w:ind w:firstLine="269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第五章</w:t>
      </w:r>
      <w:r>
        <w:rPr>
          <w:rFonts w:ascii="Microsoft JhengHei" w:hAnsi="Microsoft JhengHei" w:eastAsia="Microsoft JhengHei" w:cs="Microsoft JhengHei"/>
          <w:spacing w:val="3"/>
          <w:w w:val="101"/>
          <w:position w:val="12"/>
          <w:sz w:val="24"/>
          <w:szCs w:val="24"/>
        </w:rPr>
        <w:t xml:space="preserve">    </w:t>
      </w:r>
      <w:r>
        <w:rPr>
          <w:rFonts w:ascii="Microsoft JhengHei" w:hAnsi="Microsoft JhengHei" w:eastAsia="Microsoft JhengHei" w:cs="Microsoft JhengHei"/>
          <w:spacing w:val="-2"/>
          <w:position w:val="12"/>
          <w:sz w:val="24"/>
          <w:szCs w:val="24"/>
        </w:rPr>
        <w:t>课程免修、免听与重修</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课程免修</w:t>
      </w:r>
    </w:p>
    <w:p>
      <w:pPr>
        <w:spacing w:before="110"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1、学生因转专业、转学或其他原因，</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7"/>
          <w:sz w:val="24"/>
          <w:szCs w:val="24"/>
        </w:rPr>
        <w:t>在此前已取得转入专业大类指导性教学计</w:t>
      </w:r>
    </w:p>
    <w:p>
      <w:pPr>
        <w:spacing w:line="306" w:lineRule="auto"/>
        <w:rPr>
          <w:rFonts w:ascii="Malgun Gothic"/>
          <w:sz w:val="21"/>
        </w:rPr>
      </w:pPr>
    </w:p>
    <w:p>
      <w:pPr>
        <w:spacing w:before="53" w:line="180" w:lineRule="auto"/>
        <w:ind w:firstLine="42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87</w:t>
      </w:r>
    </w:p>
    <w:p>
      <w:pPr>
        <w:sectPr>
          <w:footerReference r:id="rId91" w:type="default"/>
          <w:pgSz w:w="11905" w:h="16840"/>
          <w:pgMar w:top="1431" w:right="1510" w:bottom="400" w:left="1588" w:header="0" w:footer="0" w:gutter="0"/>
          <w:cols w:space="720" w:num="1"/>
        </w:sectPr>
      </w:pPr>
    </w:p>
    <w:p>
      <w:pPr>
        <w:spacing w:before="425"/>
        <w:ind w:right="93" w:firstLine="13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划中某些课程的成绩和学分（教学要求大体相当</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2"/>
          <w:sz w:val="24"/>
          <w:szCs w:val="24"/>
        </w:rPr>
        <w:t>可提交免修申请，经所在学院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（部）领导审核，教务处批准，可以免修并承认其成绩和学分。</w:t>
      </w:r>
    </w:p>
    <w:p>
      <w:pPr>
        <w:spacing w:before="215" w:line="239" w:lineRule="auto"/>
        <w:ind w:right="97"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2、申请课程免修的时间和手续：学生在所选课程开课的第一周内向所在学院</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（部）提出课程免修申请。</w:t>
      </w:r>
    </w:p>
    <w:p>
      <w:pPr>
        <w:spacing w:before="215"/>
        <w:ind w:left="13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3、下列课程不得申请免修：</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0"/>
          <w:sz w:val="24"/>
          <w:szCs w:val="24"/>
        </w:rPr>
        <w:t>思想政治理论课、体育课、实践性教学环节（实验、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实习、课程设计、毕业设计等）。</w:t>
      </w:r>
    </w:p>
    <w:p>
      <w:pPr>
        <w:spacing w:before="205"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第二十五条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课程免听</w:t>
      </w:r>
    </w:p>
    <w:p>
      <w:pPr>
        <w:spacing w:before="152" w:line="315" w:lineRule="auto"/>
        <w:ind w:left="131" w:right="93"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1、学生已系统修读并掌握专业人才培养计划规定的某门课程，</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经任课教师签字</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认可，可申请免听该课程。但免听课程必须按时完成任课教师规定的作业，参加实</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验及实践教学环节，并随班参加考核，在计算平时成绩时出勤部分按满分记。</w:t>
      </w:r>
    </w:p>
    <w:p>
      <w:pPr>
        <w:spacing w:line="265" w:lineRule="auto"/>
        <w:ind w:left="137" w:right="9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2、学生申请免听某门课程，</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要在开学第一周内提出课程免听申请，</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经任课教师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同意，到学生所在学院（部）领取表格，按表格程序办理相关手续，方可免听。未</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办理免听手续而又不随班听课者，以旷课论处。</w:t>
      </w:r>
    </w:p>
    <w:p>
      <w:pPr>
        <w:spacing w:before="204"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第二十六条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课程重修</w:t>
      </w:r>
    </w:p>
    <w:p>
      <w:pPr>
        <w:spacing w:before="153" w:line="180" w:lineRule="auto"/>
        <w:ind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1、下列情况允许重修：</w:t>
      </w:r>
    </w:p>
    <w:p>
      <w:pPr>
        <w:spacing w:before="188" w:line="315" w:lineRule="auto"/>
        <w:ind w:left="135" w:right="10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w w:val="98"/>
          <w:sz w:val="24"/>
          <w:szCs w:val="24"/>
        </w:rPr>
        <w:t>补考不及格的课程</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1"/>
          <w:w w:val="98"/>
          <w:sz w:val="24"/>
          <w:szCs w:val="24"/>
        </w:rPr>
        <w:t>2）</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1"/>
          <w:w w:val="98"/>
          <w:sz w:val="24"/>
          <w:szCs w:val="24"/>
        </w:rPr>
        <w:t>考核已合格，</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8"/>
          <w:sz w:val="24"/>
          <w:szCs w:val="24"/>
        </w:rPr>
        <w:t>学生因其成绩偏低而不满意（低于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75</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分</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2"/>
          <w:sz w:val="24"/>
          <w:szCs w:val="24"/>
        </w:rPr>
        <w:t>需要提高绩点的课程</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2"/>
          <w:sz w:val="24"/>
          <w:szCs w:val="24"/>
        </w:rPr>
        <w:t>3）未完成教学活动的课程。</w:t>
      </w:r>
    </w:p>
    <w:p>
      <w:pPr>
        <w:spacing w:before="5" w:line="199"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2、重修不及格，允许在修读年限内继续重修，但须按学校规定缴纳相关费用。</w:t>
      </w:r>
    </w:p>
    <w:p>
      <w:pPr>
        <w:spacing w:before="152" w:line="180" w:lineRule="auto"/>
        <w:ind w:firstLine="6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3、课程重修需经学生本人申请，学院审核，教务处审批后安排重修。</w:t>
      </w:r>
    </w:p>
    <w:p>
      <w:pPr>
        <w:spacing w:before="194" w:line="319" w:lineRule="auto"/>
        <w:ind w:left="137" w:right="95"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4、重修课程根据学生人数确定重修方式，</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不独立开班的重修课程，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安排与下一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年级相同课程的学生一同上课及考核。重修课程不得申请免听。</w:t>
      </w:r>
    </w:p>
    <w:p>
      <w:pPr>
        <w:spacing w:before="3" w:line="200"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5、凡重修课程成绩以最高成绩记载。</w:t>
      </w:r>
    </w:p>
    <w:p>
      <w:pPr>
        <w:spacing w:before="151" w:line="450" w:lineRule="exact"/>
        <w:ind w:firstLine="3666"/>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position w:val="12"/>
          <w:sz w:val="24"/>
          <w:szCs w:val="24"/>
        </w:rPr>
        <w:t>第六章</w:t>
      </w:r>
      <w:r>
        <w:rPr>
          <w:rFonts w:ascii="Microsoft JhengHei" w:hAnsi="Microsoft JhengHei" w:eastAsia="Microsoft JhengHei" w:cs="Microsoft JhengHei"/>
          <w:spacing w:val="6"/>
          <w:w w:val="101"/>
          <w:position w:val="12"/>
          <w:sz w:val="24"/>
          <w:szCs w:val="24"/>
        </w:rPr>
        <w:t xml:space="preserve">    </w:t>
      </w:r>
      <w:r>
        <w:rPr>
          <w:rFonts w:ascii="Microsoft JhengHei" w:hAnsi="Microsoft JhengHei" w:eastAsia="Microsoft JhengHei" w:cs="Microsoft JhengHei"/>
          <w:spacing w:val="-8"/>
          <w:position w:val="12"/>
          <w:sz w:val="24"/>
          <w:szCs w:val="24"/>
        </w:rPr>
        <w:t>附</w:t>
      </w:r>
      <w:r>
        <w:rPr>
          <w:rFonts w:ascii="Microsoft JhengHei" w:hAnsi="Microsoft JhengHei" w:eastAsia="Microsoft JhengHei" w:cs="Microsoft JhengHei"/>
          <w:spacing w:val="2"/>
          <w:position w:val="12"/>
          <w:sz w:val="24"/>
          <w:szCs w:val="24"/>
        </w:rPr>
        <w:t xml:space="preserve">    </w:t>
      </w:r>
      <w:r>
        <w:rPr>
          <w:rFonts w:ascii="Microsoft JhengHei" w:hAnsi="Microsoft JhengHei" w:eastAsia="Microsoft JhengHei" w:cs="Microsoft JhengHei"/>
          <w:spacing w:val="-8"/>
          <w:position w:val="12"/>
          <w:sz w:val="24"/>
          <w:szCs w:val="24"/>
        </w:rPr>
        <w:t>则</w:t>
      </w:r>
    </w:p>
    <w:p>
      <w:pPr>
        <w:spacing w:before="1" w:line="204"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第二十七条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本办法由教务处负责解释。</w:t>
      </w: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before="52" w:line="180" w:lineRule="auto"/>
        <w:ind w:firstLine="4416"/>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88</w:t>
      </w:r>
    </w:p>
    <w:p>
      <w:pPr>
        <w:sectPr>
          <w:footerReference r:id="rId92" w:type="default"/>
          <w:pgSz w:w="11905" w:h="16840"/>
          <w:pgMar w:top="1431" w:right="1491" w:bottom="400" w:left="1457" w:header="0" w:footer="0" w:gutter="0"/>
          <w:cols w:space="720" w:num="1"/>
        </w:sectPr>
      </w:pPr>
    </w:p>
    <w:p>
      <w:pPr>
        <w:spacing w:before="349" w:line="180" w:lineRule="auto"/>
        <w:ind w:firstLine="19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吉首大学本科生课程重修管理办法</w:t>
      </w:r>
    </w:p>
    <w:p>
      <w:pPr>
        <w:spacing w:line="316" w:lineRule="auto"/>
        <w:rPr>
          <w:rFonts w:ascii="Malgun Gothic"/>
          <w:sz w:val="21"/>
        </w:rPr>
      </w:pPr>
    </w:p>
    <w:p>
      <w:pPr>
        <w:spacing w:before="86" w:line="238" w:lineRule="auto"/>
        <w:ind w:left="4"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课程重修是实施学分制的重要内容之一，</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1"/>
          <w:sz w:val="24"/>
          <w:szCs w:val="24"/>
        </w:rPr>
        <w:t>为完善课程重</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sz w:val="24"/>
          <w:szCs w:val="24"/>
        </w:rPr>
        <w:t>修管理，</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规范操作过程，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特制定本办法。</w:t>
      </w:r>
    </w:p>
    <w:p>
      <w:pPr>
        <w:spacing w:before="206"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一、重修范围</w:t>
      </w:r>
    </w:p>
    <w:p>
      <w:pPr>
        <w:spacing w:before="15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1、援教学计划规定的必修课、限选课经补考后仍不及格的课程。</w:t>
      </w:r>
    </w:p>
    <w:p>
      <w:pPr>
        <w:spacing w:before="19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2、公共选修课或任意选修课不及格可以重修或另选其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他课程来取得学分。</w:t>
      </w:r>
    </w:p>
    <w:p>
      <w:pPr>
        <w:spacing w:before="194" w:line="239" w:lineRule="auto"/>
        <w:ind w:left="3" w:right="3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3、一学期内学生无故缺课达该课程学时数三分之一，或缺交作业（实验报告）</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达三分之一者，取消该课程考试资格，必须重修。</w:t>
      </w:r>
    </w:p>
    <w:p>
      <w:pPr>
        <w:spacing w:before="21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4、因考试作弊等原因导致考试成绩取消的课程应重修。</w:t>
      </w:r>
    </w:p>
    <w:p>
      <w:pPr>
        <w:spacing w:before="190" w:line="303" w:lineRule="auto"/>
        <w:ind w:left="3" w:right="7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5、学生对已取得学分的课程，</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如果学生对成绩不满意（低</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0"/>
          <w:sz w:val="24"/>
          <w:szCs w:val="24"/>
        </w:rPr>
        <w:t>于</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0"/>
          <w:sz w:val="24"/>
          <w:szCs w:val="24"/>
        </w:rPr>
        <w:t>75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0"/>
          <w:sz w:val="24"/>
          <w:szCs w:val="24"/>
        </w:rPr>
        <w:t>分）</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0"/>
          <w:sz w:val="24"/>
          <w:szCs w:val="24"/>
        </w:rPr>
        <w:t>也可申请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重修。</w:t>
      </w:r>
    </w:p>
    <w:p>
      <w:pPr>
        <w:spacing w:before="37" w:line="239" w:lineRule="auto"/>
        <w:ind w:left="3" w:right="7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6、必修课程考核不及格者，在校期间学生可多次重修，</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3"/>
          <w:sz w:val="24"/>
          <w:szCs w:val="24"/>
        </w:rPr>
        <w:t>直至课程合格取得其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学分。</w:t>
      </w:r>
    </w:p>
    <w:p>
      <w:pPr>
        <w:spacing w:before="206"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二、重修方式</w:t>
      </w:r>
    </w:p>
    <w:p>
      <w:pPr>
        <w:spacing w:before="152" w:line="312" w:lineRule="auto"/>
        <w:ind w:left="2" w:right="75"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1、组班重修。对课程不及格人数达</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6"/>
          <w:sz w:val="24"/>
          <w:szCs w:val="24"/>
        </w:rPr>
        <w:t>30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6"/>
          <w:sz w:val="24"/>
          <w:szCs w:val="24"/>
        </w:rPr>
        <w:t>人（学科基础课和专业课达</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人）</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6"/>
          <w:sz w:val="24"/>
          <w:szCs w:val="24"/>
        </w:rPr>
        <w:t>及以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上，由学校统一组班重修。具体操作办法：全校公共必修课程开办重修班，其具体</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的开课学时、周次、时间及地点由教务处统一安排；专业课开班的具体时间及地点</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由开课院（部）负责安排，报教务处备案。</w:t>
      </w:r>
    </w:p>
    <w:p>
      <w:pPr>
        <w:spacing w:before="20" w:line="239" w:lineRule="auto"/>
        <w:ind w:left="3"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2、插班重修。对不够组班重修的课程由开课院（部）</w:t>
      </w:r>
      <w:r>
        <w:rPr>
          <w:rFonts w:ascii="方正书宋简体" w:hAnsi="方正书宋简体" w:eastAsia="方正书宋简体" w:cs="方正书宋简体"/>
          <w:spacing w:val="79"/>
          <w:w w:val="101"/>
          <w:sz w:val="24"/>
          <w:szCs w:val="24"/>
        </w:rPr>
        <w:t xml:space="preserve"> </w:t>
      </w:r>
      <w:r>
        <w:rPr>
          <w:rFonts w:ascii="方正书宋简体" w:hAnsi="方正书宋简体" w:eastAsia="方正书宋简体" w:cs="方正书宋简体"/>
          <w:spacing w:val="-5"/>
          <w:sz w:val="24"/>
          <w:szCs w:val="24"/>
        </w:rPr>
        <w:t>负责将已办理重修手续的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学生编入相邻年级同门课程所在班级插班重修。</w:t>
      </w:r>
    </w:p>
    <w:p>
      <w:pPr>
        <w:spacing w:before="216" w:line="265" w:lineRule="auto"/>
        <w:ind w:right="75"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3、导读重修。学生重修课程上课时间若与正常上课时间冲突，</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或受学年限制等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原因而不能随低年级相应课程学习者，可采取学生自学、教师辅导、答疑的方式修</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读，但必须与低年级同时、同卷考试。</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三、重修办理程序</w:t>
      </w:r>
    </w:p>
    <w:p>
      <w:pPr>
        <w:spacing w:before="150"/>
        <w:ind w:left="2" w:right="77"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1、每学期课程补考结束后，</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1"/>
          <w:sz w:val="24"/>
          <w:szCs w:val="24"/>
        </w:rPr>
        <w:t>由开课学院（部）</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sz w:val="24"/>
          <w:szCs w:val="24"/>
        </w:rPr>
        <w:t>向学生公布该学期开出的重修课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程名称、学分、重修方式，并报教务处备案。</w:t>
      </w:r>
    </w:p>
    <w:p>
      <w:pPr>
        <w:spacing w:before="215"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2、需要重修学生在规定的时间内进行网上报名申请重修。</w:t>
      </w:r>
    </w:p>
    <w:p>
      <w:pPr>
        <w:spacing w:before="192" w:line="316" w:lineRule="auto"/>
        <w:ind w:left="3" w:right="7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3、教务处根据学生重修申请情况，</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w w:val="98"/>
          <w:sz w:val="24"/>
          <w:szCs w:val="24"/>
        </w:rPr>
        <w:t>向院（部）</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w w:val="98"/>
          <w:sz w:val="24"/>
          <w:szCs w:val="24"/>
        </w:rPr>
        <w:t>下达重修课程任务书，</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8"/>
          <w:sz w:val="24"/>
          <w:szCs w:val="24"/>
        </w:rPr>
        <w:t>由各开课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学院（部</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7"/>
          <w:sz w:val="24"/>
          <w:szCs w:val="24"/>
        </w:rPr>
        <w:t>根据任务书要求，落实教学任务。</w:t>
      </w:r>
    </w:p>
    <w:p>
      <w:pPr>
        <w:spacing w:before="323" w:line="180" w:lineRule="auto"/>
        <w:ind w:firstLine="428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89</w:t>
      </w:r>
    </w:p>
    <w:p>
      <w:pPr>
        <w:sectPr>
          <w:footerReference r:id="rId93" w:type="default"/>
          <w:pgSz w:w="11905" w:h="16840"/>
          <w:pgMar w:top="1431" w:right="1510" w:bottom="400" w:left="1590" w:header="0" w:footer="0" w:gutter="0"/>
          <w:cols w:space="720" w:num="1"/>
        </w:sectPr>
      </w:pPr>
    </w:p>
    <w:p>
      <w:pPr>
        <w:spacing w:before="414"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4、学生根据课程安排表进行重修选课，须办理缴费手续后方可参加重修学习。</w:t>
      </w:r>
    </w:p>
    <w:p>
      <w:pPr>
        <w:spacing w:before="194" w:line="180" w:lineRule="auto"/>
        <w:ind w:firstLine="50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四、重修的教学管理</w:t>
      </w:r>
    </w:p>
    <w:p>
      <w:pPr>
        <w:spacing w:before="140" w:line="317" w:lineRule="auto"/>
        <w:ind w:left="4"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1、开课学院（部）</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5"/>
          <w:sz w:val="24"/>
          <w:szCs w:val="24"/>
        </w:rPr>
        <w:t>根据重修任务书安排专门教师负责教学组织。开课前教师应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制定重修课程教学计划，授课（辅导）计划经院（部）审核后报教务处备案。组班</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重修的课程，其授课课时数原则上不少于原教学时数的二分之一，导读重修辅导课</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时数不少于原教学时数的三分之一。</w:t>
      </w:r>
    </w:p>
    <w:p>
      <w:pPr>
        <w:spacing w:before="1" w:line="238" w:lineRule="auto"/>
        <w:ind w:left="4" w:right="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2、学生重修单独设置的实验课或者实践教学环节，</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需参加本专业低年级该课程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教学的全过程。</w:t>
      </w:r>
    </w:p>
    <w:p>
      <w:pPr>
        <w:spacing w:before="218"/>
        <w:ind w:left="4" w:right="1"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3、重修学生应根据重修教学计划参加课程学习，</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9"/>
          <w:sz w:val="24"/>
          <w:szCs w:val="24"/>
        </w:rPr>
        <w:t>开课学院（部）</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9"/>
          <w:sz w:val="24"/>
          <w:szCs w:val="24"/>
        </w:rPr>
        <w:t>应加强重修课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程教学管理，教师对重修学生应严格按</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课程教学要求进行管理和考核。</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五、重修考核及成绩记载</w:t>
      </w:r>
    </w:p>
    <w:p>
      <w:pPr>
        <w:spacing w:before="150" w:line="315" w:lineRule="auto"/>
        <w:ind w:left="4" w:right="1"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1、重修课程的考核按《吉首大学课程考核管理规定》执行，</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不符合条件不得参</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加课程考核。</w:t>
      </w:r>
    </w:p>
    <w:p>
      <w:pPr>
        <w:spacing w:before="4" w:line="314" w:lineRule="auto"/>
        <w:ind w:left="2" w:right="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2、组班重修、导读重修由考试中心统一组织课程考核，</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插班重修的课程考核与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低年级相同课程的期末考试同时、同卷</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进行。</w:t>
      </w:r>
    </w:p>
    <w:p>
      <w:pPr>
        <w:ind w:left="4" w:right="3"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3、学生重修课程考核应按学校有关规定执行，教师在批</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
          <w:sz w:val="24"/>
          <w:szCs w:val="24"/>
        </w:rPr>
        <w:t>阅试卷时不能降低评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分标准，不准提分。</w:t>
      </w:r>
    </w:p>
    <w:p>
      <w:pPr>
        <w:spacing w:before="218" w:line="239" w:lineRule="auto"/>
        <w:ind w:right="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4、课程重修考核合格者按实际成绩记载，取得该课程学</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分。对已取得学分的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课程，按两次之中的最高成绩记载。</w:t>
      </w:r>
    </w:p>
    <w:p>
      <w:pPr>
        <w:spacing w:before="204"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六、其它</w:t>
      </w:r>
    </w:p>
    <w:p>
      <w:pPr>
        <w:spacing w:before="154" w:line="314" w:lineRule="auto"/>
        <w:ind w:left="1" w:right="3"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1、课程重修实行缴费制度，课程重修（含重修考试）的收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费标准以每学分为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计算单位，具体收费按省物价局、省财政</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厅和省教育厅有关文件执行。</w:t>
      </w:r>
    </w:p>
    <w:p>
      <w:pPr>
        <w:spacing w:before="3" w:line="201"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2、本办法由教务处负责解释。</w:t>
      </w: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before="5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90</w:t>
      </w:r>
    </w:p>
    <w:p>
      <w:pPr>
        <w:sectPr>
          <w:footerReference r:id="rId94" w:type="default"/>
          <w:pgSz w:w="11905" w:h="16840"/>
          <w:pgMar w:top="1431" w:right="1585" w:bottom="400" w:left="1588" w:header="0" w:footer="0" w:gutter="0"/>
          <w:cols w:space="720" w:num="1"/>
        </w:sectPr>
      </w:pPr>
    </w:p>
    <w:p>
      <w:pPr>
        <w:spacing w:before="349" w:line="180" w:lineRule="auto"/>
        <w:ind w:firstLine="21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吉首大学素质通识课程管理办法</w:t>
      </w:r>
    </w:p>
    <w:p>
      <w:pPr>
        <w:spacing w:before="110" w:line="184" w:lineRule="auto"/>
        <w:ind w:firstLine="3191"/>
        <w:rPr>
          <w:rFonts w:ascii="楷体" w:hAnsi="楷体" w:eastAsia="楷体" w:cs="楷体"/>
          <w:sz w:val="24"/>
          <w:szCs w:val="24"/>
        </w:rPr>
      </w:pPr>
      <w:r>
        <w:rPr>
          <w:rFonts w:ascii="楷体" w:hAnsi="楷体" w:eastAsia="楷体" w:cs="楷体"/>
          <w:spacing w:val="-5"/>
          <w:sz w:val="24"/>
          <w:szCs w:val="24"/>
        </w:rPr>
        <w:t>（2016</w:t>
      </w:r>
      <w:r>
        <w:rPr>
          <w:rFonts w:ascii="楷体" w:hAnsi="楷体" w:eastAsia="楷体" w:cs="楷体"/>
          <w:spacing w:val="-43"/>
          <w:sz w:val="24"/>
          <w:szCs w:val="24"/>
        </w:rPr>
        <w:t xml:space="preserve"> </w:t>
      </w:r>
      <w:r>
        <w:rPr>
          <w:rFonts w:ascii="楷体" w:hAnsi="楷体" w:eastAsia="楷体" w:cs="楷体"/>
          <w:spacing w:val="-5"/>
          <w:sz w:val="24"/>
          <w:szCs w:val="24"/>
        </w:rPr>
        <w:t>年</w:t>
      </w:r>
      <w:r>
        <w:rPr>
          <w:rFonts w:ascii="楷体" w:hAnsi="楷体" w:eastAsia="楷体" w:cs="楷体"/>
          <w:spacing w:val="-39"/>
          <w:sz w:val="24"/>
          <w:szCs w:val="24"/>
        </w:rPr>
        <w:t xml:space="preserve"> </w:t>
      </w:r>
      <w:r>
        <w:rPr>
          <w:rFonts w:ascii="楷体" w:hAnsi="楷体" w:eastAsia="楷体" w:cs="楷体"/>
          <w:spacing w:val="-5"/>
          <w:sz w:val="24"/>
          <w:szCs w:val="24"/>
        </w:rPr>
        <w:t>7</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80" w:lineRule="auto"/>
        <w:rPr>
          <w:rFonts w:ascii="Malgun Gothic"/>
          <w:sz w:val="21"/>
        </w:rPr>
      </w:pPr>
    </w:p>
    <w:p>
      <w:pPr>
        <w:spacing w:before="87"/>
        <w:ind w:left="2" w:right="6"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为了推进素质通识教育课程改革，加强素质通识课程资源建设，充分发挥课程</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教学在素质教育中的重要作用，结合素质通识课程教学实际，特制定本管理办法：</w:t>
      </w:r>
    </w:p>
    <w:p>
      <w:pPr>
        <w:spacing w:before="204"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一、素质通识课程的教育目标</w:t>
      </w:r>
    </w:p>
    <w:p>
      <w:pPr>
        <w:spacing w:before="152" w:line="31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基于素质教育的基本目标，按照素质教育的内容要求，通过模块化的课程资源</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建设及其合理开设，推进素质教育中的课程教学改革，搭建有效的素质通识教育课</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3"/>
          <w:sz w:val="24"/>
          <w:szCs w:val="24"/>
        </w:rPr>
        <w:t>程平台，</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3"/>
          <w:sz w:val="24"/>
          <w:szCs w:val="24"/>
        </w:rPr>
        <w:t>充分发挥课程教学在素质教育中的主渠道作用，</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从而有利于促进学生素质的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提高。具体地讲，就是要培养学生的人文精神，培养人文关怀、</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提高人生修养、培育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艺术情趣、促进身心健康；</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就是要提高学生的科学素养，</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5"/>
          <w:sz w:val="24"/>
          <w:szCs w:val="24"/>
        </w:rPr>
        <w:t>掌握科技基础知识</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5"/>
          <w:sz w:val="24"/>
          <w:szCs w:val="24"/>
        </w:rPr>
        <w:t>、养成科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学态度与方法、培养科学精神与品质、提高科学生活的素质和能力；就是要增强学生</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9"/>
          <w:sz w:val="24"/>
          <w:szCs w:val="24"/>
        </w:rPr>
        <w:t>的创新能力，训练创新思维、</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9"/>
          <w:sz w:val="24"/>
          <w:szCs w:val="24"/>
        </w:rPr>
        <w:t>掌握创新理论、善于创新研究，提升创新实践水平；就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是要培育学生的具有本土特色的务实作风，了解多民族概况、掌握宗教常识、培育全</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5"/>
          <w:sz w:val="24"/>
          <w:szCs w:val="24"/>
        </w:rPr>
        <w:t>球化和文化多样性视野，认识地方历史与文化，能够继承学校优良传统。</w:t>
      </w:r>
    </w:p>
    <w:p>
      <w:pPr>
        <w:spacing w:before="2" w:line="202"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二、素质通识课程的开设原则</w:t>
      </w:r>
    </w:p>
    <w:p>
      <w:pPr>
        <w:spacing w:before="112" w:line="316" w:lineRule="auto"/>
        <w:ind w:left="21" w:right="4"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1、目标引导。素质通识课程开设以素质教育的目标为引导，</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体现素质教育目标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的外延和内涵的要求，增强其针对性和目的性。</w:t>
      </w:r>
    </w:p>
    <w:p>
      <w:pPr>
        <w:spacing w:before="4" w:line="314" w:lineRule="auto"/>
        <w:ind w:left="1" w:right="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2、模块组合。素质通识课程开设根据素质教育的目标规格进行模块组合，</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包含</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德、智、体、心、美等方面的教育内容，体现人文精神、科学素养、创新能力和务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实作风等素质要求。</w:t>
      </w:r>
    </w:p>
    <w:p>
      <w:pPr>
        <w:spacing w:before="4" w:line="310" w:lineRule="auto"/>
        <w:ind w:right="3"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3、讲究实效。素质通识教育课程以提高学生素质为根本标准，</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按照素质教育的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分类、内容的要求，实施教学，体现素质教育的特点，注重促进学生素质。以知识</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为基础，以心智为重点，以习惯行为为关键，</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促进综合素质协调养成。通过改革创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新提高教师教学水平，提高素质通识课程质量。</w:t>
      </w:r>
    </w:p>
    <w:p>
      <w:pPr>
        <w:spacing w:before="27" w:line="274" w:lineRule="auto"/>
        <w:ind w:left="3" w:right="3"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4、分类开放。素质通识课程面向全体学生开放，</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7"/>
          <w:sz w:val="24"/>
          <w:szCs w:val="24"/>
        </w:rPr>
        <w:t>同时根据学生学科专业背景和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学历阶段差异，体现不同学科类别和学历阶段的不同要求，遵循素质教育中教育为</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重点、循序渐进的规律。</w:t>
      </w:r>
    </w:p>
    <w:p>
      <w:pPr>
        <w:spacing w:before="178" w:line="315" w:lineRule="auto"/>
        <w:ind w:right="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5、重在建设。素质通识课程开设重在建设，</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坚持标准。凡开设课程必须具备基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本的条件（主要指课程内容及大纲</w:t>
      </w:r>
      <w:r>
        <w:rPr>
          <w:rFonts w:ascii="方正书宋简体" w:hAnsi="方正书宋简体" w:eastAsia="方正书宋简体" w:cs="方正书宋简体"/>
          <w:spacing w:val="-77"/>
          <w:sz w:val="24"/>
          <w:szCs w:val="24"/>
        </w:rPr>
        <w:t>），</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要在教学中不断充实课程内容，</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改革教学手段</w:t>
      </w:r>
    </w:p>
    <w:p>
      <w:pPr>
        <w:spacing w:before="324" w:line="180" w:lineRule="auto"/>
        <w:ind w:firstLine="42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91</w:t>
      </w:r>
    </w:p>
    <w:p>
      <w:pPr>
        <w:sectPr>
          <w:footerReference r:id="rId95" w:type="default"/>
          <w:pgSz w:w="11905" w:h="16840"/>
          <w:pgMar w:top="1431" w:right="1582" w:bottom="400" w:left="1590" w:header="0" w:footer="0" w:gutter="0"/>
          <w:cols w:space="720" w:num="1"/>
        </w:sectPr>
      </w:pPr>
    </w:p>
    <w:p>
      <w:pPr>
        <w:spacing w:before="425" w:line="311" w:lineRule="auto"/>
        <w:ind w:left="15" w:right="12" w:firstLine="8"/>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和方法，</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5"/>
          <w:sz w:val="24"/>
          <w:szCs w:val="24"/>
        </w:rPr>
        <w:t>改善教学条件，</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不断提高教学水平。素质通识课程要保证基础，</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结构合理，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0"/>
          <w:sz w:val="24"/>
          <w:szCs w:val="24"/>
        </w:rPr>
        <w:t>逐步增设，</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0"/>
          <w:sz w:val="24"/>
          <w:szCs w:val="24"/>
        </w:rPr>
        <w:t>宁缺毋滥，</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0"/>
          <w:sz w:val="24"/>
          <w:szCs w:val="24"/>
        </w:rPr>
        <w:t>优先开设基本课程，</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0"/>
          <w:sz w:val="24"/>
          <w:szCs w:val="24"/>
        </w:rPr>
        <w:t>逐步增加课程总量，</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0"/>
          <w:sz w:val="24"/>
          <w:szCs w:val="24"/>
        </w:rPr>
        <w:t>不断充实课程资源；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培育特色课程资源，启动实施“示范课程计划”。</w:t>
      </w:r>
    </w:p>
    <w:p>
      <w:pPr>
        <w:spacing w:before="7" w:line="177" w:lineRule="auto"/>
        <w:ind w:firstLine="508"/>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三、素质通识课程的结构分类</w:t>
      </w:r>
    </w:p>
    <w:tbl>
      <w:tblPr>
        <w:tblStyle w:val="4"/>
        <w:tblW w:w="873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5"/>
        <w:gridCol w:w="2405"/>
        <w:gridCol w:w="4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1935" w:type="dxa"/>
            <w:tcBorders>
              <w:top w:val="single" w:color="000000" w:sz="6" w:space="0"/>
              <w:left w:val="single" w:color="000000" w:sz="6" w:space="0"/>
            </w:tcBorders>
            <w:vAlign w:val="top"/>
          </w:tcPr>
          <w:p>
            <w:pPr>
              <w:spacing w:before="93"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课程属性</w:t>
            </w:r>
          </w:p>
        </w:tc>
        <w:tc>
          <w:tcPr>
            <w:tcW w:w="2405" w:type="dxa"/>
            <w:tcBorders>
              <w:top w:val="single" w:color="000000" w:sz="6" w:space="0"/>
            </w:tcBorders>
            <w:vAlign w:val="top"/>
          </w:tcPr>
          <w:p>
            <w:pPr>
              <w:spacing w:before="93" w:line="180" w:lineRule="auto"/>
              <w:ind w:firstLine="72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课程类别</w:t>
            </w:r>
          </w:p>
        </w:tc>
        <w:tc>
          <w:tcPr>
            <w:tcW w:w="4396" w:type="dxa"/>
            <w:tcBorders>
              <w:top w:val="single" w:color="000000" w:sz="6" w:space="0"/>
              <w:right w:val="single" w:color="000000" w:sz="6" w:space="0"/>
            </w:tcBorders>
            <w:vAlign w:val="top"/>
          </w:tcPr>
          <w:p>
            <w:pPr>
              <w:spacing w:before="93" w:line="180" w:lineRule="auto"/>
              <w:ind w:firstLine="172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课程内容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restart"/>
            <w:tcBorders>
              <w:left w:val="single" w:color="000000" w:sz="6" w:space="0"/>
              <w:bottom w:val="nil"/>
            </w:tcBorders>
            <w:textDirection w:val="tbRlV"/>
            <w:vAlign w:val="top"/>
          </w:tcPr>
          <w:p>
            <w:pPr>
              <w:spacing w:line="242" w:lineRule="auto"/>
              <w:rPr>
                <w:rFonts w:ascii="Malgun Gothic"/>
                <w:sz w:val="21"/>
              </w:rPr>
            </w:pPr>
          </w:p>
          <w:p>
            <w:pPr>
              <w:spacing w:line="243" w:lineRule="auto"/>
              <w:rPr>
                <w:rFonts w:ascii="Malgun Gothic"/>
                <w:sz w:val="21"/>
              </w:rPr>
            </w:pPr>
          </w:p>
          <w:p>
            <w:pPr>
              <w:spacing w:before="88" w:line="180" w:lineRule="auto"/>
              <w:ind w:firstLine="15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素</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6"/>
                <w:sz w:val="24"/>
                <w:szCs w:val="24"/>
              </w:rPr>
              <w:t>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6"/>
                <w:sz w:val="24"/>
                <w:szCs w:val="24"/>
              </w:rPr>
              <w:t>识</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6"/>
                <w:sz w:val="24"/>
                <w:szCs w:val="24"/>
              </w:rPr>
              <w:t>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程</w:t>
            </w:r>
          </w:p>
        </w:tc>
        <w:tc>
          <w:tcPr>
            <w:tcW w:w="2405" w:type="dxa"/>
            <w:vMerge w:val="restart"/>
            <w:tcBorders>
              <w:bottom w:val="nil"/>
            </w:tcBorders>
            <w:vAlign w:val="top"/>
          </w:tcPr>
          <w:p>
            <w:pPr>
              <w:spacing w:line="463" w:lineRule="auto"/>
              <w:rPr>
                <w:rFonts w:ascii="Malgun Gothic"/>
                <w:sz w:val="21"/>
              </w:rPr>
            </w:pPr>
          </w:p>
          <w:p>
            <w:pPr>
              <w:spacing w:before="86" w:line="180" w:lineRule="auto"/>
              <w:ind w:firstLine="5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人文精神类</w:t>
            </w:r>
          </w:p>
        </w:tc>
        <w:tc>
          <w:tcPr>
            <w:tcW w:w="4396" w:type="dxa"/>
            <w:tcBorders>
              <w:right w:val="single" w:color="000000" w:sz="6" w:space="0"/>
            </w:tcBorders>
            <w:vAlign w:val="top"/>
          </w:tcPr>
          <w:p>
            <w:pPr>
              <w:spacing w:before="93"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人文关怀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94"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人生修养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94" w:line="180" w:lineRule="auto"/>
              <w:ind w:firstLine="17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身心养成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tcBorders>
            <w:vAlign w:val="top"/>
          </w:tcPr>
          <w:p>
            <w:pPr>
              <w:rPr>
                <w:rFonts w:ascii="Malgun Gothic"/>
                <w:sz w:val="21"/>
              </w:rPr>
            </w:pPr>
          </w:p>
        </w:tc>
        <w:tc>
          <w:tcPr>
            <w:tcW w:w="4396" w:type="dxa"/>
            <w:tcBorders>
              <w:right w:val="single" w:color="000000" w:sz="6" w:space="0"/>
            </w:tcBorders>
            <w:vAlign w:val="top"/>
          </w:tcPr>
          <w:p>
            <w:pPr>
              <w:spacing w:before="99" w:line="180" w:lineRule="auto"/>
              <w:ind w:firstLine="171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艺术情趣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restart"/>
            <w:tcBorders>
              <w:bottom w:val="nil"/>
            </w:tcBorders>
            <w:vAlign w:val="top"/>
          </w:tcPr>
          <w:p>
            <w:pPr>
              <w:spacing w:line="468" w:lineRule="auto"/>
              <w:rPr>
                <w:rFonts w:ascii="Malgun Gothic"/>
                <w:sz w:val="21"/>
              </w:rPr>
            </w:pPr>
          </w:p>
          <w:p>
            <w:pPr>
              <w:spacing w:before="85" w:line="180" w:lineRule="auto"/>
              <w:ind w:firstLine="5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本土特色类</w:t>
            </w:r>
          </w:p>
        </w:tc>
        <w:tc>
          <w:tcPr>
            <w:tcW w:w="4396" w:type="dxa"/>
            <w:tcBorders>
              <w:right w:val="single" w:color="000000" w:sz="6" w:space="0"/>
            </w:tcBorders>
            <w:vAlign w:val="top"/>
          </w:tcPr>
          <w:p>
            <w:pPr>
              <w:spacing w:before="95" w:line="180" w:lineRule="auto"/>
              <w:ind w:firstLine="173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民族概况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01" w:line="180" w:lineRule="auto"/>
              <w:ind w:firstLine="171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宗教问题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03" w:line="180" w:lineRule="auto"/>
              <w:ind w:firstLine="135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地方历史与文化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tcBorders>
            <w:vAlign w:val="top"/>
          </w:tcPr>
          <w:p>
            <w:pPr>
              <w:rPr>
                <w:rFonts w:ascii="Malgun Gothic"/>
                <w:sz w:val="21"/>
              </w:rPr>
            </w:pPr>
          </w:p>
        </w:tc>
        <w:tc>
          <w:tcPr>
            <w:tcW w:w="4396" w:type="dxa"/>
            <w:tcBorders>
              <w:right w:val="single" w:color="000000" w:sz="6" w:space="0"/>
            </w:tcBorders>
            <w:vAlign w:val="top"/>
          </w:tcPr>
          <w:p>
            <w:pPr>
              <w:spacing w:before="102" w:line="180" w:lineRule="auto"/>
              <w:ind w:firstLine="171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学校传统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restart"/>
            <w:tcBorders>
              <w:bottom w:val="nil"/>
            </w:tcBorders>
            <w:vAlign w:val="top"/>
          </w:tcPr>
          <w:p>
            <w:pPr>
              <w:spacing w:line="472" w:lineRule="auto"/>
              <w:rPr>
                <w:rFonts w:ascii="Malgun Gothic"/>
                <w:sz w:val="21"/>
              </w:rPr>
            </w:pPr>
          </w:p>
          <w:p>
            <w:pPr>
              <w:spacing w:before="86" w:line="180" w:lineRule="auto"/>
              <w:ind w:firstLine="5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创新能力类</w:t>
            </w:r>
          </w:p>
        </w:tc>
        <w:tc>
          <w:tcPr>
            <w:tcW w:w="4396" w:type="dxa"/>
            <w:tcBorders>
              <w:right w:val="single" w:color="000000" w:sz="6" w:space="0"/>
            </w:tcBorders>
            <w:vAlign w:val="top"/>
          </w:tcPr>
          <w:p>
            <w:pPr>
              <w:spacing w:before="104"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创新思维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07"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创新理论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09"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创新研究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tcBorders>
            <w:vAlign w:val="top"/>
          </w:tcPr>
          <w:p>
            <w:pPr>
              <w:rPr>
                <w:rFonts w:ascii="Malgun Gothic"/>
                <w:sz w:val="21"/>
              </w:rPr>
            </w:pPr>
          </w:p>
        </w:tc>
        <w:tc>
          <w:tcPr>
            <w:tcW w:w="4396" w:type="dxa"/>
            <w:tcBorders>
              <w:right w:val="single" w:color="000000" w:sz="6" w:space="0"/>
            </w:tcBorders>
            <w:vAlign w:val="top"/>
          </w:tcPr>
          <w:p>
            <w:pPr>
              <w:spacing w:before="111" w:line="180" w:lineRule="auto"/>
              <w:ind w:firstLine="17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创新实践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restart"/>
            <w:tcBorders>
              <w:bottom w:val="nil"/>
            </w:tcBorders>
            <w:vAlign w:val="top"/>
          </w:tcPr>
          <w:p>
            <w:pPr>
              <w:spacing w:line="242" w:lineRule="auto"/>
              <w:rPr>
                <w:rFonts w:ascii="Malgun Gothic"/>
                <w:sz w:val="21"/>
              </w:rPr>
            </w:pPr>
          </w:p>
          <w:p>
            <w:pPr>
              <w:spacing w:line="242" w:lineRule="auto"/>
              <w:rPr>
                <w:rFonts w:ascii="Malgun Gothic"/>
                <w:sz w:val="21"/>
              </w:rPr>
            </w:pPr>
          </w:p>
          <w:p>
            <w:pPr>
              <w:spacing w:before="86" w:line="180" w:lineRule="auto"/>
              <w:ind w:firstLine="5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科学素养类</w:t>
            </w:r>
          </w:p>
        </w:tc>
        <w:tc>
          <w:tcPr>
            <w:tcW w:w="4396" w:type="dxa"/>
            <w:tcBorders>
              <w:right w:val="single" w:color="000000" w:sz="6" w:space="0"/>
            </w:tcBorders>
            <w:vAlign w:val="top"/>
          </w:tcPr>
          <w:p>
            <w:pPr>
              <w:spacing w:before="125" w:line="180" w:lineRule="auto"/>
              <w:ind w:firstLine="171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科技基础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11" w:line="180" w:lineRule="auto"/>
              <w:ind w:firstLine="135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科学态度与方法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935" w:type="dxa"/>
            <w:vMerge w:val="continue"/>
            <w:tcBorders>
              <w:top w:val="nil"/>
              <w:left w:val="single" w:color="000000" w:sz="6" w:space="0"/>
              <w:bottom w:val="nil"/>
            </w:tcBorders>
            <w:textDirection w:val="tbRlV"/>
            <w:vAlign w:val="top"/>
          </w:tcPr>
          <w:p>
            <w:pPr>
              <w:rPr>
                <w:rFonts w:ascii="Malgun Gothic"/>
                <w:sz w:val="21"/>
              </w:rPr>
            </w:pPr>
          </w:p>
        </w:tc>
        <w:tc>
          <w:tcPr>
            <w:tcW w:w="2405" w:type="dxa"/>
            <w:vMerge w:val="continue"/>
            <w:tcBorders>
              <w:top w:val="nil"/>
              <w:bottom w:val="nil"/>
            </w:tcBorders>
            <w:vAlign w:val="top"/>
          </w:tcPr>
          <w:p>
            <w:pPr>
              <w:rPr>
                <w:rFonts w:ascii="Malgun Gothic"/>
                <w:sz w:val="21"/>
              </w:rPr>
            </w:pPr>
          </w:p>
        </w:tc>
        <w:tc>
          <w:tcPr>
            <w:tcW w:w="4396" w:type="dxa"/>
            <w:tcBorders>
              <w:right w:val="single" w:color="000000" w:sz="6" w:space="0"/>
            </w:tcBorders>
            <w:vAlign w:val="top"/>
          </w:tcPr>
          <w:p>
            <w:pPr>
              <w:spacing w:before="111" w:line="180" w:lineRule="auto"/>
              <w:ind w:firstLine="135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科学精神与品质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935" w:type="dxa"/>
            <w:vMerge w:val="continue"/>
            <w:tcBorders>
              <w:top w:val="nil"/>
              <w:left w:val="single" w:color="000000" w:sz="6" w:space="0"/>
              <w:bottom w:val="single" w:color="000000" w:sz="6" w:space="0"/>
            </w:tcBorders>
            <w:textDirection w:val="tbRlV"/>
            <w:vAlign w:val="top"/>
          </w:tcPr>
          <w:p>
            <w:pPr>
              <w:rPr>
                <w:rFonts w:ascii="Malgun Gothic"/>
                <w:sz w:val="21"/>
              </w:rPr>
            </w:pPr>
          </w:p>
        </w:tc>
        <w:tc>
          <w:tcPr>
            <w:tcW w:w="2405" w:type="dxa"/>
            <w:vMerge w:val="continue"/>
            <w:tcBorders>
              <w:top w:val="nil"/>
              <w:bottom w:val="single" w:color="000000" w:sz="6" w:space="0"/>
            </w:tcBorders>
            <w:vAlign w:val="top"/>
          </w:tcPr>
          <w:p>
            <w:pPr>
              <w:rPr>
                <w:rFonts w:ascii="Malgun Gothic"/>
                <w:sz w:val="21"/>
              </w:rPr>
            </w:pPr>
          </w:p>
        </w:tc>
        <w:tc>
          <w:tcPr>
            <w:tcW w:w="4396" w:type="dxa"/>
            <w:tcBorders>
              <w:bottom w:val="single" w:color="000000" w:sz="6" w:space="0"/>
              <w:right w:val="single" w:color="000000" w:sz="6" w:space="0"/>
            </w:tcBorders>
            <w:vAlign w:val="top"/>
          </w:tcPr>
          <w:p>
            <w:pPr>
              <w:spacing w:before="116" w:line="180" w:lineRule="auto"/>
              <w:ind w:firstLine="171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科学生活</w:t>
            </w:r>
          </w:p>
        </w:tc>
      </w:tr>
    </w:tbl>
    <w:p>
      <w:pPr>
        <w:spacing w:before="145" w:line="180" w:lineRule="auto"/>
        <w:ind w:firstLine="518"/>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四、素质通识课程的管理与考核</w:t>
      </w:r>
    </w:p>
    <w:p>
      <w:pPr>
        <w:spacing w:before="152" w:line="315" w:lineRule="auto"/>
        <w:ind w:left="14"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1、组织：</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素质通识课程由素质教育中心管理，</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教务处教务科负责提供技术平台</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9"/>
          <w:sz w:val="24"/>
          <w:szCs w:val="24"/>
        </w:rPr>
        <w:t>支持，</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9"/>
          <w:sz w:val="24"/>
          <w:szCs w:val="24"/>
        </w:rPr>
        <w:t>实行学分制管理，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9"/>
          <w:sz w:val="24"/>
          <w:szCs w:val="24"/>
        </w:rPr>
        <w:t>纳入专业人才培养方案，</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9"/>
          <w:sz w:val="24"/>
          <w:szCs w:val="24"/>
        </w:rPr>
        <w:t>每门课程计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9"/>
          <w:sz w:val="24"/>
          <w:szCs w:val="24"/>
        </w:rPr>
        <w:t>26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9"/>
          <w:sz w:val="24"/>
          <w:szCs w:val="24"/>
        </w:rPr>
        <w:t>学时，</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9"/>
          <w:sz w:val="24"/>
          <w:szCs w:val="24"/>
        </w:rPr>
        <w:t>除美术鉴赏、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影视鉴赏、戏剧鉴赏、音乐鉴赏、戏曲鉴赏、</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舞蹈鉴赏、书法鉴赏、艺术导论等艺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术情趣类课程每门课程</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学分外，其余类别课程均为每门</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w:t>
      </w:r>
    </w:p>
    <w:p>
      <w:pPr>
        <w:spacing w:before="3" w:line="315" w:lineRule="auto"/>
        <w:ind w:left="14" w:right="18"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2、申报：</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素质通识课程由素质教育中心分学期分别组织申报、评审。素质教育</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中心每学期期末公布下个学期基本课程目录作为选课依据，各学院及其它部门组织</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具有教师资格的高水平教师按要求统一申报，</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7"/>
          <w:sz w:val="24"/>
          <w:szCs w:val="24"/>
        </w:rPr>
        <w:t>申报素质通识课程必须符合下列条件：</w:t>
      </w:r>
    </w:p>
    <w:p>
      <w:pPr>
        <w:spacing w:before="398" w:line="180" w:lineRule="auto"/>
        <w:ind w:firstLine="429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92</w:t>
      </w:r>
    </w:p>
    <w:p>
      <w:pPr>
        <w:sectPr>
          <w:footerReference r:id="rId96" w:type="default"/>
          <w:pgSz w:w="11905" w:h="16840"/>
          <w:pgMar w:top="1431" w:right="1492" w:bottom="400" w:left="1576" w:header="0" w:footer="0" w:gutter="0"/>
          <w:cols w:space="720" w:num="1"/>
        </w:sectPr>
      </w:pPr>
    </w:p>
    <w:p>
      <w:pPr>
        <w:spacing w:before="425" w:line="314" w:lineRule="auto"/>
        <w:ind w:left="4" w:right="9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①申报课程必须符合素质通识课程模块结构的分类范围和开设要求，鼓励教师</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6"/>
          <w:sz w:val="24"/>
          <w:szCs w:val="24"/>
        </w:rPr>
        <w:t>根据《吉首大学素质通识课程指南》</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（附件</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6"/>
          <w:sz w:val="24"/>
          <w:szCs w:val="24"/>
        </w:rPr>
        <w:t>1）选择申报课程，也可以自主申报。申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报课程具有系统的课程内容，完整的教学大纲，成熟的讲稿，可行的教学手段、方</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法和条件，符合素质通识课程的普识性、易受性和养成性的教育特点。各单位应按</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照学校素质通识选修课的要求，利用学科优势、专业优势、师资队伍优势挖掘素质</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通识课程资源，科学、合理地遴选一些具有普识性、易受性和养成性的课程。各学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院开课情况将作为年度教学管理工作考核指标之一。</w:t>
      </w:r>
    </w:p>
    <w:p>
      <w:pPr>
        <w:spacing w:before="11" w:line="278" w:lineRule="auto"/>
        <w:ind w:left="5" w:right="92"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②任课教师一般应具有教师资格的讲师以上（含讲师）职称，特殊人员申报素</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质通识课程必须素质教育领导小组批准。鼓励高职称、高学历、教学经验丰富的优</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秀教师申报素质通识选修课程，严格限制助教职称教师申报素质通识选修课程，以</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提高素质通识选修课的水平。</w:t>
      </w:r>
    </w:p>
    <w:p>
      <w:pPr>
        <w:spacing w:before="213" w:line="241" w:lineRule="auto"/>
        <w:ind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③一般应具有相应的学术专业教学基础，但不得以专业教学计划中开设的相同</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
          <w:sz w:val="24"/>
          <w:szCs w:val="24"/>
        </w:rPr>
        <w:t>课程申报素质通识课程，素质通识课程必须着眼于学生素质的养成。</w:t>
      </w:r>
    </w:p>
    <w:p>
      <w:pPr>
        <w:spacing w:before="214" w:line="239" w:lineRule="auto"/>
        <w:ind w:left="4" w:right="95"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④素质通识课程原则上每位教师一学期只能申报一门，特殊情况须报素质教育</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5"/>
          <w:sz w:val="24"/>
          <w:szCs w:val="24"/>
        </w:rPr>
        <w:t>领导小组批准。</w:t>
      </w:r>
    </w:p>
    <w:p>
      <w:pPr>
        <w:spacing w:before="216"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⑤承担过素质通识课程教学经历的教师，同等条件下优先批准开设。</w:t>
      </w:r>
    </w:p>
    <w:p>
      <w:pPr>
        <w:spacing w:before="19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⑥为拓展学生课程学习的空间，每学期开通数门网络通识课程供学生学习。</w:t>
      </w:r>
    </w:p>
    <w:p>
      <w:pPr>
        <w:spacing w:before="195" w:line="316" w:lineRule="auto"/>
        <w:ind w:left="4" w:right="93"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3、评审：</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素质通识课程首先由各学院及其他部门按学校要求进行初核后统一组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织申报，由素质教育中心组织专家评审合格后立项开设，并行文公示。</w:t>
      </w:r>
    </w:p>
    <w:p>
      <w:pPr>
        <w:spacing w:before="1" w:line="202"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4、教学管理与考核：</w:t>
      </w:r>
    </w:p>
    <w:p>
      <w:pPr>
        <w:spacing w:before="146" w:line="244" w:lineRule="auto"/>
        <w:ind w:left="3" w:right="9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①素质教育中心（张家界校区教务办）对审核通过的课程统一进行排课，并给</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各位任课老师下发教学任务书。</w:t>
      </w:r>
    </w:p>
    <w:p>
      <w:pPr>
        <w:spacing w:before="214" w:line="307" w:lineRule="auto"/>
        <w:ind w:left="3" w:firstLine="471"/>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②开设的素质通识选修课须有正式出版的教材，</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9"/>
          <w:sz w:val="24"/>
          <w:szCs w:val="24"/>
        </w:rPr>
        <w:t>如没有正式出版的教材可暂用自</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2"/>
          <w:sz w:val="24"/>
          <w:szCs w:val="24"/>
        </w:rPr>
        <w:t>编教材或讲义。严格禁止“无教学大纲”、</w:t>
      </w:r>
      <w:r>
        <w:rPr>
          <w:rFonts w:ascii="方正书宋简体" w:hAnsi="方正书宋简体" w:eastAsia="方正书宋简体" w:cs="方正书宋简体"/>
          <w:spacing w:val="68"/>
          <w:w w:val="101"/>
          <w:sz w:val="24"/>
          <w:szCs w:val="24"/>
        </w:rPr>
        <w:t xml:space="preserve"> </w:t>
      </w:r>
      <w:r>
        <w:rPr>
          <w:rFonts w:ascii="方正书宋简体" w:hAnsi="方正书宋简体" w:eastAsia="方正书宋简体" w:cs="方正书宋简体"/>
          <w:spacing w:val="-22"/>
          <w:sz w:val="24"/>
          <w:szCs w:val="24"/>
        </w:rPr>
        <w:t>“无教学计划”、</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22"/>
          <w:sz w:val="24"/>
          <w:szCs w:val="24"/>
        </w:rPr>
        <w:t>“无教案”的“三无”课程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进入素质通识课程课堂。</w:t>
      </w:r>
      <w:r>
        <w:rPr>
          <w:rFonts w:ascii="方正书宋简体" w:hAnsi="方正书宋简体" w:eastAsia="方正书宋简体" w:cs="方正书宋简体"/>
          <w:spacing w:val="67"/>
          <w:sz w:val="24"/>
          <w:szCs w:val="24"/>
        </w:rPr>
        <w:t xml:space="preserve"> </w:t>
      </w:r>
      <w:r>
        <w:rPr>
          <w:rFonts w:ascii="方正书宋简体" w:hAnsi="方正书宋简体" w:eastAsia="方正书宋简体" w:cs="方正书宋简体"/>
          <w:spacing w:val="-14"/>
          <w:sz w:val="24"/>
          <w:szCs w:val="24"/>
        </w:rPr>
        <w:t>每学期上课前，</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4"/>
          <w:sz w:val="24"/>
          <w:szCs w:val="24"/>
        </w:rPr>
        <w:t>任课教师应向素质教育中心提交授课计划书。</w:t>
      </w:r>
    </w:p>
    <w:p>
      <w:pPr>
        <w:spacing w:before="39" w:line="265" w:lineRule="auto"/>
        <w:ind w:left="3" w:right="2" w:firstLine="47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③任课老师调停课必须以书面形式提前向素质教育中心（张家界校区报校区教</w:t>
      </w:r>
      <w:r>
        <w:rPr>
          <w:rFonts w:ascii="方正书宋简体" w:hAnsi="方正书宋简体" w:eastAsia="方正书宋简体" w:cs="方正书宋简体"/>
          <w:spacing w:val="12"/>
          <w:w w:val="102"/>
          <w:sz w:val="24"/>
          <w:szCs w:val="24"/>
        </w:rPr>
        <w:t xml:space="preserve">  </w:t>
      </w:r>
      <w:r>
        <w:rPr>
          <w:rFonts w:ascii="方正书宋简体" w:hAnsi="方正书宋简体" w:eastAsia="方正书宋简体" w:cs="方正书宋简体"/>
          <w:spacing w:val="2"/>
          <w:sz w:val="24"/>
          <w:szCs w:val="24"/>
        </w:rPr>
        <w:t>务办）提出申请，经同意以后方可调停课。除特殊情况以外严禁临时以电话或者口</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头性的方式调停课。未经同意调停课的一律视为教学事故，</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按照学校有关规定处理。</w:t>
      </w:r>
    </w:p>
    <w:p>
      <w:pPr>
        <w:spacing w:before="214" w:line="316" w:lineRule="auto"/>
        <w:ind w:left="4" w:right="95"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④素质通识课程的任课老师应严格课堂纪律和考勤制度。选课学生必须按时参</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加所选课程的教学，按时完成作业和实验，参加考核。</w:t>
      </w:r>
    </w:p>
    <w:p>
      <w:pPr>
        <w:spacing w:before="322"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93</w:t>
      </w:r>
    </w:p>
    <w:p>
      <w:pPr>
        <w:sectPr>
          <w:footerReference r:id="rId97" w:type="default"/>
          <w:pgSz w:w="11905" w:h="16840"/>
          <w:pgMar w:top="1431" w:right="1493" w:bottom="400" w:left="1588" w:header="0" w:footer="0" w:gutter="0"/>
          <w:cols w:space="720" w:num="1"/>
        </w:sectPr>
      </w:pPr>
    </w:p>
    <w:p>
      <w:pPr>
        <w:spacing w:before="423" w:line="241" w:lineRule="auto"/>
        <w:ind w:left="15" w:right="3" w:firstLine="46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⑤每学期素质通识选修课考试结束后，任课教师应及时在教务管理信息系统登</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录学生成绩，并向素质教育中心（张家界校区教务办）提交学生成绩记分表。</w:t>
      </w:r>
    </w:p>
    <w:p>
      <w:pPr>
        <w:spacing w:before="216" w:line="313" w:lineRule="auto"/>
        <w:ind w:left="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⑥素质通识课程考核由素质教育中心负责组织实施，各学院也应将素质通识课</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程的管理纳入日常教学管理之中，进入本学院的年度教学工作计划，协同素质教育</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中心（张家界校区教务办）一起做好素质通识选修课的常规教学检查和考核。考核</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采取教学督导团专家听课、学生座谈、检查相关教学材料等方式进行。考核内容主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要包括：教师的教学计划、教学大纲、教材及其它教学资料是否完备；教师的教学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态度是否端正；教师的教学工作量完成情况；</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教师的教学方法是否得当；教师的教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学效果是否良好。</w:t>
      </w:r>
    </w:p>
    <w:p>
      <w:pPr>
        <w:spacing w:before="18" w:line="311" w:lineRule="auto"/>
        <w:ind w:right="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⑦考核等级：优秀、合格、不合格。考核以学期为单位，评优比例不超过学期</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z w:val="24"/>
          <w:szCs w:val="24"/>
        </w:rPr>
        <w:t>课程数的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z w:val="24"/>
          <w:szCs w:val="24"/>
        </w:rPr>
        <w:t xml:space="preserve">20%。考核结果将与课时酬金、课程申报、课程建设资助以及教材出版资 </w:t>
      </w:r>
      <w:r>
        <w:rPr>
          <w:rFonts w:ascii="方正书宋简体" w:hAnsi="方正书宋简体" w:eastAsia="方正书宋简体" w:cs="方正书宋简体"/>
          <w:spacing w:val="-5"/>
          <w:sz w:val="24"/>
          <w:szCs w:val="24"/>
        </w:rPr>
        <w:t>助等挂钩。</w:t>
      </w:r>
    </w:p>
    <w:p>
      <w:pPr>
        <w:spacing w:before="19" w:line="313" w:lineRule="auto"/>
        <w:ind w:left="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5、待遇：</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素质通识课程课时计入教师年度总课时量；</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素质通识课程课时酬金按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照优质优酬的原则，由素质教育中心按教师实际上课时数结合职称系数（教授</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1.4，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副教授</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6"/>
          <w:sz w:val="24"/>
          <w:szCs w:val="24"/>
        </w:rPr>
        <w:t>1.2，讲师</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1.0）、课程考核结果（评为优秀的课程在基本课酬基础上上浮</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6"/>
          <w:sz w:val="24"/>
          <w:szCs w:val="24"/>
        </w:rPr>
        <w:t>10</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w w:val="98"/>
          <w:sz w:val="24"/>
          <w:szCs w:val="24"/>
        </w:rPr>
        <w:t>元/节）、上课课时数进行发放；</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6"/>
          <w:w w:val="98"/>
          <w:sz w:val="24"/>
          <w:szCs w:val="24"/>
        </w:rPr>
        <w:t>素质通识课程享有同专业课程等其他课程一样的建设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待遇，学校对素质通识课程建设给予专项经费支持。</w:t>
      </w:r>
    </w:p>
    <w:p>
      <w:pPr>
        <w:spacing w:before="16" w:line="307" w:lineRule="auto"/>
        <w:ind w:left="1"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6、开设：</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素质通识课程按学年度分学期开设；</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每学期课程开设要充分考虑在校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学生的特点有所差别；鼓励教师按要求开设新的素质通识课程；素质通识课程教学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计划由素质教育中心编制公布，一经实行，不得随意更改。</w:t>
      </w:r>
    </w:p>
    <w:p>
      <w:pPr>
        <w:spacing w:before="28" w:line="187"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五、素质通识课程选修</w:t>
      </w:r>
    </w:p>
    <w:p>
      <w:pPr>
        <w:spacing w:before="138" w:line="315" w:lineRule="auto"/>
        <w:ind w:left="2" w:right="1"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1、素质通识课程进入各专业人才培养方案，</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学生通过学校教务管理信息系统进</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行网上选课。</w:t>
      </w:r>
    </w:p>
    <w:p>
      <w:pPr>
        <w:spacing w:before="3" w:line="315" w:lineRule="auto"/>
        <w:ind w:left="1" w:right="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2、非艺术专业学生在校期间必须选修满</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11</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2"/>
          <w:sz w:val="24"/>
          <w:szCs w:val="24"/>
        </w:rPr>
        <w:t>个以上学分的素质通识课程方可毕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业，</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0"/>
          <w:sz w:val="24"/>
          <w:szCs w:val="24"/>
        </w:rPr>
        <w:t>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人文精神类</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0"/>
          <w:sz w:val="24"/>
          <w:szCs w:val="24"/>
        </w:rPr>
        <w:t>3.5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学分（其中必须选修人文精神类中的艺术类属性课程并取得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2</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5"/>
          <w:sz w:val="24"/>
          <w:szCs w:val="24"/>
        </w:rPr>
        <w:t>个学分</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5"/>
          <w:sz w:val="24"/>
          <w:szCs w:val="24"/>
        </w:rPr>
        <w:t>科学素养类</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5"/>
          <w:sz w:val="24"/>
          <w:szCs w:val="24"/>
        </w:rPr>
        <w:t>3</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sz w:val="24"/>
          <w:szCs w:val="24"/>
        </w:rPr>
        <w:t>学分，创新能力类</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5"/>
          <w:sz w:val="24"/>
          <w:szCs w:val="24"/>
        </w:rPr>
        <w:t>3</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sz w:val="24"/>
          <w:szCs w:val="24"/>
        </w:rPr>
        <w:t>学分和本土特色课程</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5"/>
          <w:sz w:val="24"/>
          <w:szCs w:val="24"/>
        </w:rPr>
        <w:t>1.5</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sz w:val="24"/>
          <w:szCs w:val="24"/>
        </w:rPr>
        <w:t>学分。音乐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舞蹈学院、美术学院等艺术类专业学生只需修满</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
          <w:sz w:val="24"/>
          <w:szCs w:val="24"/>
        </w:rPr>
        <w:t>10.5</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
          <w:sz w:val="24"/>
          <w:szCs w:val="24"/>
        </w:rPr>
        <w:t>个学分即可毕业，即：人文精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神类</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学分（可修也可不修艺术类课程</w:t>
      </w:r>
      <w:r>
        <w:rPr>
          <w:rFonts w:ascii="方正书宋简体" w:hAnsi="方正书宋简体" w:eastAsia="方正书宋简体" w:cs="方正书宋简体"/>
          <w:spacing w:val="-91"/>
          <w:sz w:val="24"/>
          <w:szCs w:val="24"/>
        </w:rPr>
        <w:t>），</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9"/>
          <w:sz w:val="24"/>
          <w:szCs w:val="24"/>
        </w:rPr>
        <w:t>科学素养类</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学分，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创新能力类</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学分和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本土特色课程</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5"/>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5"/>
          <w:sz w:val="24"/>
          <w:szCs w:val="24"/>
        </w:rPr>
        <w:t>学分。</w:t>
      </w:r>
    </w:p>
    <w:p>
      <w:pPr>
        <w:spacing w:before="1" w:line="201"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3、专升本学生需修满</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门课程（课程类别、学分不做具体要求）</w:t>
      </w:r>
    </w:p>
    <w:p>
      <w:pPr>
        <w:spacing w:line="287" w:lineRule="auto"/>
        <w:rPr>
          <w:rFonts w:ascii="Malgun Gothic"/>
          <w:sz w:val="21"/>
        </w:rPr>
      </w:pPr>
    </w:p>
    <w:p>
      <w:pPr>
        <w:spacing w:before="52"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94</w:t>
      </w:r>
    </w:p>
    <w:p>
      <w:pPr>
        <w:sectPr>
          <w:footerReference r:id="rId98" w:type="default"/>
          <w:pgSz w:w="11905" w:h="16840"/>
          <w:pgMar w:top="1431" w:right="1585" w:bottom="400" w:left="1588" w:header="0" w:footer="0" w:gutter="0"/>
          <w:cols w:space="720" w:num="1"/>
        </w:sectPr>
      </w:pPr>
    </w:p>
    <w:p>
      <w:pPr>
        <w:spacing w:before="427"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4、毕业班学生第二学期禁止选修非网络课程。</w:t>
      </w:r>
    </w:p>
    <w:p>
      <w:pPr>
        <w:spacing w:before="192" w:line="312"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11"/>
          <w:sz w:val="24"/>
          <w:szCs w:val="24"/>
        </w:rPr>
        <w:t>网络通识课程选课方式与普通选课方式相同，</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1"/>
          <w:sz w:val="24"/>
          <w:szCs w:val="24"/>
        </w:rPr>
        <w:t>需在教务管理系统中进行选课。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学分按照学校素质通识课有关学分认定。网络通识课程不安排统一上课时间、地点，</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2"/>
          <w:sz w:val="24"/>
          <w:szCs w:val="24"/>
        </w:rPr>
        <w:t>学生根据自身时间，在课程开放时间内通过网络在线自主完成所有学习任务（含听</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7"/>
          <w:sz w:val="24"/>
          <w:szCs w:val="24"/>
        </w:rPr>
        <w:t>课、作业、讨论及问答、考试等）。</w:t>
      </w:r>
    </w:p>
    <w:p>
      <w:pPr>
        <w:spacing w:before="19" w:line="310" w:lineRule="auto"/>
        <w:ind w:left="2" w:right="9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6、学生参加各类竞赛和职业资格考试免修素质通识教育课程按照相关文件执</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行。免修学分的认定工作由素质教育中心负责，学生需提交免修申请表以及相关材</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6"/>
          <w:sz w:val="24"/>
          <w:szCs w:val="24"/>
        </w:rPr>
        <w:t>料复印件。</w:t>
      </w:r>
    </w:p>
    <w:p>
      <w:pPr>
        <w:spacing w:before="23" w:line="188"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7、每门课程必须有</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40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个学生选修方可开班。</w:t>
      </w:r>
    </w:p>
    <w:p>
      <w:pPr>
        <w:spacing w:before="167" w:line="282" w:lineRule="auto"/>
        <w:ind w:left="6"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六、</w:t>
      </w:r>
      <w:r>
        <w:rPr>
          <w:rFonts w:ascii="Microsoft JhengHei" w:hAnsi="Microsoft JhengHei" w:eastAsia="Microsoft JhengHei" w:cs="Microsoft JhengHei"/>
          <w:spacing w:val="19"/>
          <w:sz w:val="24"/>
          <w:szCs w:val="24"/>
        </w:rPr>
        <w:t xml:space="preserve">  </w:t>
      </w:r>
      <w:r>
        <w:rPr>
          <w:rFonts w:ascii="方正书宋简体" w:hAnsi="方正书宋简体" w:eastAsia="方正书宋简体" w:cs="方正书宋简体"/>
          <w:spacing w:val="-7"/>
          <w:sz w:val="24"/>
          <w:szCs w:val="24"/>
        </w:rPr>
        <w:t>张家界校区素质通识课程的申报、审核、</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教学与管理委托张家界校区教务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办按照本管理办法组织实施，其实施情况向素质教育中心报告备案。</w:t>
      </w:r>
    </w:p>
    <w:p>
      <w:pPr>
        <w:spacing w:before="11"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七、</w:t>
      </w:r>
      <w:r>
        <w:rPr>
          <w:rFonts w:ascii="Microsoft JhengHei" w:hAnsi="Microsoft JhengHei" w:eastAsia="Microsoft JhengHei" w:cs="Microsoft JhengHei"/>
          <w:spacing w:val="13"/>
          <w:w w:val="101"/>
          <w:sz w:val="24"/>
          <w:szCs w:val="24"/>
        </w:rPr>
        <w:t xml:space="preserve">  </w:t>
      </w:r>
      <w:r>
        <w:rPr>
          <w:rFonts w:ascii="方正书宋简体" w:hAnsi="方正书宋简体" w:eastAsia="方正书宋简体" w:cs="方正书宋简体"/>
          <w:spacing w:val="-11"/>
          <w:sz w:val="24"/>
          <w:szCs w:val="24"/>
        </w:rPr>
        <w:t>本管理办法修订后自</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sz w:val="24"/>
          <w:szCs w:val="24"/>
        </w:rPr>
        <w:t>2016</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sz w:val="24"/>
          <w:szCs w:val="24"/>
        </w:rPr>
        <w:t>年</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1"/>
          <w:sz w:val="24"/>
          <w:szCs w:val="24"/>
        </w:rPr>
        <w:t>9</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sz w:val="24"/>
          <w:szCs w:val="24"/>
        </w:rPr>
        <w:t>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1</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1"/>
          <w:sz w:val="24"/>
          <w:szCs w:val="24"/>
        </w:rPr>
        <w:t>日起开始施行。</w:t>
      </w: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line="245" w:lineRule="auto"/>
        <w:rPr>
          <w:rFonts w:ascii="Malgun Gothic"/>
          <w:sz w:val="21"/>
        </w:rPr>
      </w:pPr>
    </w:p>
    <w:p>
      <w:pPr>
        <w:spacing w:before="52"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95</w:t>
      </w:r>
    </w:p>
    <w:p>
      <w:pPr>
        <w:sectPr>
          <w:footerReference r:id="rId99" w:type="default"/>
          <w:pgSz w:w="11905" w:h="16840"/>
          <w:pgMar w:top="1431" w:right="1494" w:bottom="400" w:left="158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1：</w:t>
      </w:r>
    </w:p>
    <w:p>
      <w:pPr>
        <w:spacing w:before="112" w:line="180" w:lineRule="auto"/>
        <w:ind w:firstLine="2034"/>
        <w:rPr>
          <w:rFonts w:ascii="Microsoft JhengHei" w:hAnsi="Microsoft JhengHei" w:eastAsia="Microsoft JhengHei" w:cs="Microsoft JhengHei"/>
          <w:sz w:val="32"/>
          <w:szCs w:val="32"/>
        </w:rPr>
      </w:pPr>
      <w:r>
        <w:rPr>
          <w:rFonts w:ascii="Microsoft JhengHei" w:hAnsi="Microsoft JhengHei" w:eastAsia="Microsoft JhengHei" w:cs="Microsoft JhengHei"/>
          <w:spacing w:val="3"/>
          <w:sz w:val="32"/>
          <w:szCs w:val="32"/>
        </w:rPr>
        <w:t>《吉首大学素质通识课程指南》</w:t>
      </w:r>
    </w:p>
    <w:p>
      <w:pPr>
        <w:spacing w:line="76"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4"/>
        <w:gridCol w:w="1225"/>
        <w:gridCol w:w="4630"/>
        <w:gridCol w:w="1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2169" w:type="dxa"/>
            <w:gridSpan w:val="2"/>
            <w:tcBorders>
              <w:top w:val="single" w:color="000000" w:sz="6" w:space="0"/>
              <w:left w:val="single" w:color="000000" w:sz="6" w:space="0"/>
            </w:tcBorders>
            <w:vAlign w:val="top"/>
          </w:tcPr>
          <w:p>
            <w:pPr>
              <w:spacing w:before="63" w:line="180" w:lineRule="auto"/>
              <w:ind w:firstLine="773"/>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类</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7"/>
                <w:sz w:val="21"/>
                <w:szCs w:val="21"/>
              </w:rPr>
              <w:t>别</w:t>
            </w:r>
          </w:p>
        </w:tc>
        <w:tc>
          <w:tcPr>
            <w:tcW w:w="4630" w:type="dxa"/>
            <w:tcBorders>
              <w:top w:val="single" w:color="000000" w:sz="6" w:space="0"/>
            </w:tcBorders>
            <w:vAlign w:val="top"/>
          </w:tcPr>
          <w:p>
            <w:pPr>
              <w:spacing w:before="63" w:line="180" w:lineRule="auto"/>
              <w:ind w:firstLine="1898"/>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名</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5"/>
                <w:sz w:val="21"/>
                <w:szCs w:val="21"/>
              </w:rPr>
              <w:t>称</w:t>
            </w:r>
          </w:p>
        </w:tc>
        <w:tc>
          <w:tcPr>
            <w:tcW w:w="1935" w:type="dxa"/>
            <w:tcBorders>
              <w:top w:val="single" w:color="000000" w:sz="6" w:space="0"/>
              <w:right w:val="single" w:color="000000" w:sz="6" w:space="0"/>
            </w:tcBorders>
            <w:vAlign w:val="top"/>
          </w:tcPr>
          <w:p>
            <w:pPr>
              <w:spacing w:before="63" w:line="180" w:lineRule="auto"/>
              <w:ind w:firstLine="555"/>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学分要求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944" w:type="dxa"/>
            <w:vMerge w:val="restart"/>
            <w:tcBorders>
              <w:left w:val="single" w:color="000000" w:sz="6" w:space="0"/>
              <w:bottom w:val="nil"/>
            </w:tcBorders>
            <w:textDirection w:val="tbRlV"/>
            <w:vAlign w:val="top"/>
          </w:tcPr>
          <w:p>
            <w:pPr>
              <w:spacing w:before="365" w:line="180" w:lineRule="auto"/>
              <w:ind w:firstLine="12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人</w:t>
            </w:r>
            <w:r>
              <w:rPr>
                <w:rFonts w:ascii="方正书宋简体" w:hAnsi="方正书宋简体" w:eastAsia="方正书宋简体" w:cs="方正书宋简体"/>
                <w:spacing w:val="23"/>
                <w:w w:val="101"/>
                <w:sz w:val="21"/>
                <w:szCs w:val="21"/>
              </w:rPr>
              <w:t xml:space="preserve">  </w:t>
            </w:r>
            <w:r>
              <w:rPr>
                <w:rFonts w:ascii="方正书宋简体" w:hAnsi="方正书宋简体" w:eastAsia="方正书宋简体" w:cs="方正书宋简体"/>
                <w:spacing w:val="-12"/>
                <w:sz w:val="21"/>
                <w:szCs w:val="21"/>
              </w:rPr>
              <w:t>文</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12"/>
                <w:sz w:val="21"/>
                <w:szCs w:val="21"/>
              </w:rPr>
              <w:t>精</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2"/>
                <w:sz w:val="21"/>
                <w:szCs w:val="21"/>
              </w:rPr>
              <w:t>神</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12"/>
                <w:sz w:val="21"/>
                <w:szCs w:val="21"/>
              </w:rPr>
              <w:t>类</w:t>
            </w:r>
          </w:p>
        </w:tc>
        <w:tc>
          <w:tcPr>
            <w:tcW w:w="1225" w:type="dxa"/>
            <w:vAlign w:val="top"/>
          </w:tcPr>
          <w:p>
            <w:pPr>
              <w:spacing w:line="303" w:lineRule="auto"/>
              <w:rPr>
                <w:rFonts w:ascii="Malgun Gothic"/>
                <w:sz w:val="21"/>
              </w:rPr>
            </w:pPr>
          </w:p>
          <w:p>
            <w:pPr>
              <w:spacing w:before="75"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人文关怀</w:t>
            </w:r>
          </w:p>
        </w:tc>
        <w:tc>
          <w:tcPr>
            <w:tcW w:w="4630" w:type="dxa"/>
            <w:vAlign w:val="top"/>
          </w:tcPr>
          <w:p>
            <w:pPr>
              <w:spacing w:before="58" w:line="229" w:lineRule="auto"/>
              <w:ind w:left="104" w:right="95"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人类文明起源与发展、中国传统文化精髓讲析、</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z w:val="21"/>
                <w:szCs w:val="21"/>
              </w:rPr>
              <w:t>西方精神与价值、人类与环境、社会志工、难民</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z w:val="21"/>
                <w:szCs w:val="21"/>
              </w:rPr>
              <w:t>与救助、社会慈善、社会应急管理、全球化与文</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
                <w:sz w:val="21"/>
                <w:szCs w:val="21"/>
              </w:rPr>
              <w:t>化多样性</w:t>
            </w:r>
          </w:p>
        </w:tc>
        <w:tc>
          <w:tcPr>
            <w:tcW w:w="1935" w:type="dxa"/>
            <w:vMerge w:val="restart"/>
            <w:tcBorders>
              <w:bottom w:val="nil"/>
              <w:right w:val="single" w:color="000000" w:sz="6" w:space="0"/>
            </w:tcBorders>
            <w:vAlign w:val="top"/>
          </w:tcPr>
          <w:p>
            <w:pPr>
              <w:spacing w:line="248" w:lineRule="auto"/>
              <w:rPr>
                <w:rFonts w:ascii="Malgun Gothic"/>
                <w:sz w:val="21"/>
              </w:rPr>
            </w:pPr>
          </w:p>
          <w:p>
            <w:pPr>
              <w:spacing w:before="76" w:line="251" w:lineRule="auto"/>
              <w:ind w:left="125" w:right="119"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非艺术专业学生必</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选</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
                <w:sz w:val="21"/>
                <w:szCs w:val="21"/>
              </w:rPr>
              <w:t>3.5</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学分人文精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神类课程，其中必</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选</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2"/>
                <w:sz w:val="21"/>
                <w:szCs w:val="21"/>
              </w:rPr>
              <w:t>2</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2"/>
                <w:sz w:val="21"/>
                <w:szCs w:val="21"/>
              </w:rPr>
              <w:t>学分艺术类课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程（此类课程艺术</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类专业学生可选也</w:t>
            </w:r>
          </w:p>
          <w:p>
            <w:pPr>
              <w:spacing w:before="2" w:line="202"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sz w:val="21"/>
                <w:szCs w:val="21"/>
              </w:rPr>
              <w:t>可不选）。</w:t>
            </w:r>
          </w:p>
          <w:p>
            <w:pPr>
              <w:spacing w:before="80"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艺术类专业学生只</w:t>
            </w:r>
          </w:p>
          <w:p>
            <w:pPr>
              <w:spacing w:before="93" w:line="249" w:lineRule="auto"/>
              <w:ind w:left="337" w:right="119" w:hanging="21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需选</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3"/>
                <w:sz w:val="21"/>
                <w:szCs w:val="21"/>
              </w:rPr>
              <w:t>3</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学分的人文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精神类课程。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221"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人生修养</w:t>
            </w:r>
          </w:p>
        </w:tc>
        <w:tc>
          <w:tcPr>
            <w:tcW w:w="4630" w:type="dxa"/>
            <w:vAlign w:val="top"/>
          </w:tcPr>
          <w:p>
            <w:pPr>
              <w:spacing w:before="60" w:line="238" w:lineRule="auto"/>
              <w:ind w:left="103" w:right="9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孔孟儒学与人生修养、历史名人点评、公民道德</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
                <w:sz w:val="21"/>
                <w:szCs w:val="21"/>
              </w:rPr>
              <w:t>养成、交际礼仪、隐私保护、美育讲座</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380"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艺术情趣</w:t>
            </w:r>
          </w:p>
        </w:tc>
        <w:tc>
          <w:tcPr>
            <w:tcW w:w="4630" w:type="dxa"/>
            <w:vAlign w:val="top"/>
          </w:tcPr>
          <w:p>
            <w:pPr>
              <w:spacing w:before="66" w:line="221" w:lineRule="auto"/>
              <w:ind w:left="103" w:right="76"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文学作品鉴赏、花卉装饰与应用、民间艺术赏析、摄</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7"/>
                <w:sz w:val="21"/>
                <w:szCs w:val="21"/>
              </w:rPr>
              <w:t>影常识与艺术、美术鉴赏、影视鉴赏、戏剧鉴赏、音</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9"/>
                <w:sz w:val="21"/>
                <w:szCs w:val="21"/>
              </w:rPr>
              <w:t>乐鉴赏、戏曲鉴赏、舞蹈鉴赏、书法鉴赏、艺术导论</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944" w:type="dxa"/>
            <w:vMerge w:val="continue"/>
            <w:tcBorders>
              <w:top w:val="nil"/>
              <w:left w:val="single" w:color="000000" w:sz="6" w:space="0"/>
            </w:tcBorders>
            <w:textDirection w:val="tbRlV"/>
            <w:vAlign w:val="top"/>
          </w:tcPr>
          <w:p>
            <w:pPr>
              <w:rPr>
                <w:rFonts w:ascii="Malgun Gothic"/>
                <w:sz w:val="21"/>
              </w:rPr>
            </w:pPr>
          </w:p>
        </w:tc>
        <w:tc>
          <w:tcPr>
            <w:tcW w:w="1225" w:type="dxa"/>
            <w:vAlign w:val="top"/>
          </w:tcPr>
          <w:p>
            <w:pPr>
              <w:spacing w:before="379"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身心养成</w:t>
            </w:r>
          </w:p>
        </w:tc>
        <w:tc>
          <w:tcPr>
            <w:tcW w:w="4630" w:type="dxa"/>
            <w:vAlign w:val="top"/>
          </w:tcPr>
          <w:p>
            <w:pPr>
              <w:spacing w:before="65" w:line="246" w:lineRule="auto"/>
              <w:ind w:left="103" w:right="83" w:firstLine="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大学生心理健康指导、恋爱与婚姻、大学生生殖</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8"/>
                <w:sz w:val="21"/>
                <w:szCs w:val="21"/>
              </w:rPr>
              <w:t>健康教育、女工技艺（编织、针绣、剪纸）、中华女</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2"/>
                <w:sz w:val="21"/>
                <w:szCs w:val="21"/>
              </w:rPr>
              <w:t>性美育、形体与健康、瑜珈功修炼、人身防卫术</w:t>
            </w:r>
          </w:p>
        </w:tc>
        <w:tc>
          <w:tcPr>
            <w:tcW w:w="1935"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944" w:type="dxa"/>
            <w:vMerge w:val="restart"/>
            <w:tcBorders>
              <w:left w:val="single" w:color="000000" w:sz="6" w:space="0"/>
              <w:bottom w:val="nil"/>
            </w:tcBorders>
            <w:textDirection w:val="tbRlV"/>
            <w:vAlign w:val="top"/>
          </w:tcPr>
          <w:p>
            <w:pPr>
              <w:spacing w:before="365" w:line="180" w:lineRule="auto"/>
              <w:ind w:firstLine="732"/>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科</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9"/>
                <w:sz w:val="21"/>
                <w:szCs w:val="21"/>
              </w:rPr>
              <w:t>学</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素</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9"/>
                <w:sz w:val="21"/>
                <w:szCs w:val="21"/>
              </w:rPr>
              <w:t>养</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9"/>
                <w:sz w:val="21"/>
                <w:szCs w:val="21"/>
              </w:rPr>
              <w:t>类</w:t>
            </w:r>
          </w:p>
        </w:tc>
        <w:tc>
          <w:tcPr>
            <w:tcW w:w="1225" w:type="dxa"/>
            <w:vAlign w:val="top"/>
          </w:tcPr>
          <w:p>
            <w:pPr>
              <w:spacing w:before="380" w:line="180" w:lineRule="auto"/>
              <w:ind w:firstLine="1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科技基础</w:t>
            </w:r>
          </w:p>
        </w:tc>
        <w:tc>
          <w:tcPr>
            <w:tcW w:w="4630" w:type="dxa"/>
            <w:vAlign w:val="top"/>
          </w:tcPr>
          <w:p>
            <w:pPr>
              <w:spacing w:before="61" w:line="223" w:lineRule="auto"/>
              <w:ind w:left="102" w:right="95" w:firstLine="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进化论讲析、宇宙与人类起源、科学简史、当代</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
                <w:sz w:val="21"/>
                <w:szCs w:val="21"/>
              </w:rPr>
              <w:t>科学技术及实用技术讲座、重要科技发明讲析、</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
                <w:sz w:val="21"/>
                <w:szCs w:val="21"/>
              </w:rPr>
              <w:t>全球气候变化及影响</w:t>
            </w:r>
          </w:p>
        </w:tc>
        <w:tc>
          <w:tcPr>
            <w:tcW w:w="1935" w:type="dxa"/>
            <w:vMerge w:val="restart"/>
            <w:tcBorders>
              <w:bottom w:val="nil"/>
              <w:right w:val="single" w:color="000000" w:sz="6" w:space="0"/>
            </w:tcBorders>
            <w:vAlign w:val="top"/>
          </w:tcPr>
          <w:p>
            <w:pPr>
              <w:spacing w:line="336" w:lineRule="auto"/>
              <w:rPr>
                <w:rFonts w:ascii="Malgun Gothic"/>
                <w:sz w:val="21"/>
              </w:rPr>
            </w:pPr>
          </w:p>
          <w:p>
            <w:pPr>
              <w:spacing w:line="336" w:lineRule="auto"/>
              <w:rPr>
                <w:rFonts w:ascii="Malgun Gothic"/>
                <w:sz w:val="21"/>
              </w:rPr>
            </w:pPr>
          </w:p>
          <w:p>
            <w:pPr>
              <w:spacing w:before="75" w:line="180" w:lineRule="auto"/>
              <w:ind w:firstLine="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各专业学生必选</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
                <w:sz w:val="21"/>
                <w:szCs w:val="21"/>
              </w:rPr>
              <w:t>3</w:t>
            </w:r>
          </w:p>
          <w:p>
            <w:pPr>
              <w:spacing w:before="90"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学分科学素养类课</w:t>
            </w:r>
          </w:p>
          <w:p>
            <w:pPr>
              <w:spacing w:before="99" w:line="180" w:lineRule="auto"/>
              <w:ind w:firstLine="86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68" w:line="205" w:lineRule="auto"/>
              <w:ind w:left="295" w:right="192" w:hanging="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科学态度</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与方法</w:t>
            </w:r>
          </w:p>
        </w:tc>
        <w:tc>
          <w:tcPr>
            <w:tcW w:w="4630" w:type="dxa"/>
            <w:vAlign w:val="top"/>
          </w:tcPr>
          <w:p>
            <w:pPr>
              <w:spacing w:before="224"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生物多样性与人类生存、科技伦理、科技探秘</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68" w:line="206" w:lineRule="auto"/>
              <w:ind w:left="295" w:right="192" w:hanging="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科学精神</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与品质</w:t>
            </w:r>
          </w:p>
        </w:tc>
        <w:tc>
          <w:tcPr>
            <w:tcW w:w="4630" w:type="dxa"/>
            <w:vAlign w:val="top"/>
          </w:tcPr>
          <w:p>
            <w:pPr>
              <w:spacing w:before="224"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著名科学家的人生评价、科学精神与素质养成</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944" w:type="dxa"/>
            <w:vMerge w:val="continue"/>
            <w:tcBorders>
              <w:top w:val="nil"/>
              <w:left w:val="single" w:color="000000" w:sz="6" w:space="0"/>
            </w:tcBorders>
            <w:textDirection w:val="tbRlV"/>
            <w:vAlign w:val="top"/>
          </w:tcPr>
          <w:p>
            <w:pPr>
              <w:rPr>
                <w:rFonts w:ascii="Malgun Gothic"/>
                <w:sz w:val="21"/>
              </w:rPr>
            </w:pPr>
          </w:p>
        </w:tc>
        <w:tc>
          <w:tcPr>
            <w:tcW w:w="1225" w:type="dxa"/>
            <w:vAlign w:val="top"/>
          </w:tcPr>
          <w:p>
            <w:pPr>
              <w:spacing w:before="228" w:line="180" w:lineRule="auto"/>
              <w:ind w:firstLine="1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科学生活</w:t>
            </w:r>
          </w:p>
        </w:tc>
        <w:tc>
          <w:tcPr>
            <w:tcW w:w="4630" w:type="dxa"/>
            <w:vAlign w:val="top"/>
          </w:tcPr>
          <w:p>
            <w:pPr>
              <w:spacing w:before="71" w:line="207" w:lineRule="auto"/>
              <w:ind w:left="105" w:right="12"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科技与人类生活、意外伤害与救治、优生与优育、</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1"/>
                <w:sz w:val="21"/>
                <w:szCs w:val="21"/>
              </w:rPr>
              <w:t>生活中的科技常识、旅行与游息、营养与健康</w:t>
            </w:r>
          </w:p>
        </w:tc>
        <w:tc>
          <w:tcPr>
            <w:tcW w:w="1935"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944" w:type="dxa"/>
            <w:vMerge w:val="restart"/>
            <w:tcBorders>
              <w:left w:val="single" w:color="000000" w:sz="6" w:space="0"/>
              <w:bottom w:val="nil"/>
            </w:tcBorders>
            <w:textDirection w:val="tbRlV"/>
            <w:vAlign w:val="top"/>
          </w:tcPr>
          <w:p>
            <w:pPr>
              <w:spacing w:before="365" w:line="180" w:lineRule="auto"/>
              <w:ind w:firstLine="7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创</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1"/>
                <w:sz w:val="21"/>
                <w:szCs w:val="21"/>
              </w:rPr>
              <w:t>新</w:t>
            </w:r>
            <w:r>
              <w:rPr>
                <w:rFonts w:ascii="方正书宋简体" w:hAnsi="方正书宋简体" w:eastAsia="方正书宋简体" w:cs="方正书宋简体"/>
                <w:spacing w:val="18"/>
                <w:w w:val="101"/>
                <w:sz w:val="21"/>
                <w:szCs w:val="21"/>
              </w:rPr>
              <w:t xml:space="preserve">  </w:t>
            </w:r>
            <w:r>
              <w:rPr>
                <w:rFonts w:ascii="方正书宋简体" w:hAnsi="方正书宋简体" w:eastAsia="方正书宋简体" w:cs="方正书宋简体"/>
                <w:spacing w:val="-11"/>
                <w:sz w:val="21"/>
                <w:szCs w:val="21"/>
              </w:rPr>
              <w:t>能</w:t>
            </w:r>
            <w:r>
              <w:rPr>
                <w:rFonts w:ascii="方正书宋简体" w:hAnsi="方正书宋简体" w:eastAsia="方正书宋简体" w:cs="方正书宋简体"/>
                <w:spacing w:val="18"/>
                <w:w w:val="101"/>
                <w:sz w:val="21"/>
                <w:szCs w:val="21"/>
              </w:rPr>
              <w:t xml:space="preserve">  </w:t>
            </w:r>
            <w:r>
              <w:rPr>
                <w:rFonts w:ascii="方正书宋简体" w:hAnsi="方正书宋简体" w:eastAsia="方正书宋简体" w:cs="方正书宋简体"/>
                <w:spacing w:val="-11"/>
                <w:sz w:val="21"/>
                <w:szCs w:val="21"/>
              </w:rPr>
              <w:t>力</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1"/>
                <w:sz w:val="21"/>
                <w:szCs w:val="21"/>
              </w:rPr>
              <w:t>类</w:t>
            </w:r>
          </w:p>
        </w:tc>
        <w:tc>
          <w:tcPr>
            <w:tcW w:w="1225" w:type="dxa"/>
            <w:vAlign w:val="top"/>
          </w:tcPr>
          <w:p>
            <w:pPr>
              <w:spacing w:before="227"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创新思维</w:t>
            </w:r>
          </w:p>
        </w:tc>
        <w:tc>
          <w:tcPr>
            <w:tcW w:w="4630" w:type="dxa"/>
            <w:vAlign w:val="top"/>
          </w:tcPr>
          <w:p>
            <w:pPr>
              <w:spacing w:before="72" w:line="205" w:lineRule="auto"/>
              <w:ind w:left="118" w:right="12" w:hanging="1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逻辑理论与方法、创新思维方法、哲学思维训练、</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3"/>
                <w:sz w:val="21"/>
                <w:szCs w:val="21"/>
              </w:rPr>
              <w:t>当代思维科学概论</w:t>
            </w:r>
          </w:p>
        </w:tc>
        <w:tc>
          <w:tcPr>
            <w:tcW w:w="1935" w:type="dxa"/>
            <w:vMerge w:val="restart"/>
            <w:tcBorders>
              <w:bottom w:val="nil"/>
              <w:right w:val="single" w:color="000000" w:sz="6" w:space="0"/>
            </w:tcBorders>
            <w:vAlign w:val="top"/>
          </w:tcPr>
          <w:p>
            <w:pPr>
              <w:spacing w:line="337" w:lineRule="auto"/>
              <w:rPr>
                <w:rFonts w:ascii="Malgun Gothic"/>
                <w:sz w:val="21"/>
              </w:rPr>
            </w:pPr>
          </w:p>
          <w:p>
            <w:pPr>
              <w:spacing w:line="338" w:lineRule="auto"/>
              <w:rPr>
                <w:rFonts w:ascii="Malgun Gothic"/>
                <w:sz w:val="21"/>
              </w:rPr>
            </w:pPr>
          </w:p>
          <w:p>
            <w:pPr>
              <w:spacing w:before="75" w:line="180" w:lineRule="auto"/>
              <w:ind w:firstLine="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各专业学生必选</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
                <w:sz w:val="21"/>
                <w:szCs w:val="21"/>
              </w:rPr>
              <w:t>3</w:t>
            </w:r>
          </w:p>
          <w:p>
            <w:pPr>
              <w:spacing w:before="90"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学分创新能力类课</w:t>
            </w:r>
          </w:p>
          <w:p>
            <w:pPr>
              <w:spacing w:before="98" w:line="180" w:lineRule="auto"/>
              <w:ind w:firstLine="86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229"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创新理论</w:t>
            </w:r>
          </w:p>
        </w:tc>
        <w:tc>
          <w:tcPr>
            <w:tcW w:w="4630" w:type="dxa"/>
            <w:vAlign w:val="top"/>
          </w:tcPr>
          <w:p>
            <w:pPr>
              <w:spacing w:before="72" w:line="207" w:lineRule="auto"/>
              <w:ind w:left="103" w:right="8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创新理论概述、社会调查方法、大学生学习方法与</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2"/>
                <w:sz w:val="21"/>
                <w:szCs w:val="21"/>
              </w:rPr>
              <w:t>技能讲析、社会实践常识与能力训练、发现与发明</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230"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创新研究</w:t>
            </w:r>
          </w:p>
        </w:tc>
        <w:tc>
          <w:tcPr>
            <w:tcW w:w="4630" w:type="dxa"/>
            <w:vAlign w:val="top"/>
          </w:tcPr>
          <w:p>
            <w:pPr>
              <w:spacing w:before="73" w:line="206" w:lineRule="auto"/>
              <w:ind w:left="102" w:right="9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世界著名创新案例分析、课题设计与研究、科研</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
                <w:sz w:val="21"/>
                <w:szCs w:val="21"/>
              </w:rPr>
              <w:t>论文写作方法、中外企业案例剖析</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trPr>
        <w:tc>
          <w:tcPr>
            <w:tcW w:w="944" w:type="dxa"/>
            <w:vMerge w:val="continue"/>
            <w:tcBorders>
              <w:top w:val="nil"/>
              <w:left w:val="single" w:color="000000" w:sz="6" w:space="0"/>
            </w:tcBorders>
            <w:textDirection w:val="tbRlV"/>
            <w:vAlign w:val="top"/>
          </w:tcPr>
          <w:p>
            <w:pPr>
              <w:rPr>
                <w:rFonts w:ascii="Malgun Gothic"/>
                <w:sz w:val="21"/>
              </w:rPr>
            </w:pPr>
          </w:p>
        </w:tc>
        <w:tc>
          <w:tcPr>
            <w:tcW w:w="1225" w:type="dxa"/>
            <w:vAlign w:val="top"/>
          </w:tcPr>
          <w:p>
            <w:pPr>
              <w:spacing w:before="389"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创新实践</w:t>
            </w:r>
          </w:p>
        </w:tc>
        <w:tc>
          <w:tcPr>
            <w:tcW w:w="4630" w:type="dxa"/>
            <w:vAlign w:val="top"/>
          </w:tcPr>
          <w:p>
            <w:pPr>
              <w:spacing w:before="74" w:line="221" w:lineRule="auto"/>
              <w:ind w:left="105" w:right="12"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大学生就业指导、人生规划与实践、投资与理财、</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z w:val="21"/>
                <w:szCs w:val="21"/>
              </w:rPr>
              <w:t>速记训练、求职与应聘、实用文书写作、口头表</w:t>
            </w:r>
            <w:r>
              <w:rPr>
                <w:rFonts w:ascii="方正书宋简体" w:hAnsi="方正书宋简体" w:eastAsia="方正书宋简体" w:cs="方正书宋简体"/>
                <w:spacing w:val="2"/>
                <w:w w:val="102"/>
                <w:sz w:val="21"/>
                <w:szCs w:val="21"/>
              </w:rPr>
              <w:t xml:space="preserve">   </w:t>
            </w:r>
            <w:r>
              <w:rPr>
                <w:rFonts w:ascii="方正书宋简体" w:hAnsi="方正书宋简体" w:eastAsia="方正书宋简体" w:cs="方正书宋简体"/>
                <w:spacing w:val="-1"/>
                <w:sz w:val="21"/>
                <w:szCs w:val="21"/>
              </w:rPr>
              <w:t>达能力训练、外语应用能力训练</w:t>
            </w:r>
          </w:p>
        </w:tc>
        <w:tc>
          <w:tcPr>
            <w:tcW w:w="1935"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944" w:type="dxa"/>
            <w:vMerge w:val="restart"/>
            <w:tcBorders>
              <w:left w:val="single" w:color="000000" w:sz="6" w:space="0"/>
              <w:bottom w:val="nil"/>
            </w:tcBorders>
            <w:textDirection w:val="tbRlV"/>
            <w:vAlign w:val="top"/>
          </w:tcPr>
          <w:p>
            <w:pPr>
              <w:spacing w:before="365"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本</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15"/>
                <w:sz w:val="21"/>
                <w:szCs w:val="21"/>
              </w:rPr>
              <w:t>土</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5"/>
                <w:sz w:val="21"/>
                <w:szCs w:val="21"/>
              </w:rPr>
              <w:t>特</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15"/>
                <w:sz w:val="21"/>
                <w:szCs w:val="21"/>
              </w:rPr>
              <w:t>色</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5"/>
                <w:sz w:val="21"/>
                <w:szCs w:val="21"/>
              </w:rPr>
              <w:t>类</w:t>
            </w:r>
          </w:p>
        </w:tc>
        <w:tc>
          <w:tcPr>
            <w:tcW w:w="1225" w:type="dxa"/>
            <w:vAlign w:val="top"/>
          </w:tcPr>
          <w:p>
            <w:pPr>
              <w:spacing w:before="73" w:line="180" w:lineRule="auto"/>
              <w:ind w:firstLine="20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民族概况</w:t>
            </w:r>
          </w:p>
        </w:tc>
        <w:tc>
          <w:tcPr>
            <w:tcW w:w="4630" w:type="dxa"/>
            <w:vAlign w:val="top"/>
          </w:tcPr>
          <w:p>
            <w:pPr>
              <w:spacing w:before="73" w:line="180" w:lineRule="auto"/>
              <w:ind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中国民族概论</w:t>
            </w:r>
          </w:p>
        </w:tc>
        <w:tc>
          <w:tcPr>
            <w:tcW w:w="1935" w:type="dxa"/>
            <w:vMerge w:val="restart"/>
            <w:tcBorders>
              <w:bottom w:val="nil"/>
              <w:right w:val="single" w:color="000000" w:sz="6" w:space="0"/>
            </w:tcBorders>
            <w:vAlign w:val="top"/>
          </w:tcPr>
          <w:p>
            <w:pPr>
              <w:spacing w:line="262" w:lineRule="auto"/>
              <w:rPr>
                <w:rFonts w:ascii="Malgun Gothic"/>
                <w:sz w:val="21"/>
              </w:rPr>
            </w:pPr>
          </w:p>
          <w:p>
            <w:pPr>
              <w:spacing w:before="76" w:line="180" w:lineRule="auto"/>
              <w:ind w:firstLine="2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各专业学生必选</w:t>
            </w:r>
          </w:p>
          <w:p>
            <w:pPr>
              <w:spacing w:before="90" w:line="180" w:lineRule="auto"/>
              <w:ind w:firstLine="20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1.5</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4"/>
                <w:sz w:val="21"/>
                <w:szCs w:val="21"/>
              </w:rPr>
              <w:t>学分本土特色</w:t>
            </w:r>
          </w:p>
          <w:p>
            <w:pPr>
              <w:spacing w:before="89" w:line="180" w:lineRule="auto"/>
              <w:ind w:firstLine="65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77"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宗教问题</w:t>
            </w:r>
          </w:p>
        </w:tc>
        <w:tc>
          <w:tcPr>
            <w:tcW w:w="4630" w:type="dxa"/>
            <w:vAlign w:val="top"/>
          </w:tcPr>
          <w:p>
            <w:pPr>
              <w:spacing w:before="74"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世界民族与宗教</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944" w:type="dxa"/>
            <w:vMerge w:val="continue"/>
            <w:tcBorders>
              <w:top w:val="nil"/>
              <w:left w:val="single" w:color="000000" w:sz="6" w:space="0"/>
              <w:bottom w:val="nil"/>
            </w:tcBorders>
            <w:textDirection w:val="tbRlV"/>
            <w:vAlign w:val="top"/>
          </w:tcPr>
          <w:p>
            <w:pPr>
              <w:rPr>
                <w:rFonts w:ascii="Malgun Gothic"/>
                <w:sz w:val="21"/>
              </w:rPr>
            </w:pPr>
          </w:p>
        </w:tc>
        <w:tc>
          <w:tcPr>
            <w:tcW w:w="1225" w:type="dxa"/>
            <w:vAlign w:val="top"/>
          </w:tcPr>
          <w:p>
            <w:pPr>
              <w:spacing w:before="81" w:line="204" w:lineRule="auto"/>
              <w:ind w:left="296" w:right="192" w:hanging="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地方历史</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与文化</w:t>
            </w:r>
          </w:p>
        </w:tc>
        <w:tc>
          <w:tcPr>
            <w:tcW w:w="4630" w:type="dxa"/>
            <w:vAlign w:val="top"/>
          </w:tcPr>
          <w:p>
            <w:pPr>
              <w:spacing w:before="75" w:line="208" w:lineRule="auto"/>
              <w:ind w:left="102" w:right="95" w:firstLine="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神秘湘西文化、巫傩文化与艺术、湘西名人与名</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
                <w:sz w:val="21"/>
                <w:szCs w:val="21"/>
              </w:rPr>
              <w:t>镇、占卜与八卦、预测与迷信</w:t>
            </w:r>
          </w:p>
        </w:tc>
        <w:tc>
          <w:tcPr>
            <w:tcW w:w="1935"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44" w:type="dxa"/>
            <w:vMerge w:val="continue"/>
            <w:tcBorders>
              <w:top w:val="nil"/>
              <w:left w:val="single" w:color="000000" w:sz="6" w:space="0"/>
              <w:bottom w:val="single" w:color="000000" w:sz="6" w:space="0"/>
            </w:tcBorders>
            <w:textDirection w:val="tbRlV"/>
            <w:vAlign w:val="top"/>
          </w:tcPr>
          <w:p>
            <w:pPr>
              <w:rPr>
                <w:rFonts w:ascii="Malgun Gothic"/>
                <w:sz w:val="21"/>
              </w:rPr>
            </w:pPr>
          </w:p>
        </w:tc>
        <w:tc>
          <w:tcPr>
            <w:tcW w:w="1225" w:type="dxa"/>
            <w:tcBorders>
              <w:bottom w:val="single" w:color="000000" w:sz="6" w:space="0"/>
            </w:tcBorders>
            <w:vAlign w:val="top"/>
          </w:tcPr>
          <w:p>
            <w:pPr>
              <w:spacing w:before="78"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学校传统</w:t>
            </w:r>
          </w:p>
        </w:tc>
        <w:tc>
          <w:tcPr>
            <w:tcW w:w="4630" w:type="dxa"/>
            <w:tcBorders>
              <w:bottom w:val="single" w:color="000000" w:sz="6" w:space="0"/>
            </w:tcBorders>
            <w:vAlign w:val="top"/>
          </w:tcPr>
          <w:p>
            <w:pPr>
              <w:spacing w:before="78"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吉大传统与精神</w:t>
            </w:r>
          </w:p>
        </w:tc>
        <w:tc>
          <w:tcPr>
            <w:tcW w:w="1935" w:type="dxa"/>
            <w:vMerge w:val="continue"/>
            <w:tcBorders>
              <w:top w:val="nil"/>
              <w:bottom w:val="single" w:color="000000" w:sz="6" w:space="0"/>
              <w:right w:val="single" w:color="000000" w:sz="6" w:space="0"/>
            </w:tcBorders>
            <w:vAlign w:val="top"/>
          </w:tcPr>
          <w:p>
            <w:pPr>
              <w:rPr>
                <w:rFonts w:ascii="Malgun Gothic"/>
                <w:sz w:val="21"/>
              </w:rPr>
            </w:pPr>
          </w:p>
        </w:tc>
      </w:tr>
    </w:tbl>
    <w:p>
      <w:pPr>
        <w:spacing w:line="356" w:lineRule="auto"/>
        <w:rPr>
          <w:rFonts w:ascii="Malgun Gothic"/>
          <w:sz w:val="21"/>
        </w:rPr>
      </w:pPr>
    </w:p>
    <w:p>
      <w:pPr>
        <w:spacing w:before="52" w:line="180" w:lineRule="auto"/>
        <w:ind w:firstLine="4292"/>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96</w:t>
      </w:r>
    </w:p>
    <w:p>
      <w:pPr>
        <w:sectPr>
          <w:footerReference r:id="rId100" w:type="default"/>
          <w:pgSz w:w="11905" w:h="16840"/>
          <w:pgMar w:top="1431" w:right="1577" w:bottom="400" w:left="1578" w:header="0" w:footer="0" w:gutter="0"/>
          <w:cols w:space="720" w:num="1"/>
        </w:sectPr>
      </w:pPr>
    </w:p>
    <w:p>
      <w:pPr>
        <w:spacing w:before="349" w:line="180" w:lineRule="auto"/>
        <w:ind w:firstLine="11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吉首大学本科生创新实践学分认定与管理办法</w:t>
      </w:r>
    </w:p>
    <w:p>
      <w:pPr>
        <w:spacing w:before="110" w:line="184" w:lineRule="auto"/>
        <w:ind w:firstLine="3821"/>
        <w:rPr>
          <w:rFonts w:ascii="楷体" w:hAnsi="楷体" w:eastAsia="楷体" w:cs="楷体"/>
          <w:sz w:val="24"/>
          <w:szCs w:val="24"/>
        </w:rPr>
      </w:pPr>
      <w:r>
        <w:rPr>
          <w:rFonts w:ascii="楷体" w:hAnsi="楷体" w:eastAsia="楷体" w:cs="楷体"/>
          <w:sz w:val="24"/>
          <w:szCs w:val="24"/>
        </w:rPr>
        <w:t>（试行）</w:t>
      </w:r>
    </w:p>
    <w:p>
      <w:pPr>
        <w:spacing w:line="361" w:lineRule="auto"/>
        <w:rPr>
          <w:rFonts w:ascii="Malgun Gothic"/>
          <w:sz w:val="21"/>
        </w:rPr>
      </w:pPr>
    </w:p>
    <w:p>
      <w:pPr>
        <w:spacing w:before="1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right="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为了倡导和鼓励大学生个性发展，积极参与科学研究、技术开发、学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科竞赛、自主创业、文学艺术创作及各类社会实践活动，激发和培养大学生的创新</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精神、创业意识和实践能力，提高大学生人文素养、科学素质和艺术修养，经学校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研究决定，在本科学生中设立创新实践学分。</w:t>
      </w:r>
    </w:p>
    <w:p>
      <w:pPr>
        <w:spacing w:before="205" w:line="265" w:lineRule="auto"/>
        <w:ind w:right="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创新实践学分是指全日制本科学生在校期间，以我校学生名义参加课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外创新实践活动并获得成果者，按本办法规定获得的学分，在满足人才培养方案规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定的创新实践学分以后，超出学分可以替代相应的通识选修课程学分和专业选修课</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程学分。</w:t>
      </w:r>
    </w:p>
    <w:p>
      <w:pPr>
        <w:spacing w:before="202" w:line="275" w:lineRule="auto"/>
        <w:ind w:left="2" w:right="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第三条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4"/>
          <w:sz w:val="24"/>
          <w:szCs w:val="24"/>
        </w:rPr>
        <w:t>创新实践学分实行分类管理与认定，</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4"/>
          <w:sz w:val="24"/>
          <w:szCs w:val="24"/>
        </w:rPr>
        <w:t>根据学生在不同类别的创新实践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活动中所取得的成绩，给予不同的学分。创新实践学分根据相关管理规定可以抵修</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不同类别模块的通识选修课程或者专业选修课程，所得学分没有达到课程学分数的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不予抵修。但抵修通识选修课程或者专业选修课程门数，每个类别最多不能超过两</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门（含两门）。</w:t>
      </w:r>
    </w:p>
    <w:p>
      <w:pPr>
        <w:spacing w:before="208" w:line="180" w:lineRule="auto"/>
        <w:ind w:firstLine="275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创新实践学分的构成</w:t>
      </w:r>
    </w:p>
    <w:p>
      <w:pPr>
        <w:spacing w:before="138" w:line="282" w:lineRule="auto"/>
        <w:ind w:left="3" w:right="7"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第四条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7"/>
          <w:sz w:val="24"/>
          <w:szCs w:val="24"/>
        </w:rPr>
        <w:t>创新实践学分由“科技创新学分”、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“专业技能学分”和“社会实践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学分”三部分构成。</w:t>
      </w:r>
    </w:p>
    <w:p>
      <w:pPr>
        <w:spacing w:before="22"/>
        <w:ind w:firstLine="35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“科技创新学分”是指参加科技活动获奖、主持研究项目、公开发表学术论著、</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研究成果获奖、获国家专利等所获得的相应学分。</w:t>
      </w:r>
    </w:p>
    <w:p>
      <w:pPr>
        <w:spacing w:before="215"/>
        <w:ind w:left="7" w:right="7"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“专业技能学分”是指参加学科竞赛，</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6"/>
          <w:sz w:val="24"/>
          <w:szCs w:val="24"/>
        </w:rPr>
        <w:t>获校级及其以上奖励和获得各类国家职业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资格证书或专业技术（执业）资格证书所获得的相应学分。</w:t>
      </w:r>
    </w:p>
    <w:p>
      <w:pPr>
        <w:spacing w:before="216" w:line="180" w:lineRule="auto"/>
        <w:ind w:firstLine="35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“社会实践学分”是指参加各类社会实践活动而获得的相应学分。</w:t>
      </w:r>
    </w:p>
    <w:p>
      <w:pPr>
        <w:spacing w:before="181" w:line="450" w:lineRule="exact"/>
        <w:ind w:firstLine="23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第三章</w:t>
      </w:r>
      <w:r>
        <w:rPr>
          <w:rFonts w:ascii="Microsoft JhengHei" w:hAnsi="Microsoft JhengHei" w:eastAsia="Microsoft JhengHei" w:cs="Microsoft JhengHei"/>
          <w:spacing w:val="3"/>
          <w:position w:val="12"/>
          <w:sz w:val="24"/>
          <w:szCs w:val="24"/>
        </w:rPr>
        <w:t xml:space="preserve">      </w:t>
      </w:r>
      <w:r>
        <w:rPr>
          <w:rFonts w:ascii="Microsoft JhengHei" w:hAnsi="Microsoft JhengHei" w:eastAsia="Microsoft JhengHei" w:cs="Microsoft JhengHei"/>
          <w:spacing w:val="-2"/>
          <w:position w:val="12"/>
          <w:sz w:val="24"/>
          <w:szCs w:val="24"/>
        </w:rPr>
        <w:t>科技创新学分的认定与计算</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第五条</w:t>
      </w:r>
      <w:r>
        <w:rPr>
          <w:rFonts w:ascii="Microsoft JhengHei" w:hAnsi="Microsoft JhengHei" w:eastAsia="Microsoft JhengHei" w:cs="Microsoft JhengHei"/>
          <w:spacing w:val="25"/>
          <w:sz w:val="24"/>
          <w:szCs w:val="24"/>
        </w:rPr>
        <w:t xml:space="preserve">   </w:t>
      </w:r>
      <w:r>
        <w:rPr>
          <w:rFonts w:ascii="方正书宋简体" w:hAnsi="方正书宋简体" w:eastAsia="方正书宋简体" w:cs="方正书宋简体"/>
          <w:spacing w:val="-8"/>
          <w:sz w:val="24"/>
          <w:szCs w:val="24"/>
        </w:rPr>
        <w:t>“科技创新学分”的认定范围及其标准。</w:t>
      </w:r>
    </w:p>
    <w:p>
      <w:pPr>
        <w:spacing w:before="106" w:line="307" w:lineRule="auto"/>
        <w:ind w:left="1" w:right="5"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1、科研获奖。研究成果获获得国家级成果一、二等奖，</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2"/>
          <w:sz w:val="24"/>
          <w:szCs w:val="24"/>
        </w:rPr>
        <w:t>分别计</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2"/>
          <w:sz w:val="24"/>
          <w:szCs w:val="24"/>
        </w:rPr>
        <w:t>10、8</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学分；</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2"/>
          <w:sz w:val="24"/>
          <w:szCs w:val="24"/>
        </w:rPr>
        <w:t>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得省（部）</w:t>
      </w:r>
      <w:r>
        <w:rPr>
          <w:rFonts w:ascii="方正书宋简体" w:hAnsi="方正书宋简体" w:eastAsia="方正书宋简体" w:cs="方正书宋简体"/>
          <w:spacing w:val="71"/>
          <w:w w:val="101"/>
          <w:sz w:val="24"/>
          <w:szCs w:val="24"/>
        </w:rPr>
        <w:t xml:space="preserve"> </w:t>
      </w:r>
      <w:r>
        <w:rPr>
          <w:rFonts w:ascii="方正书宋简体" w:hAnsi="方正书宋简体" w:eastAsia="方正书宋简体" w:cs="方正书宋简体"/>
          <w:spacing w:val="-13"/>
          <w:sz w:val="24"/>
          <w:szCs w:val="24"/>
        </w:rPr>
        <w:t>级成果一、二、三等奖以及优秀奖，</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3"/>
          <w:sz w:val="24"/>
          <w:szCs w:val="24"/>
        </w:rPr>
        <w:t>分别计</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3"/>
          <w:sz w:val="24"/>
          <w:szCs w:val="24"/>
        </w:rPr>
        <w:t>8、6、4、2</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3"/>
          <w:sz w:val="24"/>
          <w:szCs w:val="24"/>
        </w:rPr>
        <w:t>学分；</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3"/>
          <w:sz w:val="24"/>
          <w:szCs w:val="24"/>
        </w:rPr>
        <w:t>校级科研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成果一、二、三等奖者，分别计</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5、3、2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学分。</w:t>
      </w:r>
    </w:p>
    <w:p>
      <w:pPr>
        <w:spacing w:before="362" w:line="180" w:lineRule="auto"/>
        <w:ind w:firstLine="427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97</w:t>
      </w:r>
    </w:p>
    <w:p>
      <w:pPr>
        <w:sectPr>
          <w:footerReference r:id="rId101" w:type="default"/>
          <w:pgSz w:w="11905" w:h="16840"/>
          <w:pgMar w:top="1431" w:right="1580" w:bottom="400" w:left="1590" w:header="0" w:footer="0" w:gutter="0"/>
          <w:cols w:space="720" w:num="1"/>
        </w:sectPr>
      </w:pPr>
    </w:p>
    <w:p>
      <w:pPr>
        <w:spacing w:before="428" w:line="310" w:lineRule="auto"/>
        <w:ind w:left="150" w:right="93" w:firstLine="46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2、科研项目。主持并完成国家级项目和省部级重大项目计</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学分，</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省级一般项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目计</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2"/>
          <w:sz w:val="24"/>
          <w:szCs w:val="24"/>
        </w:rPr>
        <w:t>4</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分；校级重点项目和横向项目计</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学分；校级科研项目（含大学生研究性学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习与创新性实验项目、大学生德育实践项目）计</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学分。没有结题的项目不计分。</w:t>
      </w:r>
    </w:p>
    <w:p>
      <w:pPr>
        <w:spacing w:before="19" w:line="311" w:lineRule="auto"/>
        <w:ind w:left="133"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3、学术论文及作品。以第一作者身份公开发表学术论文，</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7"/>
          <w:sz w:val="24"/>
          <w:szCs w:val="24"/>
        </w:rPr>
        <w:t>学校规定的</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7"/>
          <w:sz w:val="24"/>
          <w:szCs w:val="24"/>
        </w:rPr>
        <w:t>类刊物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论文每篇计</w:t>
      </w:r>
      <w:r>
        <w:rPr>
          <w:rFonts w:ascii="方正书宋简体" w:hAnsi="方正书宋简体" w:eastAsia="方正书宋简体" w:cs="方正书宋简体"/>
          <w:spacing w:val="69"/>
          <w:w w:val="101"/>
          <w:sz w:val="24"/>
          <w:szCs w:val="24"/>
        </w:rPr>
        <w:t xml:space="preserve"> </w:t>
      </w:r>
      <w:r>
        <w:rPr>
          <w:rFonts w:ascii="方正书宋简体" w:hAnsi="方正书宋简体" w:eastAsia="方正书宋简体" w:cs="方正书宋简体"/>
          <w:spacing w:val="-3"/>
          <w:sz w:val="24"/>
          <w:szCs w:val="24"/>
        </w:rPr>
        <w:t>10</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学分；B</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3"/>
          <w:sz w:val="24"/>
          <w:szCs w:val="24"/>
        </w:rPr>
        <w:t>类刊物论文计</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8</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学分；C</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类刊物论文计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6</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学分；D</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3"/>
          <w:sz w:val="24"/>
          <w:szCs w:val="24"/>
        </w:rPr>
        <w:t>类刊物论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文计</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1"/>
          <w:w w:val="98"/>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8"/>
          <w:sz w:val="24"/>
          <w:szCs w:val="24"/>
        </w:rPr>
        <w:t>学分；</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1"/>
          <w:w w:val="98"/>
          <w:sz w:val="24"/>
          <w:szCs w:val="24"/>
        </w:rPr>
        <w:t>E</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8"/>
          <w:sz w:val="24"/>
          <w:szCs w:val="24"/>
        </w:rPr>
        <w:t>类刊物论文计</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8"/>
          <w:sz w:val="24"/>
          <w:szCs w:val="24"/>
        </w:rPr>
        <w:t>3</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8"/>
          <w:sz w:val="24"/>
          <w:szCs w:val="24"/>
        </w:rPr>
        <w:t>学分；</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1"/>
          <w:w w:val="98"/>
          <w:sz w:val="24"/>
          <w:szCs w:val="24"/>
        </w:rPr>
        <w:t>一般公开刊物论文计</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8"/>
          <w:sz w:val="24"/>
          <w:szCs w:val="24"/>
        </w:rPr>
        <w:t>2</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8"/>
          <w:sz w:val="24"/>
          <w:szCs w:val="24"/>
        </w:rPr>
        <w:t>学分；</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8"/>
          <w:sz w:val="24"/>
          <w:szCs w:val="24"/>
        </w:rPr>
        <w:t>以第一作者身份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在省级及以上报刊公开发表文学、艺术创作作品（新闻稿件不计</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5"/>
          <w:sz w:val="24"/>
          <w:szCs w:val="24"/>
        </w:rPr>
        <w:t>每件计</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5"/>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5"/>
          <w:sz w:val="24"/>
          <w:szCs w:val="24"/>
        </w:rPr>
        <w:t>学分。</w:t>
      </w:r>
    </w:p>
    <w:p>
      <w:pPr>
        <w:spacing w:before="21" w:line="315" w:lineRule="auto"/>
        <w:ind w:left="135" w:right="90"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4、著作。独立或主编完成学术著作（12</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1"/>
          <w:w w:val="98"/>
          <w:sz w:val="24"/>
          <w:szCs w:val="24"/>
        </w:rPr>
        <w:t>万字以上）</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1"/>
          <w:w w:val="98"/>
          <w:sz w:val="24"/>
          <w:szCs w:val="24"/>
        </w:rPr>
        <w:t>并公开出版，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w w:val="98"/>
          <w:sz w:val="24"/>
          <w:szCs w:val="24"/>
        </w:rPr>
        <w:t>计</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1"/>
          <w:w w:val="98"/>
          <w:sz w:val="24"/>
          <w:szCs w:val="24"/>
        </w:rPr>
        <w:t>8</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8"/>
          <w:sz w:val="24"/>
          <w:szCs w:val="24"/>
        </w:rPr>
        <w:t>学分；</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1"/>
          <w:w w:val="98"/>
          <w:sz w:val="24"/>
          <w:szCs w:val="24"/>
        </w:rPr>
        <w:t>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加教师主编（著）的学术专著、专业译著、工具书的编著，以全书正式出版、版权</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2"/>
          <w:sz w:val="24"/>
          <w:szCs w:val="24"/>
        </w:rPr>
        <w:t>页署名（或“前言”、“后记”内说明）</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sz w:val="24"/>
          <w:szCs w:val="24"/>
        </w:rPr>
        <w:t>为准，</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2"/>
          <w:sz w:val="24"/>
          <w:szCs w:val="24"/>
        </w:rPr>
        <w:t>按执笔编（著）</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2"/>
          <w:sz w:val="24"/>
          <w:szCs w:val="24"/>
        </w:rPr>
        <w:t>3</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万字以上、2</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2"/>
          <w:sz w:val="24"/>
          <w:szCs w:val="24"/>
        </w:rPr>
        <w:t>万字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以上、1</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2"/>
          <w:sz w:val="24"/>
          <w:szCs w:val="24"/>
        </w:rPr>
        <w:t>万字以上和</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
          <w:sz w:val="24"/>
          <w:szCs w:val="24"/>
        </w:rPr>
        <w:t>万字以下四个等次，分别计</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3、2、1、0.5</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学分。独著作品没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有正式出版但结集印刷的（10</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万字以上</w:t>
      </w:r>
      <w:r>
        <w:rPr>
          <w:rFonts w:ascii="方正书宋简体" w:hAnsi="方正书宋简体" w:eastAsia="方正书宋简体" w:cs="方正书宋简体"/>
          <w:spacing w:val="7"/>
          <w:sz w:val="24"/>
          <w:szCs w:val="24"/>
        </w:rPr>
        <w:t>），</w:t>
      </w:r>
      <w:r>
        <w:rPr>
          <w:rFonts w:ascii="方正书宋简体" w:hAnsi="方正书宋简体" w:eastAsia="方正书宋简体" w:cs="方正书宋简体"/>
          <w:spacing w:val="-3"/>
          <w:sz w:val="24"/>
          <w:szCs w:val="24"/>
        </w:rPr>
        <w:t>计</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w:t>
      </w:r>
    </w:p>
    <w:p>
      <w:pPr>
        <w:spacing w:before="7"/>
        <w:ind w:left="143" w:right="92"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5、专利。获得国家专利局专利授权的创造发明、实用新型、外观设计等专利证</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4"/>
          <w:sz w:val="24"/>
          <w:szCs w:val="24"/>
        </w:rPr>
        <w:t>书，可分别计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4"/>
          <w:sz w:val="24"/>
          <w:szCs w:val="24"/>
        </w:rPr>
        <w:t>3、1、1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学分。</w:t>
      </w:r>
    </w:p>
    <w:p>
      <w:pPr>
        <w:spacing w:before="210" w:line="275" w:lineRule="auto"/>
        <w:ind w:left="134" w:right="9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6、学术活动。参加国际性学术研讨会议并有学术论文交流，</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计</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0"/>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学分；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参加全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国性学术研讨会议并有学术论文交流，计</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
          <w:sz w:val="24"/>
          <w:szCs w:val="24"/>
        </w:rPr>
        <w:t>学分；参加地区性学术研讨会议并有学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术论文交流，计</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学分；到境外进行访学活动，并完成访学报告者，计</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w:t>
      </w:r>
    </w:p>
    <w:p>
      <w:pPr>
        <w:spacing w:before="165" w:line="277" w:lineRule="auto"/>
        <w:ind w:right="93"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第六条    </w:t>
      </w:r>
      <w:r>
        <w:rPr>
          <w:rFonts w:ascii="方正书宋简体" w:hAnsi="方正书宋简体" w:eastAsia="方正书宋简体" w:cs="方正书宋简体"/>
          <w:spacing w:val="2"/>
          <w:sz w:val="24"/>
          <w:szCs w:val="24"/>
        </w:rPr>
        <w:t xml:space="preserve">科技创新学分涉及集体项目或者多人参与完成，其他参与人在主持人 </w:t>
      </w:r>
      <w:r>
        <w:rPr>
          <w:rFonts w:ascii="方正书宋简体" w:hAnsi="方正书宋简体" w:eastAsia="方正书宋简体" w:cs="方正书宋简体"/>
          <w:spacing w:val="-1"/>
          <w:sz w:val="24"/>
          <w:szCs w:val="24"/>
        </w:rPr>
        <w:t>（或者排位第一）的学分基础上减半认定。</w:t>
      </w:r>
    </w:p>
    <w:p>
      <w:pPr>
        <w:spacing w:before="25" w:line="282" w:lineRule="auto"/>
        <w:ind w:left="133" w:right="9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第七条    </w:t>
      </w:r>
      <w:r>
        <w:rPr>
          <w:rFonts w:ascii="方正书宋简体" w:hAnsi="方正书宋简体" w:eastAsia="方正书宋简体" w:cs="方正书宋简体"/>
          <w:spacing w:val="2"/>
          <w:sz w:val="24"/>
          <w:szCs w:val="24"/>
        </w:rPr>
        <w:t xml:space="preserve">科技创新学分级别标准认定以《吉首大学科学技术奖励办法》和《科 </w:t>
      </w:r>
      <w:r>
        <w:rPr>
          <w:rFonts w:ascii="方正书宋简体" w:hAnsi="方正书宋简体" w:eastAsia="方正书宋简体" w:cs="方正书宋简体"/>
          <w:spacing w:val="-2"/>
          <w:sz w:val="24"/>
          <w:szCs w:val="24"/>
        </w:rPr>
        <w:t>研经费管理及配套办法》为依据。</w:t>
      </w:r>
    </w:p>
    <w:p>
      <w:pPr>
        <w:spacing w:before="23" w:line="239" w:lineRule="auto"/>
        <w:ind w:left="137" w:right="94"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科技创新学分可以累积计算，但同一科研活动或者项目按照就高原则只给予一</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4"/>
          <w:sz w:val="24"/>
          <w:szCs w:val="24"/>
        </w:rPr>
        <w:t>次学分不重复计算。</w:t>
      </w:r>
    </w:p>
    <w:p>
      <w:pPr>
        <w:spacing w:before="206" w:line="450" w:lineRule="exact"/>
        <w:ind w:firstLine="258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第四章</w:t>
      </w:r>
      <w:r>
        <w:rPr>
          <w:rFonts w:ascii="Microsoft JhengHei" w:hAnsi="Microsoft JhengHei" w:eastAsia="Microsoft JhengHei" w:cs="Microsoft JhengHei"/>
          <w:spacing w:val="4"/>
          <w:w w:val="101"/>
          <w:position w:val="12"/>
          <w:sz w:val="24"/>
          <w:szCs w:val="24"/>
        </w:rPr>
        <w:t xml:space="preserve">    </w:t>
      </w:r>
      <w:r>
        <w:rPr>
          <w:rFonts w:ascii="Microsoft JhengHei" w:hAnsi="Microsoft JhengHei" w:eastAsia="Microsoft JhengHei" w:cs="Microsoft JhengHei"/>
          <w:spacing w:val="-2"/>
          <w:position w:val="12"/>
          <w:sz w:val="24"/>
          <w:szCs w:val="24"/>
        </w:rPr>
        <w:t>专业技能学分的认定与计算</w:t>
      </w:r>
    </w:p>
    <w:p>
      <w:pPr>
        <w:spacing w:line="204"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第八条</w:t>
      </w:r>
      <w:r>
        <w:rPr>
          <w:rFonts w:ascii="Microsoft JhengHei" w:hAnsi="Microsoft JhengHei" w:eastAsia="Microsoft JhengHei" w:cs="Microsoft JhengHei"/>
          <w:spacing w:val="25"/>
          <w:sz w:val="24"/>
          <w:szCs w:val="24"/>
        </w:rPr>
        <w:t xml:space="preserve">   </w:t>
      </w:r>
      <w:r>
        <w:rPr>
          <w:rFonts w:ascii="方正书宋简体" w:hAnsi="方正书宋简体" w:eastAsia="方正书宋简体" w:cs="方正书宋简体"/>
          <w:spacing w:val="-8"/>
          <w:sz w:val="24"/>
          <w:szCs w:val="24"/>
        </w:rPr>
        <w:t>“专业技能学分”的认定范围及其标准。</w:t>
      </w:r>
    </w:p>
    <w:p>
      <w:pPr>
        <w:spacing w:before="110" w:line="315" w:lineRule="auto"/>
        <w:ind w:left="134" w:right="92"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1、学科竞赛。学科竞赛包括学生学科以及专业技能竞赛，</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2"/>
          <w:sz w:val="24"/>
          <w:szCs w:val="24"/>
        </w:rPr>
        <w:t>主要涉及三类：</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2"/>
          <w:sz w:val="24"/>
          <w:szCs w:val="24"/>
        </w:rPr>
        <w:t>学科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竞赛、科技创新竞赛、专业技能大赛，学科竞赛项目认定标准由教务处确定。</w:t>
      </w:r>
    </w:p>
    <w:p>
      <w:pPr>
        <w:spacing w:before="4" w:line="318" w:lineRule="auto"/>
        <w:ind w:left="133" w:right="9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在学校认定的</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
          <w:sz w:val="24"/>
          <w:szCs w:val="24"/>
        </w:rPr>
        <w:t>A</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
          <w:sz w:val="24"/>
          <w:szCs w:val="24"/>
        </w:rPr>
        <w:t>类学科竞赛中，获得国家级一、二、三等奖和优秀奖者，分别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计</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
          <w:sz w:val="24"/>
          <w:szCs w:val="24"/>
        </w:rPr>
        <w:t>8、6、4、2</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
          <w:sz w:val="24"/>
          <w:szCs w:val="24"/>
        </w:rPr>
        <w:t>学分；获得省部级一、二、三等奖和优秀奖，分别计</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
          <w:sz w:val="24"/>
          <w:szCs w:val="24"/>
        </w:rPr>
        <w:t>6、4、2、1</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
          <w:sz w:val="24"/>
          <w:szCs w:val="24"/>
        </w:rPr>
        <w:t>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分；获校级一、二、三等奖者分别计</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1"/>
          <w:sz w:val="24"/>
          <w:szCs w:val="24"/>
        </w:rPr>
        <w:t>3、2、1</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学分。所有学科竞赛参与者由学科竞</w:t>
      </w:r>
    </w:p>
    <w:p>
      <w:pPr>
        <w:spacing w:before="308" w:line="180" w:lineRule="auto"/>
        <w:ind w:firstLine="441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98</w:t>
      </w:r>
    </w:p>
    <w:p>
      <w:pPr>
        <w:sectPr>
          <w:footerReference r:id="rId102" w:type="default"/>
          <w:pgSz w:w="11905" w:h="16840"/>
          <w:pgMar w:top="1431" w:right="1494" w:bottom="400" w:left="1457" w:header="0" w:footer="0" w:gutter="0"/>
          <w:cols w:space="720" w:num="1"/>
        </w:sectPr>
      </w:pPr>
    </w:p>
    <w:p>
      <w:pPr>
        <w:spacing w:before="425"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赛组织单位确认后均可计</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0.5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学分。</w:t>
      </w:r>
    </w:p>
    <w:p>
      <w:pPr>
        <w:spacing w:before="190" w:line="303" w:lineRule="auto"/>
        <w:ind w:left="4"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B</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6"/>
          <w:sz w:val="24"/>
          <w:szCs w:val="24"/>
        </w:rPr>
        <w:t>类学科竞赛的学分认定按照</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6"/>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类竞赛所获学分以</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sz w:val="24"/>
          <w:szCs w:val="24"/>
        </w:rPr>
        <w:t>0.8</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折算；</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6"/>
          <w:sz w:val="24"/>
          <w:szCs w:val="24"/>
        </w:rPr>
        <w:t>C</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类学科竞赛的学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分认定按照</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3"/>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3"/>
          <w:sz w:val="24"/>
          <w:szCs w:val="24"/>
        </w:rPr>
        <w:t>类竞赛所获学分以</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0.6</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3"/>
          <w:sz w:val="24"/>
          <w:szCs w:val="24"/>
        </w:rPr>
        <w:t>折算。</w:t>
      </w:r>
    </w:p>
    <w:p>
      <w:pPr>
        <w:spacing w:before="39" w:line="239" w:lineRule="auto"/>
        <w:ind w:left="1" w:right="9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学科竞赛学分可以累积计算，但同一项目按照就高原则只给予一次学分不重复</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7"/>
          <w:sz w:val="24"/>
          <w:szCs w:val="24"/>
        </w:rPr>
        <w:t>计算。</w:t>
      </w:r>
    </w:p>
    <w:p>
      <w:pPr>
        <w:spacing w:before="215" w:line="265" w:lineRule="auto"/>
        <w:ind w:left="1"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2、职业技能。参加由国家职业资格技能鉴定考试，</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9"/>
          <w:sz w:val="24"/>
          <w:szCs w:val="24"/>
        </w:rPr>
        <w:t>获高级证书（三级以上）</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9"/>
          <w:sz w:val="24"/>
          <w:szCs w:val="24"/>
        </w:rPr>
        <w:t>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计</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学分，中级（四级）证书者计</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2"/>
          <w:sz w:val="24"/>
          <w:szCs w:val="24"/>
        </w:rPr>
        <w:t>1.5</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学分。获得其它各类专业职业资格证书计</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1.5</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学分。</w:t>
      </w:r>
    </w:p>
    <w:p>
      <w:pPr>
        <w:spacing w:before="217" w:line="239" w:lineRule="auto"/>
        <w:ind w:left="4" w:right="9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职业技能学分可以累积计算，但同一职业技能证书按照就高原则只给予一次学</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5"/>
          <w:sz w:val="24"/>
          <w:szCs w:val="24"/>
        </w:rPr>
        <w:t>分不重复计算。</w:t>
      </w:r>
    </w:p>
    <w:p>
      <w:pPr>
        <w:spacing w:before="206" w:line="450" w:lineRule="exact"/>
        <w:ind w:firstLine="239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第五章</w:t>
      </w:r>
      <w:r>
        <w:rPr>
          <w:rFonts w:ascii="Microsoft JhengHei" w:hAnsi="Microsoft JhengHei" w:eastAsia="Microsoft JhengHei" w:cs="Microsoft JhengHei"/>
          <w:spacing w:val="2"/>
          <w:w w:val="101"/>
          <w:position w:val="12"/>
          <w:sz w:val="24"/>
          <w:szCs w:val="24"/>
        </w:rPr>
        <w:t xml:space="preserve">      </w:t>
      </w:r>
      <w:r>
        <w:rPr>
          <w:rFonts w:ascii="Microsoft JhengHei" w:hAnsi="Microsoft JhengHei" w:eastAsia="Microsoft JhengHei" w:cs="Microsoft JhengHei"/>
          <w:spacing w:val="-2"/>
          <w:position w:val="12"/>
          <w:sz w:val="24"/>
          <w:szCs w:val="24"/>
        </w:rPr>
        <w:t>社会实践学分的认定与计算</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第九条</w:t>
      </w:r>
      <w:r>
        <w:rPr>
          <w:rFonts w:ascii="Microsoft JhengHei" w:hAnsi="Microsoft JhengHei" w:eastAsia="Microsoft JhengHei" w:cs="Microsoft JhengHei"/>
          <w:spacing w:val="25"/>
          <w:sz w:val="24"/>
          <w:szCs w:val="24"/>
        </w:rPr>
        <w:t xml:space="preserve">   </w:t>
      </w:r>
      <w:r>
        <w:rPr>
          <w:rFonts w:ascii="方正书宋简体" w:hAnsi="方正书宋简体" w:eastAsia="方正书宋简体" w:cs="方正书宋简体"/>
          <w:spacing w:val="-8"/>
          <w:sz w:val="24"/>
          <w:szCs w:val="24"/>
        </w:rPr>
        <w:t>“社会实践学分”的认定范围及其标准。</w:t>
      </w:r>
    </w:p>
    <w:p>
      <w:pPr>
        <w:spacing w:before="111" w:line="310" w:lineRule="auto"/>
        <w:ind w:left="4" w:right="19"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1、社会实践。学生参加各类社会实践活动，</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0"/>
          <w:sz w:val="24"/>
          <w:szCs w:val="24"/>
        </w:rPr>
        <w:t>受到国家级、省部级和学校表彰者，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分别计</w:t>
      </w:r>
      <w:r>
        <w:rPr>
          <w:rFonts w:ascii="方正书宋简体" w:hAnsi="方正书宋简体" w:eastAsia="方正书宋简体" w:cs="方正书宋简体"/>
          <w:spacing w:val="71"/>
          <w:w w:val="101"/>
          <w:sz w:val="24"/>
          <w:szCs w:val="24"/>
        </w:rPr>
        <w:t xml:space="preserve"> </w:t>
      </w:r>
      <w:r>
        <w:rPr>
          <w:rFonts w:ascii="方正书宋简体" w:hAnsi="方正书宋简体" w:eastAsia="方正书宋简体" w:cs="方正书宋简体"/>
          <w:spacing w:val="-1"/>
          <w:sz w:val="24"/>
          <w:szCs w:val="24"/>
        </w:rPr>
        <w:t>4、2、1</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学分。其他参加社会实践活动并提交有关社会实践证明材料的，每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次活动计</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4"/>
          <w:sz w:val="24"/>
          <w:szCs w:val="24"/>
        </w:rPr>
        <w:t>0.2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学分。</w:t>
      </w:r>
    </w:p>
    <w:p>
      <w:pPr>
        <w:spacing w:before="19" w:line="278" w:lineRule="auto"/>
        <w:ind w:left="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2、校园文化活动。以学校名义参赛获国家级一、二、三等奖以及优胜奖的分别</w:t>
      </w:r>
      <w:r>
        <w:rPr>
          <w:rFonts w:ascii="方正书宋简体" w:hAnsi="方正书宋简体" w:eastAsia="方正书宋简体" w:cs="方正书宋简体"/>
          <w:spacing w:val="16"/>
          <w:w w:val="103"/>
          <w:sz w:val="24"/>
          <w:szCs w:val="24"/>
        </w:rPr>
        <w:t xml:space="preserve">  </w:t>
      </w:r>
      <w:r>
        <w:rPr>
          <w:rFonts w:ascii="方正书宋简体" w:hAnsi="方正书宋简体" w:eastAsia="方正书宋简体" w:cs="方正书宋简体"/>
          <w:spacing w:val="-7"/>
          <w:sz w:val="24"/>
          <w:szCs w:val="24"/>
        </w:rPr>
        <w:t>计</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7"/>
          <w:sz w:val="24"/>
          <w:szCs w:val="24"/>
        </w:rPr>
        <w:t>6、4、2、1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学分，</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7"/>
          <w:sz w:val="24"/>
          <w:szCs w:val="24"/>
        </w:rPr>
        <w:t>获省部级一、二、三等奖以及优胜奖的分别计</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7"/>
          <w:sz w:val="24"/>
          <w:szCs w:val="24"/>
        </w:rPr>
        <w:t>4、2、1、0.5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分。学校举办的各种文化活动，</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获得一、二、三等奖以及优胜奖的分别计</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2、1、0.5、</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0.3，参加者由活动组织单位确认后可计</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0.2</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学分。</w:t>
      </w:r>
    </w:p>
    <w:p>
      <w:pPr>
        <w:spacing w:before="211" w:line="303" w:lineRule="auto"/>
        <w:ind w:left="1" w:right="1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参加学生社团成为会员并积极参加社团活动的，经校团委认定，可以计</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8"/>
          <w:sz w:val="24"/>
          <w:szCs w:val="24"/>
        </w:rPr>
        <w:t>0.2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8"/>
          <w:sz w:val="24"/>
          <w:szCs w:val="24"/>
        </w:rPr>
        <w:t>学分；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参加学校“双百工程”活动和校大学生艺术团的按照学校有关规定认定学分。</w:t>
      </w:r>
    </w:p>
    <w:p>
      <w:pPr>
        <w:spacing w:before="40"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3、创业活动。学生自主开展创业活动，</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8"/>
          <w:sz w:val="24"/>
          <w:szCs w:val="24"/>
        </w:rPr>
        <w:t>凭工商营业执照等经营文件可以计</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w w:val="98"/>
          <w:sz w:val="24"/>
          <w:szCs w:val="24"/>
        </w:rPr>
        <w:t>4</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w w:val="98"/>
          <w:sz w:val="24"/>
          <w:szCs w:val="24"/>
        </w:rPr>
        <w:t>学分。</w:t>
      </w:r>
    </w:p>
    <w:p>
      <w:pPr>
        <w:spacing w:before="193"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参加创业坊的计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0.5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w:t>
      </w:r>
    </w:p>
    <w:p>
      <w:pPr>
        <w:spacing w:before="193"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参加</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4"/>
          <w:sz w:val="24"/>
          <w:szCs w:val="24"/>
        </w:rPr>
        <w:t>GYB</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或者</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4"/>
          <w:sz w:val="24"/>
          <w:szCs w:val="24"/>
        </w:rPr>
        <w:t>SYB</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4"/>
          <w:sz w:val="24"/>
          <w:szCs w:val="24"/>
        </w:rPr>
        <w:t>培训的，培训结业者计</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学分。</w:t>
      </w:r>
    </w:p>
    <w:p>
      <w:pPr>
        <w:spacing w:before="193" w:line="277" w:lineRule="auto"/>
        <w:ind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4、社会实践学分认定标准由教务处（素质教育中心）</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4"/>
          <w:sz w:val="24"/>
          <w:szCs w:val="24"/>
        </w:rPr>
        <w:t>、招生就业处、校团委等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单位确定，其中“双百工程”由素质教育中心认定，创业活动由招生就业处认定，</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2"/>
          <w:sz w:val="24"/>
          <w:szCs w:val="24"/>
        </w:rPr>
        <w:t>社会实践活动和校园文化活动由校团委认定或者指导各学院学工办（团总支）予以</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认定。</w:t>
      </w:r>
    </w:p>
    <w:p>
      <w:pPr>
        <w:spacing w:before="220" w:line="315" w:lineRule="auto"/>
        <w:ind w:left="4" w:right="99"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社会实践学分可以累积计算，但同一活动或者项目按照就高原则只给予一次学</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5"/>
          <w:sz w:val="24"/>
          <w:szCs w:val="24"/>
        </w:rPr>
        <w:t>分不重复计算。</w:t>
      </w:r>
    </w:p>
    <w:p>
      <w:pPr>
        <w:spacing w:before="32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99</w:t>
      </w:r>
    </w:p>
    <w:p>
      <w:pPr>
        <w:sectPr>
          <w:footerReference r:id="rId103" w:type="default"/>
          <w:pgSz w:w="11905" w:h="16840"/>
          <w:pgMar w:top="1431" w:right="1490" w:bottom="400" w:left="1588" w:header="0" w:footer="0" w:gutter="0"/>
          <w:cols w:space="720" w:num="1"/>
        </w:sectPr>
      </w:pPr>
    </w:p>
    <w:p>
      <w:pPr>
        <w:spacing w:before="414" w:line="180" w:lineRule="auto"/>
        <w:ind w:firstLine="25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第六章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创新实践能力学分的管理</w:t>
      </w:r>
    </w:p>
    <w:p>
      <w:pPr>
        <w:spacing w:before="137" w:line="282" w:lineRule="auto"/>
        <w:ind w:left="2" w:right="1"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
          <w:sz w:val="24"/>
          <w:szCs w:val="24"/>
        </w:rPr>
        <w:t>根据学校本科人才培养方案的规定，本科生在校期间必须获得</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
          <w:sz w:val="24"/>
          <w:szCs w:val="24"/>
        </w:rPr>
        <w:t>个学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分的创新实践学分方能毕业。</w:t>
      </w:r>
    </w:p>
    <w:p>
      <w:pPr>
        <w:spacing w:before="10" w:line="298"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2"/>
          <w:sz w:val="24"/>
          <w:szCs w:val="24"/>
        </w:rPr>
        <w:t>每年</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2"/>
          <w:sz w:val="24"/>
          <w:szCs w:val="24"/>
        </w:rPr>
        <w:t>月的第一、二周，由学生本人提出申请，填写《吉首大学本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科学生创新实践学分申请表》，并附相关材料原件和复印件，上交至所在学院教务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办分类汇总，然后分别交相关部门审定后交至所在学院教务办录入教务管理系统，</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4"/>
          <w:sz w:val="24"/>
          <w:szCs w:val="24"/>
        </w:rPr>
        <w:t>计入学生学籍档案。</w:t>
      </w:r>
    </w:p>
    <w:p>
      <w:pPr>
        <w:spacing w:before="7" w:line="295" w:lineRule="auto"/>
        <w:ind w:left="1" w:right="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学生在修满创新实践学分后有结余学分的，学生可以申请抵修相关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通识选修课程或者专业选修课程。申请抵修通识选修课程的向素质教育中心申请，</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3"/>
          <w:sz w:val="24"/>
          <w:szCs w:val="24"/>
        </w:rPr>
        <w:t>结余学分抵修课程门数最多不能超过</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3"/>
          <w:sz w:val="24"/>
          <w:szCs w:val="24"/>
        </w:rPr>
        <w:t>门。</w:t>
      </w:r>
    </w:p>
    <w:p>
      <w:pPr>
        <w:spacing w:before="14" w:line="315" w:lineRule="auto"/>
        <w:ind w:left="19" w:right="3" w:firstLine="46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抵修专业选修课的实施细则由各学院按本办法制定并报教务处审定后，由各学</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3"/>
          <w:sz w:val="24"/>
          <w:szCs w:val="24"/>
        </w:rPr>
        <w:t>院自行执行。抵修专业选修课最多不能超过</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3"/>
          <w:sz w:val="24"/>
          <w:szCs w:val="24"/>
        </w:rPr>
        <w:t>门。</w:t>
      </w:r>
    </w:p>
    <w:p>
      <w:pPr>
        <w:spacing w:before="1" w:line="204"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抵修通识选修课程和专业选修课程的学分不能重复使用。</w:t>
      </w:r>
    </w:p>
    <w:p>
      <w:pPr>
        <w:spacing w:before="144" w:line="282" w:lineRule="auto"/>
        <w:ind w:left="3" w:right="2"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第十三条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4"/>
          <w:sz w:val="24"/>
          <w:szCs w:val="24"/>
        </w:rPr>
        <w:t>对弄虚作假获取创新实践学分的，</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
          <w:sz w:val="24"/>
          <w:szCs w:val="24"/>
        </w:rPr>
        <w:t>取消其创新实践能力学分，并根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据《吉首大学学生违纪处理办法》给予相应的纪律处分。</w:t>
      </w:r>
    </w:p>
    <w:p>
      <w:pPr>
        <w:spacing w:before="22" w:line="188"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教师帮助学生弄虚作假获取创新实践学分的，报请学校给予相应的纪律处分。</w:t>
      </w:r>
    </w:p>
    <w:p>
      <w:pPr>
        <w:spacing w:before="171"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第七章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9" w:line="260" w:lineRule="auto"/>
        <w:ind w:left="489" w:right="107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本办法实施后，原来抵修通识课程的相关规定不再执行。</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本办法由教务处负责解释，自颁布之日起开始执行。</w:t>
      </w:r>
    </w:p>
    <w:p>
      <w:pPr>
        <w:spacing w:before="15" w:line="192"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附件：吉首大学本科学生创新实践学分评定标准表</w:t>
      </w: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before="52"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w:t>
      </w:r>
    </w:p>
    <w:p>
      <w:pPr>
        <w:sectPr>
          <w:footerReference r:id="rId104" w:type="default"/>
          <w:pgSz w:w="11905" w:h="16840"/>
          <w:pgMar w:top="1431" w:right="1585" w:bottom="400" w:left="1590"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附件：</w:t>
      </w:r>
    </w:p>
    <w:p>
      <w:pPr>
        <w:spacing w:before="112" w:line="180" w:lineRule="auto"/>
        <w:ind w:firstLine="13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吉首大学本科学生创新实践学分评定标准表</w:t>
      </w:r>
    </w:p>
    <w:p>
      <w:pPr>
        <w:spacing w:line="76"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1327"/>
        <w:gridCol w:w="2526"/>
        <w:gridCol w:w="3096"/>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344" w:type="dxa"/>
            <w:gridSpan w:val="2"/>
            <w:tcBorders>
              <w:top w:val="single" w:color="000000" w:sz="6" w:space="0"/>
              <w:left w:val="single" w:color="000000" w:sz="6" w:space="0"/>
            </w:tcBorders>
            <w:vAlign w:val="top"/>
          </w:tcPr>
          <w:p>
            <w:pPr>
              <w:spacing w:before="94" w:line="180" w:lineRule="auto"/>
              <w:ind w:firstLine="909"/>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项</w:t>
            </w:r>
            <w:r>
              <w:rPr>
                <w:rFonts w:ascii="Microsoft JhengHei" w:hAnsi="Microsoft JhengHei" w:eastAsia="Microsoft JhengHei" w:cs="Microsoft JhengHei"/>
                <w:spacing w:val="19"/>
                <w:sz w:val="21"/>
                <w:szCs w:val="21"/>
              </w:rPr>
              <w:t xml:space="preserve">  </w:t>
            </w:r>
            <w:r>
              <w:rPr>
                <w:rFonts w:ascii="Microsoft JhengHei" w:hAnsi="Microsoft JhengHei" w:eastAsia="Microsoft JhengHei" w:cs="Microsoft JhengHei"/>
                <w:spacing w:val="-5"/>
                <w:sz w:val="21"/>
                <w:szCs w:val="21"/>
              </w:rPr>
              <w:t>目</w:t>
            </w:r>
          </w:p>
        </w:tc>
        <w:tc>
          <w:tcPr>
            <w:tcW w:w="5622" w:type="dxa"/>
            <w:gridSpan w:val="2"/>
            <w:tcBorders>
              <w:top w:val="single" w:color="000000" w:sz="6" w:space="0"/>
            </w:tcBorders>
            <w:vAlign w:val="top"/>
          </w:tcPr>
          <w:p>
            <w:pPr>
              <w:spacing w:before="94" w:line="180" w:lineRule="auto"/>
              <w:ind w:firstLine="208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考核内容及标准</w:t>
            </w:r>
          </w:p>
        </w:tc>
        <w:tc>
          <w:tcPr>
            <w:tcW w:w="768" w:type="dxa"/>
            <w:tcBorders>
              <w:top w:val="single" w:color="000000" w:sz="6" w:space="0"/>
              <w:right w:val="single" w:color="000000" w:sz="6" w:space="0"/>
            </w:tcBorders>
            <w:vAlign w:val="top"/>
          </w:tcPr>
          <w:p>
            <w:pPr>
              <w:spacing w:before="94" w:line="180" w:lineRule="auto"/>
              <w:ind w:firstLine="76"/>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学分值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restart"/>
            <w:tcBorders>
              <w:left w:val="single" w:color="000000" w:sz="6" w:space="0"/>
              <w:bottom w:val="nil"/>
            </w:tcBorders>
            <w:vAlign w:val="top"/>
          </w:tcPr>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before="76" w:line="163" w:lineRule="exact"/>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position w:val="1"/>
                <w:sz w:val="21"/>
                <w:szCs w:val="21"/>
              </w:rPr>
              <w:t>一、</w:t>
            </w:r>
          </w:p>
          <w:p>
            <w:pPr>
              <w:spacing w:before="113" w:line="369" w:lineRule="exact"/>
              <w:ind w:firstLine="2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科技</w:t>
            </w:r>
          </w:p>
          <w:p>
            <w:pPr>
              <w:spacing w:line="204"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w:t>
            </w:r>
          </w:p>
          <w:p>
            <w:pPr>
              <w:spacing w:before="114"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学分</w:t>
            </w:r>
          </w:p>
        </w:tc>
        <w:tc>
          <w:tcPr>
            <w:tcW w:w="1327" w:type="dxa"/>
            <w:vMerge w:val="restart"/>
            <w:tcBorders>
              <w:bottom w:val="nil"/>
            </w:tcBorders>
            <w:vAlign w:val="top"/>
          </w:tcPr>
          <w:p>
            <w:pPr>
              <w:spacing w:line="291" w:lineRule="auto"/>
              <w:rPr>
                <w:rFonts w:ascii="Malgun Gothic"/>
                <w:sz w:val="21"/>
              </w:rPr>
            </w:pPr>
          </w:p>
          <w:p>
            <w:pPr>
              <w:spacing w:line="291" w:lineRule="auto"/>
              <w:rPr>
                <w:rFonts w:ascii="Malgun Gothic"/>
                <w:sz w:val="21"/>
              </w:rPr>
            </w:pPr>
          </w:p>
          <w:p>
            <w:pPr>
              <w:spacing w:line="291" w:lineRule="auto"/>
              <w:rPr>
                <w:rFonts w:ascii="Malgun Gothic"/>
                <w:sz w:val="21"/>
              </w:rPr>
            </w:pPr>
          </w:p>
          <w:p>
            <w:pPr>
              <w:spacing w:line="291" w:lineRule="auto"/>
              <w:rPr>
                <w:rFonts w:ascii="Malgun Gothic"/>
                <w:sz w:val="21"/>
              </w:rPr>
            </w:pPr>
          </w:p>
          <w:p>
            <w:pPr>
              <w:spacing w:before="76" w:line="180" w:lineRule="auto"/>
              <w:ind w:firstLine="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科研获奖</w:t>
            </w:r>
          </w:p>
        </w:tc>
        <w:tc>
          <w:tcPr>
            <w:tcW w:w="2526" w:type="dxa"/>
            <w:vMerge w:val="restart"/>
            <w:tcBorders>
              <w:bottom w:val="nil"/>
            </w:tcBorders>
            <w:vAlign w:val="top"/>
          </w:tcPr>
          <w:p>
            <w:pPr>
              <w:spacing w:before="303" w:line="180" w:lineRule="auto"/>
              <w:ind w:firstLine="86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国家级奖</w:t>
            </w:r>
          </w:p>
        </w:tc>
        <w:tc>
          <w:tcPr>
            <w:tcW w:w="3096" w:type="dxa"/>
            <w:vAlign w:val="top"/>
          </w:tcPr>
          <w:p>
            <w:pPr>
              <w:spacing w:before="90"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23" w:line="180"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93"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26"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443" w:lineRule="auto"/>
              <w:rPr>
                <w:rFonts w:ascii="Malgun Gothic"/>
                <w:sz w:val="21"/>
              </w:rPr>
            </w:pPr>
          </w:p>
          <w:p>
            <w:pPr>
              <w:spacing w:before="76" w:line="180" w:lineRule="auto"/>
              <w:ind w:firstLine="8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省部级奖</w:t>
            </w:r>
          </w:p>
        </w:tc>
        <w:tc>
          <w:tcPr>
            <w:tcW w:w="3096" w:type="dxa"/>
            <w:vAlign w:val="top"/>
          </w:tcPr>
          <w:p>
            <w:pPr>
              <w:spacing w:before="95"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28"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9"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1"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2"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6"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8"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优秀奖</w:t>
            </w:r>
          </w:p>
        </w:tc>
        <w:tc>
          <w:tcPr>
            <w:tcW w:w="768" w:type="dxa"/>
            <w:tcBorders>
              <w:right w:val="single" w:color="000000" w:sz="6" w:space="0"/>
            </w:tcBorders>
            <w:vAlign w:val="top"/>
          </w:tcPr>
          <w:p>
            <w:pPr>
              <w:spacing w:before="140"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305" w:lineRule="auto"/>
              <w:rPr>
                <w:rFonts w:ascii="Malgun Gothic"/>
                <w:sz w:val="21"/>
              </w:rPr>
            </w:pPr>
          </w:p>
          <w:p>
            <w:pPr>
              <w:spacing w:before="75" w:line="180" w:lineRule="auto"/>
              <w:ind w:firstLine="9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校级奖</w:t>
            </w:r>
          </w:p>
        </w:tc>
        <w:tc>
          <w:tcPr>
            <w:tcW w:w="3096" w:type="dxa"/>
            <w:vAlign w:val="top"/>
          </w:tcPr>
          <w:p>
            <w:pPr>
              <w:spacing w:before="103"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34"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6"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9"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10"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44"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296" w:lineRule="auto"/>
              <w:rPr>
                <w:rFonts w:ascii="Malgun Gothic"/>
                <w:sz w:val="21"/>
              </w:rPr>
            </w:pPr>
          </w:p>
          <w:p>
            <w:pPr>
              <w:spacing w:line="296" w:lineRule="auto"/>
              <w:rPr>
                <w:rFonts w:ascii="Malgun Gothic"/>
                <w:sz w:val="21"/>
              </w:rPr>
            </w:pPr>
          </w:p>
          <w:p>
            <w:pPr>
              <w:spacing w:before="76" w:line="180" w:lineRule="auto"/>
              <w:ind w:firstLine="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科研项目</w:t>
            </w:r>
          </w:p>
        </w:tc>
        <w:tc>
          <w:tcPr>
            <w:tcW w:w="2526" w:type="dxa"/>
            <w:vAlign w:val="top"/>
          </w:tcPr>
          <w:p>
            <w:pPr>
              <w:spacing w:before="102" w:line="180" w:lineRule="auto"/>
              <w:ind w:firstLine="96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3096" w:type="dxa"/>
            <w:vAlign w:val="top"/>
          </w:tcPr>
          <w:p>
            <w:pPr>
              <w:rPr>
                <w:rFonts w:ascii="Malgun Gothic"/>
                <w:sz w:val="21"/>
              </w:rPr>
            </w:pPr>
          </w:p>
        </w:tc>
        <w:tc>
          <w:tcPr>
            <w:tcW w:w="768" w:type="dxa"/>
            <w:tcBorders>
              <w:right w:val="single" w:color="000000" w:sz="6" w:space="0"/>
            </w:tcBorders>
            <w:vAlign w:val="top"/>
          </w:tcPr>
          <w:p>
            <w:pPr>
              <w:spacing w:before="132"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before="319" w:line="180" w:lineRule="auto"/>
              <w:ind w:firstLine="105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省级</w:t>
            </w:r>
          </w:p>
        </w:tc>
        <w:tc>
          <w:tcPr>
            <w:tcW w:w="3096" w:type="dxa"/>
            <w:vAlign w:val="top"/>
          </w:tcPr>
          <w:p>
            <w:pPr>
              <w:spacing w:before="100" w:line="193" w:lineRule="auto"/>
              <w:ind w:firstLine="13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重点</w:t>
            </w:r>
          </w:p>
        </w:tc>
        <w:tc>
          <w:tcPr>
            <w:tcW w:w="768" w:type="dxa"/>
            <w:tcBorders>
              <w:right w:val="single" w:color="000000" w:sz="6" w:space="0"/>
            </w:tcBorders>
            <w:vAlign w:val="top"/>
          </w:tcPr>
          <w:p>
            <w:pPr>
              <w:spacing w:before="136"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10" w:line="180" w:lineRule="auto"/>
              <w:ind w:firstLine="13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一般</w:t>
            </w:r>
          </w:p>
        </w:tc>
        <w:tc>
          <w:tcPr>
            <w:tcW w:w="768" w:type="dxa"/>
            <w:tcBorders>
              <w:right w:val="single" w:color="000000" w:sz="6" w:space="0"/>
            </w:tcBorders>
            <w:vAlign w:val="top"/>
          </w:tcPr>
          <w:p>
            <w:pPr>
              <w:spacing w:before="141"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before="326" w:line="180" w:lineRule="auto"/>
              <w:ind w:firstLine="105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c>
          <w:tcPr>
            <w:tcW w:w="3096" w:type="dxa"/>
            <w:vAlign w:val="top"/>
          </w:tcPr>
          <w:p>
            <w:pPr>
              <w:spacing w:before="106" w:line="193" w:lineRule="auto"/>
              <w:ind w:firstLine="7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重点或者横向项目</w:t>
            </w:r>
          </w:p>
        </w:tc>
        <w:tc>
          <w:tcPr>
            <w:tcW w:w="768" w:type="dxa"/>
            <w:tcBorders>
              <w:right w:val="single" w:color="000000" w:sz="6" w:space="0"/>
            </w:tcBorders>
            <w:vAlign w:val="top"/>
          </w:tcPr>
          <w:p>
            <w:pPr>
              <w:spacing w:before="142"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16" w:line="180" w:lineRule="auto"/>
              <w:ind w:firstLine="13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一般</w:t>
            </w:r>
          </w:p>
        </w:tc>
        <w:tc>
          <w:tcPr>
            <w:tcW w:w="768" w:type="dxa"/>
            <w:tcBorders>
              <w:right w:val="single" w:color="000000" w:sz="6" w:space="0"/>
            </w:tcBorders>
            <w:vAlign w:val="top"/>
          </w:tcPr>
          <w:p>
            <w:pPr>
              <w:spacing w:before="147"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296" w:lineRule="auto"/>
              <w:rPr>
                <w:rFonts w:ascii="Malgun Gothic"/>
                <w:sz w:val="21"/>
              </w:rPr>
            </w:pPr>
          </w:p>
          <w:p>
            <w:pPr>
              <w:spacing w:line="296" w:lineRule="auto"/>
              <w:rPr>
                <w:rFonts w:ascii="Malgun Gothic"/>
                <w:sz w:val="21"/>
              </w:rPr>
            </w:pPr>
          </w:p>
          <w:p>
            <w:pPr>
              <w:spacing w:line="297" w:lineRule="auto"/>
              <w:rPr>
                <w:rFonts w:ascii="Malgun Gothic"/>
                <w:sz w:val="21"/>
              </w:rPr>
            </w:pPr>
          </w:p>
          <w:p>
            <w:pPr>
              <w:spacing w:before="75" w:line="180" w:lineRule="auto"/>
              <w:ind w:firstLine="2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发表论文</w:t>
            </w:r>
          </w:p>
        </w:tc>
        <w:tc>
          <w:tcPr>
            <w:tcW w:w="2526" w:type="dxa"/>
            <w:vMerge w:val="restart"/>
            <w:tcBorders>
              <w:bottom w:val="nil"/>
            </w:tcBorders>
            <w:vAlign w:val="top"/>
          </w:tcPr>
          <w:p>
            <w:pPr>
              <w:spacing w:line="247"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before="75" w:line="180" w:lineRule="auto"/>
              <w:ind w:firstLine="8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学术论文</w:t>
            </w:r>
          </w:p>
        </w:tc>
        <w:tc>
          <w:tcPr>
            <w:tcW w:w="3096" w:type="dxa"/>
            <w:vAlign w:val="top"/>
          </w:tcPr>
          <w:p>
            <w:pPr>
              <w:spacing w:before="112" w:line="180" w:lineRule="auto"/>
              <w:ind w:firstLine="11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A</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类刊物</w:t>
            </w:r>
          </w:p>
        </w:tc>
        <w:tc>
          <w:tcPr>
            <w:tcW w:w="768" w:type="dxa"/>
            <w:tcBorders>
              <w:right w:val="single" w:color="000000" w:sz="6" w:space="0"/>
            </w:tcBorders>
            <w:vAlign w:val="top"/>
          </w:tcPr>
          <w:p>
            <w:pPr>
              <w:spacing w:before="143" w:line="180"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16" w:line="180" w:lineRule="auto"/>
              <w:ind w:firstLine="1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B</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3"/>
                <w:sz w:val="21"/>
                <w:szCs w:val="21"/>
              </w:rPr>
              <w:t>类刊物</w:t>
            </w:r>
          </w:p>
        </w:tc>
        <w:tc>
          <w:tcPr>
            <w:tcW w:w="768" w:type="dxa"/>
            <w:tcBorders>
              <w:right w:val="single" w:color="000000" w:sz="6" w:space="0"/>
            </w:tcBorders>
            <w:vAlign w:val="top"/>
          </w:tcPr>
          <w:p>
            <w:pPr>
              <w:spacing w:before="147" w:line="180" w:lineRule="auto"/>
              <w:ind w:firstLine="3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0" w:line="180" w:lineRule="auto"/>
              <w:ind w:firstLine="115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C</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3"/>
                <w:sz w:val="21"/>
                <w:szCs w:val="21"/>
              </w:rPr>
              <w:t>类刊物</w:t>
            </w:r>
          </w:p>
        </w:tc>
        <w:tc>
          <w:tcPr>
            <w:tcW w:w="768" w:type="dxa"/>
            <w:tcBorders>
              <w:right w:val="single" w:color="000000" w:sz="6" w:space="0"/>
            </w:tcBorders>
            <w:vAlign w:val="top"/>
          </w:tcPr>
          <w:p>
            <w:pPr>
              <w:spacing w:before="149"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3" w:line="180" w:lineRule="auto"/>
              <w:ind w:firstLine="114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D</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类刊物</w:t>
            </w:r>
          </w:p>
        </w:tc>
        <w:tc>
          <w:tcPr>
            <w:tcW w:w="768" w:type="dxa"/>
            <w:tcBorders>
              <w:right w:val="single" w:color="000000" w:sz="6" w:space="0"/>
            </w:tcBorders>
            <w:vAlign w:val="top"/>
          </w:tcPr>
          <w:p>
            <w:pPr>
              <w:spacing w:before="155"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7" w:line="180" w:lineRule="auto"/>
              <w:ind w:firstLine="114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E</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类刊物</w:t>
            </w:r>
          </w:p>
        </w:tc>
        <w:tc>
          <w:tcPr>
            <w:tcW w:w="768" w:type="dxa"/>
            <w:tcBorders>
              <w:right w:val="single" w:color="000000" w:sz="6" w:space="0"/>
            </w:tcBorders>
            <w:vAlign w:val="top"/>
          </w:tcPr>
          <w:p>
            <w:pPr>
              <w:spacing w:before="158"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31" w:line="180" w:lineRule="auto"/>
              <w:ind w:firstLine="9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一般公开刊物</w:t>
            </w:r>
          </w:p>
        </w:tc>
        <w:tc>
          <w:tcPr>
            <w:tcW w:w="768" w:type="dxa"/>
            <w:tcBorders>
              <w:right w:val="single" w:color="000000" w:sz="6" w:space="0"/>
            </w:tcBorders>
            <w:vAlign w:val="top"/>
          </w:tcPr>
          <w:p>
            <w:pPr>
              <w:spacing w:before="162"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Align w:val="top"/>
          </w:tcPr>
          <w:p>
            <w:pPr>
              <w:spacing w:before="123" w:line="180" w:lineRule="auto"/>
              <w:ind w:firstLine="3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文学、艺术创作作品</w:t>
            </w:r>
          </w:p>
        </w:tc>
        <w:tc>
          <w:tcPr>
            <w:tcW w:w="3096" w:type="dxa"/>
            <w:vAlign w:val="top"/>
          </w:tcPr>
          <w:p>
            <w:pPr>
              <w:rPr>
                <w:rFonts w:ascii="Malgun Gothic"/>
                <w:sz w:val="21"/>
              </w:rPr>
            </w:pPr>
          </w:p>
        </w:tc>
        <w:tc>
          <w:tcPr>
            <w:tcW w:w="768" w:type="dxa"/>
            <w:tcBorders>
              <w:right w:val="single" w:color="000000" w:sz="6" w:space="0"/>
            </w:tcBorders>
            <w:vAlign w:val="top"/>
          </w:tcPr>
          <w:p>
            <w:pPr>
              <w:spacing w:before="155"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249"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before="74" w:line="180" w:lineRule="auto"/>
              <w:ind w:firstLine="2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发表著作</w:t>
            </w:r>
          </w:p>
        </w:tc>
        <w:tc>
          <w:tcPr>
            <w:tcW w:w="2526" w:type="dxa"/>
            <w:vMerge w:val="restart"/>
            <w:tcBorders>
              <w:bottom w:val="nil"/>
            </w:tcBorders>
            <w:vAlign w:val="top"/>
          </w:tcPr>
          <w:p>
            <w:pPr>
              <w:spacing w:line="249"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before="74" w:line="180" w:lineRule="auto"/>
              <w:ind w:firstLine="105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著作</w:t>
            </w:r>
          </w:p>
        </w:tc>
        <w:tc>
          <w:tcPr>
            <w:tcW w:w="3096" w:type="dxa"/>
            <w:vAlign w:val="top"/>
          </w:tcPr>
          <w:p>
            <w:pPr>
              <w:spacing w:before="122" w:line="180" w:lineRule="auto"/>
              <w:ind w:firstLine="102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独立或主编</w:t>
            </w:r>
          </w:p>
        </w:tc>
        <w:tc>
          <w:tcPr>
            <w:tcW w:w="768" w:type="dxa"/>
            <w:tcBorders>
              <w:right w:val="single" w:color="000000" w:sz="6" w:space="0"/>
            </w:tcBorders>
            <w:vAlign w:val="top"/>
          </w:tcPr>
          <w:p>
            <w:pPr>
              <w:spacing w:before="152"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2" w:line="180" w:lineRule="auto"/>
              <w:ind w:firstLine="81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参编</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3"/>
                <w:sz w:val="21"/>
                <w:szCs w:val="21"/>
              </w:rPr>
              <w:t>3</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万字以上</w:t>
            </w:r>
          </w:p>
        </w:tc>
        <w:tc>
          <w:tcPr>
            <w:tcW w:w="768" w:type="dxa"/>
            <w:tcBorders>
              <w:right w:val="single" w:color="000000" w:sz="6" w:space="0"/>
            </w:tcBorders>
            <w:vAlign w:val="top"/>
          </w:tcPr>
          <w:p>
            <w:pPr>
              <w:spacing w:before="156"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6" w:line="180" w:lineRule="auto"/>
              <w:ind w:firstLine="8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参编</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2"/>
                <w:sz w:val="21"/>
                <w:szCs w:val="21"/>
              </w:rPr>
              <w:t>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万字以上</w:t>
            </w:r>
          </w:p>
        </w:tc>
        <w:tc>
          <w:tcPr>
            <w:tcW w:w="768" w:type="dxa"/>
            <w:tcBorders>
              <w:right w:val="single" w:color="000000" w:sz="6" w:space="0"/>
            </w:tcBorders>
            <w:vAlign w:val="top"/>
          </w:tcPr>
          <w:p>
            <w:pPr>
              <w:spacing w:before="161"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29" w:line="180" w:lineRule="auto"/>
              <w:ind w:firstLine="81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参编</w:t>
            </w:r>
            <w:r>
              <w:rPr>
                <w:rFonts w:ascii="方正书宋简体" w:hAnsi="方正书宋简体" w:eastAsia="方正书宋简体" w:cs="方正书宋简体"/>
                <w:spacing w:val="29"/>
                <w:w w:val="101"/>
                <w:sz w:val="21"/>
                <w:szCs w:val="21"/>
              </w:rPr>
              <w:t xml:space="preserve"> </w:t>
            </w:r>
            <w:r>
              <w:rPr>
                <w:rFonts w:ascii="方正书宋简体" w:hAnsi="方正书宋简体" w:eastAsia="方正书宋简体" w:cs="方正书宋简体"/>
                <w:spacing w:val="-5"/>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5"/>
                <w:sz w:val="21"/>
                <w:szCs w:val="21"/>
              </w:rPr>
              <w:t>万字以上</w:t>
            </w:r>
          </w:p>
        </w:tc>
        <w:tc>
          <w:tcPr>
            <w:tcW w:w="768" w:type="dxa"/>
            <w:tcBorders>
              <w:right w:val="single" w:color="000000" w:sz="6" w:space="0"/>
            </w:tcBorders>
            <w:vAlign w:val="top"/>
          </w:tcPr>
          <w:p>
            <w:pPr>
              <w:spacing w:before="164"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33" w:line="180" w:lineRule="auto"/>
              <w:ind w:firstLine="81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参编</w:t>
            </w:r>
            <w:r>
              <w:rPr>
                <w:rFonts w:ascii="方正书宋简体" w:hAnsi="方正书宋简体" w:eastAsia="方正书宋简体" w:cs="方正书宋简体"/>
                <w:spacing w:val="30"/>
                <w:sz w:val="21"/>
                <w:szCs w:val="21"/>
              </w:rPr>
              <w:t xml:space="preserve"> </w:t>
            </w:r>
            <w:r>
              <w:rPr>
                <w:rFonts w:ascii="方正书宋简体" w:hAnsi="方正书宋简体" w:eastAsia="方正书宋简体" w:cs="方正书宋简体"/>
                <w:spacing w:val="-5"/>
                <w:sz w:val="21"/>
                <w:szCs w:val="21"/>
              </w:rPr>
              <w:t>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5"/>
                <w:sz w:val="21"/>
                <w:szCs w:val="21"/>
              </w:rPr>
              <w:t>万字以下</w:t>
            </w:r>
          </w:p>
        </w:tc>
        <w:tc>
          <w:tcPr>
            <w:tcW w:w="768" w:type="dxa"/>
            <w:tcBorders>
              <w:right w:val="single" w:color="000000" w:sz="6" w:space="0"/>
            </w:tcBorders>
            <w:vAlign w:val="top"/>
          </w:tcPr>
          <w:p>
            <w:pPr>
              <w:spacing w:before="165"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1017" w:type="dxa"/>
            <w:vMerge w:val="continue"/>
            <w:tcBorders>
              <w:top w:val="nil"/>
              <w:left w:val="single" w:color="000000" w:sz="6" w:space="0"/>
              <w:bottom w:val="single" w:color="000000" w:sz="6" w:space="0"/>
            </w:tcBorders>
            <w:vAlign w:val="top"/>
          </w:tcPr>
          <w:p>
            <w:pPr>
              <w:rPr>
                <w:rFonts w:ascii="Malgun Gothic"/>
                <w:sz w:val="21"/>
              </w:rPr>
            </w:pPr>
          </w:p>
        </w:tc>
        <w:tc>
          <w:tcPr>
            <w:tcW w:w="1327" w:type="dxa"/>
            <w:vMerge w:val="continue"/>
            <w:tcBorders>
              <w:top w:val="nil"/>
              <w:bottom w:val="single" w:color="000000" w:sz="6" w:space="0"/>
            </w:tcBorders>
            <w:vAlign w:val="top"/>
          </w:tcPr>
          <w:p>
            <w:pPr>
              <w:rPr>
                <w:rFonts w:ascii="Malgun Gothic"/>
                <w:sz w:val="21"/>
              </w:rPr>
            </w:pPr>
          </w:p>
        </w:tc>
        <w:tc>
          <w:tcPr>
            <w:tcW w:w="2526" w:type="dxa"/>
            <w:vMerge w:val="continue"/>
            <w:tcBorders>
              <w:top w:val="nil"/>
              <w:bottom w:val="single" w:color="000000" w:sz="6" w:space="0"/>
            </w:tcBorders>
            <w:vAlign w:val="top"/>
          </w:tcPr>
          <w:p>
            <w:pPr>
              <w:rPr>
                <w:rFonts w:ascii="Malgun Gothic"/>
                <w:sz w:val="21"/>
              </w:rPr>
            </w:pPr>
          </w:p>
        </w:tc>
        <w:tc>
          <w:tcPr>
            <w:tcW w:w="3096" w:type="dxa"/>
            <w:tcBorders>
              <w:bottom w:val="single" w:color="000000" w:sz="6" w:space="0"/>
            </w:tcBorders>
            <w:vAlign w:val="top"/>
          </w:tcPr>
          <w:p>
            <w:pPr>
              <w:spacing w:before="140" w:line="180" w:lineRule="auto"/>
              <w:ind w:firstLine="3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独著结集印刷没公开发表</w:t>
            </w:r>
          </w:p>
        </w:tc>
        <w:tc>
          <w:tcPr>
            <w:tcW w:w="768" w:type="dxa"/>
            <w:tcBorders>
              <w:bottom w:val="single" w:color="000000" w:sz="6" w:space="0"/>
              <w:right w:val="single" w:color="000000" w:sz="6" w:space="0"/>
            </w:tcBorders>
            <w:vAlign w:val="top"/>
          </w:tcPr>
          <w:p>
            <w:pPr>
              <w:spacing w:before="169"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bl>
    <w:p>
      <w:pPr>
        <w:spacing w:line="408" w:lineRule="auto"/>
        <w:rPr>
          <w:rFonts w:ascii="Malgun Gothic"/>
          <w:sz w:val="21"/>
        </w:rPr>
      </w:pPr>
    </w:p>
    <w:p>
      <w:pPr>
        <w:spacing w:before="52" w:line="180" w:lineRule="auto"/>
        <w:ind w:firstLine="426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101</w:t>
      </w:r>
    </w:p>
    <w:p>
      <w:pPr>
        <w:sectPr>
          <w:footerReference r:id="rId105"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1327"/>
        <w:gridCol w:w="2526"/>
        <w:gridCol w:w="3096"/>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344" w:type="dxa"/>
            <w:gridSpan w:val="2"/>
            <w:tcBorders>
              <w:top w:val="single" w:color="000000" w:sz="6" w:space="0"/>
              <w:left w:val="single" w:color="000000" w:sz="6" w:space="0"/>
            </w:tcBorders>
            <w:vAlign w:val="top"/>
          </w:tcPr>
          <w:p>
            <w:pPr>
              <w:spacing w:before="94" w:line="180" w:lineRule="auto"/>
              <w:ind w:firstLine="909"/>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项</w:t>
            </w:r>
            <w:r>
              <w:rPr>
                <w:rFonts w:ascii="Microsoft JhengHei" w:hAnsi="Microsoft JhengHei" w:eastAsia="Microsoft JhengHei" w:cs="Microsoft JhengHei"/>
                <w:spacing w:val="19"/>
                <w:sz w:val="21"/>
                <w:szCs w:val="21"/>
              </w:rPr>
              <w:t xml:space="preserve">  </w:t>
            </w:r>
            <w:r>
              <w:rPr>
                <w:rFonts w:ascii="Microsoft JhengHei" w:hAnsi="Microsoft JhengHei" w:eastAsia="Microsoft JhengHei" w:cs="Microsoft JhengHei"/>
                <w:spacing w:val="-5"/>
                <w:sz w:val="21"/>
                <w:szCs w:val="21"/>
              </w:rPr>
              <w:t>目</w:t>
            </w:r>
          </w:p>
        </w:tc>
        <w:tc>
          <w:tcPr>
            <w:tcW w:w="5622" w:type="dxa"/>
            <w:gridSpan w:val="2"/>
            <w:tcBorders>
              <w:top w:val="single" w:color="000000" w:sz="6" w:space="0"/>
            </w:tcBorders>
            <w:vAlign w:val="top"/>
          </w:tcPr>
          <w:p>
            <w:pPr>
              <w:spacing w:before="94" w:line="180" w:lineRule="auto"/>
              <w:ind w:firstLine="208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考核内容及标准</w:t>
            </w:r>
          </w:p>
        </w:tc>
        <w:tc>
          <w:tcPr>
            <w:tcW w:w="768" w:type="dxa"/>
            <w:tcBorders>
              <w:top w:val="single" w:color="000000" w:sz="6" w:space="0"/>
              <w:right w:val="single" w:color="000000" w:sz="6" w:space="0"/>
            </w:tcBorders>
            <w:vAlign w:val="top"/>
          </w:tcPr>
          <w:p>
            <w:pPr>
              <w:spacing w:before="94" w:line="180" w:lineRule="auto"/>
              <w:ind w:firstLine="76"/>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学分值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017" w:type="dxa"/>
            <w:vMerge w:val="restart"/>
            <w:tcBorders>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294" w:lineRule="auto"/>
              <w:rPr>
                <w:rFonts w:ascii="Malgun Gothic"/>
                <w:sz w:val="21"/>
              </w:rPr>
            </w:pPr>
          </w:p>
          <w:p>
            <w:pPr>
              <w:spacing w:before="76" w:line="180" w:lineRule="auto"/>
              <w:ind w:firstLine="2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专利申请</w:t>
            </w:r>
          </w:p>
        </w:tc>
        <w:tc>
          <w:tcPr>
            <w:tcW w:w="2526" w:type="dxa"/>
            <w:vMerge w:val="restart"/>
            <w:tcBorders>
              <w:bottom w:val="nil"/>
            </w:tcBorders>
            <w:vAlign w:val="top"/>
          </w:tcPr>
          <w:p>
            <w:pPr>
              <w:spacing w:line="294" w:lineRule="auto"/>
              <w:rPr>
                <w:rFonts w:ascii="Malgun Gothic"/>
                <w:sz w:val="21"/>
              </w:rPr>
            </w:pPr>
          </w:p>
          <w:p>
            <w:pPr>
              <w:spacing w:before="76" w:line="180" w:lineRule="auto"/>
              <w:ind w:firstLine="2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获国家专利局专利授权</w:t>
            </w:r>
          </w:p>
        </w:tc>
        <w:tc>
          <w:tcPr>
            <w:tcW w:w="3096" w:type="dxa"/>
            <w:vAlign w:val="top"/>
          </w:tcPr>
          <w:p>
            <w:pPr>
              <w:spacing w:before="94" w:line="180" w:lineRule="auto"/>
              <w:ind w:firstLine="112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创造发明</w:t>
            </w:r>
          </w:p>
        </w:tc>
        <w:tc>
          <w:tcPr>
            <w:tcW w:w="768" w:type="dxa"/>
            <w:tcBorders>
              <w:right w:val="single" w:color="000000" w:sz="6" w:space="0"/>
            </w:tcBorders>
            <w:vAlign w:val="top"/>
          </w:tcPr>
          <w:p>
            <w:pPr>
              <w:spacing w:before="125"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7" w:line="180" w:lineRule="auto"/>
              <w:ind w:firstLine="113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实用新型</w:t>
            </w:r>
          </w:p>
        </w:tc>
        <w:tc>
          <w:tcPr>
            <w:tcW w:w="768" w:type="dxa"/>
            <w:tcBorders>
              <w:right w:val="single" w:color="000000" w:sz="6" w:space="0"/>
            </w:tcBorders>
            <w:vAlign w:val="top"/>
          </w:tcPr>
          <w:p>
            <w:pPr>
              <w:spacing w:before="127"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97" w:line="180" w:lineRule="auto"/>
              <w:ind w:firstLine="112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外观设计</w:t>
            </w:r>
          </w:p>
        </w:tc>
        <w:tc>
          <w:tcPr>
            <w:tcW w:w="768" w:type="dxa"/>
            <w:tcBorders>
              <w:right w:val="single" w:color="000000" w:sz="6" w:space="0"/>
            </w:tcBorders>
            <w:vAlign w:val="top"/>
          </w:tcPr>
          <w:p>
            <w:pPr>
              <w:spacing w:before="129"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443" w:lineRule="auto"/>
              <w:rPr>
                <w:rFonts w:ascii="Malgun Gothic"/>
                <w:sz w:val="21"/>
              </w:rPr>
            </w:pPr>
          </w:p>
          <w:p>
            <w:pPr>
              <w:spacing w:before="75" w:line="180" w:lineRule="auto"/>
              <w:ind w:firstLine="2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学术活动</w:t>
            </w:r>
          </w:p>
        </w:tc>
        <w:tc>
          <w:tcPr>
            <w:tcW w:w="2526" w:type="dxa"/>
            <w:vMerge w:val="restart"/>
            <w:tcBorders>
              <w:bottom w:val="nil"/>
            </w:tcBorders>
            <w:vAlign w:val="top"/>
          </w:tcPr>
          <w:p>
            <w:pPr>
              <w:spacing w:line="295" w:lineRule="auto"/>
              <w:rPr>
                <w:rFonts w:ascii="Malgun Gothic"/>
                <w:sz w:val="21"/>
              </w:rPr>
            </w:pPr>
          </w:p>
          <w:p>
            <w:pPr>
              <w:spacing w:before="76" w:line="180" w:lineRule="auto"/>
              <w:ind w:firstLine="6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参加学术会议</w:t>
            </w:r>
          </w:p>
        </w:tc>
        <w:tc>
          <w:tcPr>
            <w:tcW w:w="3096" w:type="dxa"/>
            <w:vAlign w:val="top"/>
          </w:tcPr>
          <w:p>
            <w:pPr>
              <w:spacing w:before="96" w:line="180" w:lineRule="auto"/>
              <w:ind w:firstLine="2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国际性学术会议并有论文交流</w:t>
            </w:r>
          </w:p>
        </w:tc>
        <w:tc>
          <w:tcPr>
            <w:tcW w:w="768" w:type="dxa"/>
            <w:tcBorders>
              <w:right w:val="single" w:color="000000" w:sz="6" w:space="0"/>
            </w:tcBorders>
            <w:vAlign w:val="top"/>
          </w:tcPr>
          <w:p>
            <w:pPr>
              <w:spacing w:before="128"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7"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全国性学术会议并有论文交流</w:t>
            </w:r>
          </w:p>
        </w:tc>
        <w:tc>
          <w:tcPr>
            <w:tcW w:w="768" w:type="dxa"/>
            <w:tcBorders>
              <w:right w:val="single" w:color="000000" w:sz="6" w:space="0"/>
            </w:tcBorders>
            <w:vAlign w:val="top"/>
          </w:tcPr>
          <w:p>
            <w:pPr>
              <w:spacing w:before="128"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99"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地区性学术会议并有论文交流</w:t>
            </w:r>
          </w:p>
        </w:tc>
        <w:tc>
          <w:tcPr>
            <w:tcW w:w="768" w:type="dxa"/>
            <w:tcBorders>
              <w:right w:val="single" w:color="000000" w:sz="6" w:space="0"/>
            </w:tcBorders>
            <w:vAlign w:val="top"/>
          </w:tcPr>
          <w:p>
            <w:pPr>
              <w:spacing w:before="128"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1017" w:type="dxa"/>
            <w:vMerge w:val="continue"/>
            <w:tcBorders>
              <w:top w:val="nil"/>
              <w:left w:val="single" w:color="000000" w:sz="6" w:space="0"/>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Align w:val="top"/>
          </w:tcPr>
          <w:p>
            <w:pPr>
              <w:spacing w:before="101" w:line="180" w:lineRule="auto"/>
              <w:ind w:firstLine="104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访学</w:t>
            </w:r>
          </w:p>
        </w:tc>
        <w:tc>
          <w:tcPr>
            <w:tcW w:w="3096" w:type="dxa"/>
            <w:vAlign w:val="top"/>
          </w:tcPr>
          <w:p>
            <w:pPr>
              <w:spacing w:before="99" w:line="180" w:lineRule="auto"/>
              <w:ind w:firstLine="73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国外访学并有报告</w:t>
            </w:r>
          </w:p>
        </w:tc>
        <w:tc>
          <w:tcPr>
            <w:tcW w:w="768" w:type="dxa"/>
            <w:tcBorders>
              <w:right w:val="single" w:color="000000" w:sz="6" w:space="0"/>
            </w:tcBorders>
            <w:vAlign w:val="top"/>
          </w:tcPr>
          <w:p>
            <w:pPr>
              <w:spacing w:before="128"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restart"/>
            <w:tcBorders>
              <w:left w:val="single" w:color="000000" w:sz="6" w:space="0"/>
              <w:bottom w:val="nil"/>
            </w:tcBorders>
            <w:vAlign w:val="top"/>
          </w:tcPr>
          <w:p>
            <w:pPr>
              <w:spacing w:line="277" w:lineRule="auto"/>
              <w:rPr>
                <w:rFonts w:ascii="Malgun Gothic"/>
                <w:sz w:val="21"/>
              </w:rPr>
            </w:pPr>
          </w:p>
          <w:p>
            <w:pPr>
              <w:spacing w:line="277" w:lineRule="auto"/>
              <w:rPr>
                <w:rFonts w:ascii="Malgun Gothic"/>
                <w:sz w:val="21"/>
              </w:rPr>
            </w:pPr>
          </w:p>
          <w:p>
            <w:pPr>
              <w:spacing w:line="277" w:lineRule="auto"/>
              <w:rPr>
                <w:rFonts w:ascii="Malgun Gothic"/>
                <w:sz w:val="21"/>
              </w:rPr>
            </w:pPr>
          </w:p>
          <w:p>
            <w:pPr>
              <w:spacing w:line="278" w:lineRule="auto"/>
              <w:rPr>
                <w:rFonts w:ascii="Malgun Gothic"/>
                <w:sz w:val="21"/>
              </w:rPr>
            </w:pPr>
          </w:p>
          <w:p>
            <w:pPr>
              <w:spacing w:line="278" w:lineRule="auto"/>
              <w:rPr>
                <w:rFonts w:ascii="Malgun Gothic"/>
                <w:sz w:val="21"/>
              </w:rPr>
            </w:pPr>
          </w:p>
          <w:p>
            <w:pPr>
              <w:spacing w:line="278" w:lineRule="auto"/>
              <w:rPr>
                <w:rFonts w:ascii="Malgun Gothic"/>
                <w:sz w:val="21"/>
              </w:rPr>
            </w:pPr>
          </w:p>
          <w:p>
            <w:pPr>
              <w:spacing w:before="75" w:line="334" w:lineRule="exact"/>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position w:val="11"/>
                <w:sz w:val="21"/>
                <w:szCs w:val="21"/>
              </w:rPr>
              <w:t>二、</w:t>
            </w:r>
          </w:p>
          <w:p>
            <w:pPr>
              <w:spacing w:line="204"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p>
            <w:pPr>
              <w:spacing w:before="114" w:line="180"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技能</w:t>
            </w:r>
          </w:p>
          <w:p>
            <w:pPr>
              <w:spacing w:before="140"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学分</w:t>
            </w:r>
          </w:p>
        </w:tc>
        <w:tc>
          <w:tcPr>
            <w:tcW w:w="1327" w:type="dxa"/>
            <w:vMerge w:val="restart"/>
            <w:tcBorders>
              <w:bottom w:val="nil"/>
            </w:tcBorders>
            <w:vAlign w:val="top"/>
          </w:tcPr>
          <w:p>
            <w:pPr>
              <w:spacing w:line="242"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76" w:line="292" w:lineRule="auto"/>
              <w:ind w:left="181" w:right="244" w:firstLine="5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学科竞赛</w:t>
            </w:r>
            <w:r>
              <w:rPr>
                <w:rFonts w:ascii="方正书宋简体" w:hAnsi="方正书宋简体" w:eastAsia="方正书宋简体" w:cs="方正书宋简体"/>
                <w:spacing w:val="2"/>
                <w:sz w:val="21"/>
                <w:szCs w:val="21"/>
              </w:rPr>
              <w:t xml:space="preserve"> （A</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2"/>
                <w:sz w:val="21"/>
                <w:szCs w:val="21"/>
              </w:rPr>
              <w:t>类）</w:t>
            </w:r>
          </w:p>
        </w:tc>
        <w:tc>
          <w:tcPr>
            <w:tcW w:w="2526" w:type="dxa"/>
            <w:vMerge w:val="restart"/>
            <w:tcBorders>
              <w:bottom w:val="nil"/>
            </w:tcBorders>
            <w:vAlign w:val="top"/>
          </w:tcPr>
          <w:p>
            <w:pPr>
              <w:spacing w:line="437" w:lineRule="auto"/>
              <w:rPr>
                <w:rFonts w:ascii="Malgun Gothic"/>
                <w:sz w:val="21"/>
              </w:rPr>
            </w:pPr>
          </w:p>
          <w:p>
            <w:pPr>
              <w:spacing w:before="75" w:line="180" w:lineRule="auto"/>
              <w:ind w:firstLine="86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国家级奖</w:t>
            </w:r>
          </w:p>
        </w:tc>
        <w:tc>
          <w:tcPr>
            <w:tcW w:w="3096" w:type="dxa"/>
            <w:vAlign w:val="top"/>
          </w:tcPr>
          <w:p>
            <w:pPr>
              <w:spacing w:before="93"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26"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5"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27"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7"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1"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0"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优秀奖</w:t>
            </w:r>
          </w:p>
        </w:tc>
        <w:tc>
          <w:tcPr>
            <w:tcW w:w="768" w:type="dxa"/>
            <w:tcBorders>
              <w:right w:val="single" w:color="000000" w:sz="6" w:space="0"/>
            </w:tcBorders>
            <w:vAlign w:val="top"/>
          </w:tcPr>
          <w:p>
            <w:pPr>
              <w:spacing w:before="132"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439" w:lineRule="auto"/>
              <w:rPr>
                <w:rFonts w:ascii="Malgun Gothic"/>
                <w:sz w:val="21"/>
              </w:rPr>
            </w:pPr>
          </w:p>
          <w:p>
            <w:pPr>
              <w:spacing w:before="75" w:line="180" w:lineRule="auto"/>
              <w:ind w:firstLine="8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省部级奖</w:t>
            </w:r>
          </w:p>
        </w:tc>
        <w:tc>
          <w:tcPr>
            <w:tcW w:w="3096" w:type="dxa"/>
            <w:vAlign w:val="top"/>
          </w:tcPr>
          <w:p>
            <w:pPr>
              <w:spacing w:before="97"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29"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9"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3"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1"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5"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4"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优秀奖</w:t>
            </w:r>
          </w:p>
        </w:tc>
        <w:tc>
          <w:tcPr>
            <w:tcW w:w="768" w:type="dxa"/>
            <w:tcBorders>
              <w:right w:val="single" w:color="000000" w:sz="6" w:space="0"/>
            </w:tcBorders>
            <w:vAlign w:val="top"/>
          </w:tcPr>
          <w:p>
            <w:pPr>
              <w:spacing w:before="136"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300" w:lineRule="auto"/>
              <w:rPr>
                <w:rFonts w:ascii="Malgun Gothic"/>
                <w:sz w:val="21"/>
              </w:rPr>
            </w:pPr>
          </w:p>
          <w:p>
            <w:pPr>
              <w:spacing w:before="75" w:line="180" w:lineRule="auto"/>
              <w:ind w:firstLine="9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校级奖</w:t>
            </w:r>
          </w:p>
        </w:tc>
        <w:tc>
          <w:tcPr>
            <w:tcW w:w="3096" w:type="dxa"/>
            <w:vAlign w:val="top"/>
          </w:tcPr>
          <w:p>
            <w:pPr>
              <w:spacing w:before="101"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34" w:line="180" w:lineRule="auto"/>
              <w:ind w:firstLine="3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3"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7"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5"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8"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Align w:val="top"/>
          </w:tcPr>
          <w:p>
            <w:pPr>
              <w:spacing w:before="103" w:line="180" w:lineRule="auto"/>
              <w:ind w:firstLine="5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学科竞赛参与者</w:t>
            </w:r>
          </w:p>
        </w:tc>
        <w:tc>
          <w:tcPr>
            <w:tcW w:w="3096" w:type="dxa"/>
            <w:vAlign w:val="top"/>
          </w:tcPr>
          <w:p>
            <w:pPr>
              <w:rPr>
                <w:rFonts w:ascii="Malgun Gothic"/>
                <w:sz w:val="21"/>
              </w:rPr>
            </w:pPr>
          </w:p>
        </w:tc>
        <w:tc>
          <w:tcPr>
            <w:tcW w:w="768" w:type="dxa"/>
            <w:tcBorders>
              <w:right w:val="single" w:color="000000" w:sz="6" w:space="0"/>
            </w:tcBorders>
            <w:vAlign w:val="top"/>
          </w:tcPr>
          <w:p>
            <w:pPr>
              <w:spacing w:before="135"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300" w:lineRule="auto"/>
              <w:rPr>
                <w:rFonts w:ascii="Malgun Gothic"/>
                <w:sz w:val="21"/>
              </w:rPr>
            </w:pPr>
          </w:p>
          <w:p>
            <w:pPr>
              <w:spacing w:before="75" w:line="180" w:lineRule="auto"/>
              <w:ind w:firstLine="2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技能考核</w:t>
            </w:r>
          </w:p>
        </w:tc>
        <w:tc>
          <w:tcPr>
            <w:tcW w:w="2526" w:type="dxa"/>
            <w:vMerge w:val="restart"/>
            <w:tcBorders>
              <w:bottom w:val="nil"/>
            </w:tcBorders>
            <w:vAlign w:val="top"/>
          </w:tcPr>
          <w:p>
            <w:pPr>
              <w:spacing w:before="153" w:line="252" w:lineRule="auto"/>
              <w:ind w:left="1152" w:right="104" w:hanging="102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国家职业资格技能鉴定考</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z w:val="21"/>
                <w:szCs w:val="21"/>
              </w:rPr>
              <w:t>试</w:t>
            </w:r>
          </w:p>
        </w:tc>
        <w:tc>
          <w:tcPr>
            <w:tcW w:w="3096" w:type="dxa"/>
            <w:vAlign w:val="top"/>
          </w:tcPr>
          <w:p>
            <w:pPr>
              <w:spacing w:before="102"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高级（三级以上）</w:t>
            </w:r>
          </w:p>
        </w:tc>
        <w:tc>
          <w:tcPr>
            <w:tcW w:w="768" w:type="dxa"/>
            <w:tcBorders>
              <w:right w:val="single" w:color="000000" w:sz="6" w:space="0"/>
            </w:tcBorders>
            <w:vAlign w:val="top"/>
          </w:tcPr>
          <w:p>
            <w:pPr>
              <w:spacing w:before="135"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7" w:line="180" w:lineRule="auto"/>
              <w:ind w:firstLine="94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中级（四级）</w:t>
            </w:r>
          </w:p>
        </w:tc>
        <w:tc>
          <w:tcPr>
            <w:tcW w:w="768" w:type="dxa"/>
            <w:tcBorders>
              <w:right w:val="single" w:color="000000" w:sz="6" w:space="0"/>
            </w:tcBorders>
            <w:vAlign w:val="top"/>
          </w:tcPr>
          <w:p>
            <w:pPr>
              <w:spacing w:before="133"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017" w:type="dxa"/>
            <w:vMerge w:val="continue"/>
            <w:tcBorders>
              <w:top w:val="nil"/>
              <w:left w:val="single" w:color="000000" w:sz="6" w:space="0"/>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Align w:val="top"/>
          </w:tcPr>
          <w:p>
            <w:pPr>
              <w:spacing w:before="103" w:line="180" w:lineRule="auto"/>
              <w:ind w:firstLine="2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其它专业职业资格证书</w:t>
            </w:r>
          </w:p>
        </w:tc>
        <w:tc>
          <w:tcPr>
            <w:tcW w:w="3096" w:type="dxa"/>
            <w:vAlign w:val="top"/>
          </w:tcPr>
          <w:p>
            <w:pPr>
              <w:spacing w:before="104" w:line="180" w:lineRule="auto"/>
              <w:ind w:firstLine="33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（由素质教育中心认定）</w:t>
            </w:r>
          </w:p>
        </w:tc>
        <w:tc>
          <w:tcPr>
            <w:tcW w:w="768" w:type="dxa"/>
            <w:tcBorders>
              <w:right w:val="single" w:color="000000" w:sz="6" w:space="0"/>
            </w:tcBorders>
            <w:vAlign w:val="top"/>
          </w:tcPr>
          <w:p>
            <w:pPr>
              <w:spacing w:before="134" w:line="180" w:lineRule="auto"/>
              <w:ind w:firstLine="27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restart"/>
            <w:tcBorders>
              <w:left w:val="single" w:color="000000" w:sz="6" w:space="0"/>
              <w:bottom w:val="nil"/>
            </w:tcBorders>
            <w:vAlign w:val="top"/>
          </w:tcPr>
          <w:p>
            <w:pPr>
              <w:spacing w:line="332" w:lineRule="auto"/>
              <w:rPr>
                <w:rFonts w:ascii="Malgun Gothic"/>
                <w:sz w:val="21"/>
              </w:rPr>
            </w:pPr>
          </w:p>
          <w:p>
            <w:pPr>
              <w:spacing w:line="332" w:lineRule="auto"/>
              <w:rPr>
                <w:rFonts w:ascii="Malgun Gothic"/>
                <w:sz w:val="21"/>
              </w:rPr>
            </w:pPr>
          </w:p>
          <w:p>
            <w:pPr>
              <w:spacing w:before="75" w:line="349" w:lineRule="exact"/>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position w:val="12"/>
                <w:sz w:val="21"/>
                <w:szCs w:val="21"/>
              </w:rPr>
              <w:t>三、</w:t>
            </w:r>
          </w:p>
          <w:p>
            <w:pPr>
              <w:spacing w:before="1" w:line="204"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社会</w:t>
            </w:r>
          </w:p>
          <w:p>
            <w:pPr>
              <w:spacing w:before="108"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实践</w:t>
            </w:r>
          </w:p>
          <w:p>
            <w:pPr>
              <w:spacing w:before="141"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学分</w:t>
            </w:r>
          </w:p>
        </w:tc>
        <w:tc>
          <w:tcPr>
            <w:tcW w:w="1327" w:type="dxa"/>
            <w:vMerge w:val="restart"/>
            <w:tcBorders>
              <w:bottom w:val="nil"/>
            </w:tcBorders>
            <w:vAlign w:val="top"/>
          </w:tcPr>
          <w:p>
            <w:pPr>
              <w:spacing w:line="443" w:lineRule="auto"/>
              <w:rPr>
                <w:rFonts w:ascii="Malgun Gothic"/>
                <w:sz w:val="21"/>
              </w:rPr>
            </w:pPr>
          </w:p>
          <w:p>
            <w:pPr>
              <w:spacing w:before="75"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社会实践</w:t>
            </w:r>
          </w:p>
        </w:tc>
        <w:tc>
          <w:tcPr>
            <w:tcW w:w="2526" w:type="dxa"/>
            <w:vMerge w:val="restart"/>
            <w:tcBorders>
              <w:bottom w:val="nil"/>
            </w:tcBorders>
            <w:vAlign w:val="top"/>
          </w:tcPr>
          <w:p>
            <w:pPr>
              <w:spacing w:line="441" w:lineRule="auto"/>
              <w:rPr>
                <w:rFonts w:ascii="Malgun Gothic"/>
                <w:sz w:val="21"/>
              </w:rPr>
            </w:pPr>
          </w:p>
          <w:p>
            <w:pPr>
              <w:spacing w:before="76" w:line="180" w:lineRule="auto"/>
              <w:ind w:firstLine="2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社会实践活动先进表彰</w:t>
            </w:r>
          </w:p>
        </w:tc>
        <w:tc>
          <w:tcPr>
            <w:tcW w:w="3096" w:type="dxa"/>
            <w:vAlign w:val="top"/>
          </w:tcPr>
          <w:p>
            <w:pPr>
              <w:spacing w:before="103" w:line="180" w:lineRule="auto"/>
              <w:ind w:firstLine="125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768" w:type="dxa"/>
            <w:tcBorders>
              <w:right w:val="single" w:color="000000" w:sz="6" w:space="0"/>
            </w:tcBorders>
            <w:vAlign w:val="top"/>
          </w:tcPr>
          <w:p>
            <w:pPr>
              <w:spacing w:before="134"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7" w:line="180" w:lineRule="auto"/>
              <w:ind w:firstLine="13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省级</w:t>
            </w:r>
          </w:p>
        </w:tc>
        <w:tc>
          <w:tcPr>
            <w:tcW w:w="768" w:type="dxa"/>
            <w:tcBorders>
              <w:right w:val="single" w:color="000000" w:sz="6" w:space="0"/>
            </w:tcBorders>
            <w:vAlign w:val="top"/>
          </w:tcPr>
          <w:p>
            <w:pPr>
              <w:spacing w:before="136"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9" w:line="180" w:lineRule="auto"/>
              <w:ind w:firstLine="13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c>
          <w:tcPr>
            <w:tcW w:w="768" w:type="dxa"/>
            <w:tcBorders>
              <w:right w:val="single" w:color="000000" w:sz="6" w:space="0"/>
            </w:tcBorders>
            <w:vAlign w:val="top"/>
          </w:tcPr>
          <w:p>
            <w:pPr>
              <w:spacing w:before="138"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4" w:line="180" w:lineRule="auto"/>
              <w:ind w:firstLine="1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参加者</w:t>
            </w:r>
          </w:p>
        </w:tc>
        <w:tc>
          <w:tcPr>
            <w:tcW w:w="768" w:type="dxa"/>
            <w:tcBorders>
              <w:right w:val="single" w:color="000000" w:sz="6" w:space="0"/>
            </w:tcBorders>
            <w:vAlign w:val="top"/>
          </w:tcPr>
          <w:p>
            <w:pPr>
              <w:spacing w:before="139"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325" w:lineRule="auto"/>
              <w:rPr>
                <w:rFonts w:ascii="Malgun Gothic"/>
                <w:sz w:val="21"/>
              </w:rPr>
            </w:pPr>
          </w:p>
          <w:p>
            <w:pPr>
              <w:spacing w:before="75" w:line="293" w:lineRule="auto"/>
              <w:ind w:left="451" w:right="244" w:hanging="2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校园文化</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3"/>
                <w:sz w:val="21"/>
                <w:szCs w:val="21"/>
              </w:rPr>
              <w:t>活动</w:t>
            </w:r>
          </w:p>
        </w:tc>
        <w:tc>
          <w:tcPr>
            <w:tcW w:w="2526" w:type="dxa"/>
            <w:vMerge w:val="restart"/>
            <w:tcBorders>
              <w:bottom w:val="nil"/>
            </w:tcBorders>
            <w:vAlign w:val="top"/>
          </w:tcPr>
          <w:p>
            <w:pPr>
              <w:spacing w:line="444" w:lineRule="auto"/>
              <w:rPr>
                <w:rFonts w:ascii="Malgun Gothic"/>
                <w:sz w:val="21"/>
              </w:rPr>
            </w:pPr>
          </w:p>
          <w:p>
            <w:pPr>
              <w:spacing w:before="75" w:line="180" w:lineRule="auto"/>
              <w:ind w:firstLine="96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3096" w:type="dxa"/>
            <w:vAlign w:val="top"/>
          </w:tcPr>
          <w:p>
            <w:pPr>
              <w:spacing w:before="104"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36"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5"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9"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7"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41"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1017" w:type="dxa"/>
            <w:vMerge w:val="continue"/>
            <w:tcBorders>
              <w:top w:val="nil"/>
              <w:left w:val="single" w:color="000000" w:sz="6" w:space="0"/>
              <w:bottom w:val="single" w:color="000000" w:sz="6" w:space="0"/>
            </w:tcBorders>
            <w:vAlign w:val="top"/>
          </w:tcPr>
          <w:p>
            <w:pPr>
              <w:rPr>
                <w:rFonts w:ascii="Malgun Gothic"/>
                <w:sz w:val="21"/>
              </w:rPr>
            </w:pPr>
          </w:p>
        </w:tc>
        <w:tc>
          <w:tcPr>
            <w:tcW w:w="1327" w:type="dxa"/>
            <w:vMerge w:val="continue"/>
            <w:tcBorders>
              <w:top w:val="nil"/>
              <w:bottom w:val="single" w:color="000000" w:sz="6" w:space="0"/>
            </w:tcBorders>
            <w:vAlign w:val="top"/>
          </w:tcPr>
          <w:p>
            <w:pPr>
              <w:rPr>
                <w:rFonts w:ascii="Malgun Gothic"/>
                <w:sz w:val="21"/>
              </w:rPr>
            </w:pPr>
          </w:p>
        </w:tc>
        <w:tc>
          <w:tcPr>
            <w:tcW w:w="2526" w:type="dxa"/>
            <w:vMerge w:val="continue"/>
            <w:tcBorders>
              <w:top w:val="nil"/>
              <w:bottom w:val="single" w:color="000000" w:sz="6" w:space="0"/>
            </w:tcBorders>
            <w:vAlign w:val="top"/>
          </w:tcPr>
          <w:p>
            <w:pPr>
              <w:rPr>
                <w:rFonts w:ascii="Malgun Gothic"/>
                <w:sz w:val="21"/>
              </w:rPr>
            </w:pPr>
          </w:p>
        </w:tc>
        <w:tc>
          <w:tcPr>
            <w:tcW w:w="3096" w:type="dxa"/>
            <w:tcBorders>
              <w:bottom w:val="single" w:color="000000" w:sz="6" w:space="0"/>
            </w:tcBorders>
            <w:vAlign w:val="top"/>
          </w:tcPr>
          <w:p>
            <w:pPr>
              <w:spacing w:before="111"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优胜奖</w:t>
            </w:r>
          </w:p>
        </w:tc>
        <w:tc>
          <w:tcPr>
            <w:tcW w:w="768" w:type="dxa"/>
            <w:tcBorders>
              <w:bottom w:val="single" w:color="000000" w:sz="6" w:space="0"/>
              <w:right w:val="single" w:color="000000" w:sz="6" w:space="0"/>
            </w:tcBorders>
            <w:vAlign w:val="top"/>
          </w:tcPr>
          <w:p>
            <w:pPr>
              <w:spacing w:before="143"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bl>
    <w:p>
      <w:pPr>
        <w:spacing w:line="304" w:lineRule="auto"/>
        <w:rPr>
          <w:rFonts w:ascii="Malgun Gothic"/>
          <w:sz w:val="21"/>
        </w:rPr>
      </w:pPr>
    </w:p>
    <w:p>
      <w:pPr>
        <w:spacing w:before="52" w:line="180" w:lineRule="auto"/>
        <w:ind w:firstLine="426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102</w:t>
      </w:r>
    </w:p>
    <w:p>
      <w:pPr>
        <w:sectPr>
          <w:footerReference r:id="rId106"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7"/>
        <w:gridCol w:w="1327"/>
        <w:gridCol w:w="2526"/>
        <w:gridCol w:w="3096"/>
        <w:gridCol w:w="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344" w:type="dxa"/>
            <w:gridSpan w:val="2"/>
            <w:tcBorders>
              <w:top w:val="single" w:color="000000" w:sz="6" w:space="0"/>
              <w:left w:val="single" w:color="000000" w:sz="6" w:space="0"/>
            </w:tcBorders>
            <w:vAlign w:val="top"/>
          </w:tcPr>
          <w:p>
            <w:pPr>
              <w:spacing w:before="94" w:line="180" w:lineRule="auto"/>
              <w:ind w:firstLine="909"/>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项</w:t>
            </w:r>
            <w:r>
              <w:rPr>
                <w:rFonts w:ascii="Microsoft JhengHei" w:hAnsi="Microsoft JhengHei" w:eastAsia="Microsoft JhengHei" w:cs="Microsoft JhengHei"/>
                <w:spacing w:val="19"/>
                <w:sz w:val="21"/>
                <w:szCs w:val="21"/>
              </w:rPr>
              <w:t xml:space="preserve">  </w:t>
            </w:r>
            <w:r>
              <w:rPr>
                <w:rFonts w:ascii="Microsoft JhengHei" w:hAnsi="Microsoft JhengHei" w:eastAsia="Microsoft JhengHei" w:cs="Microsoft JhengHei"/>
                <w:spacing w:val="-5"/>
                <w:sz w:val="21"/>
                <w:szCs w:val="21"/>
              </w:rPr>
              <w:t>目</w:t>
            </w:r>
          </w:p>
        </w:tc>
        <w:tc>
          <w:tcPr>
            <w:tcW w:w="5622" w:type="dxa"/>
            <w:gridSpan w:val="2"/>
            <w:tcBorders>
              <w:top w:val="single" w:color="000000" w:sz="6" w:space="0"/>
            </w:tcBorders>
            <w:vAlign w:val="top"/>
          </w:tcPr>
          <w:p>
            <w:pPr>
              <w:spacing w:before="94" w:line="180" w:lineRule="auto"/>
              <w:ind w:firstLine="208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考核内容及标准</w:t>
            </w:r>
          </w:p>
        </w:tc>
        <w:tc>
          <w:tcPr>
            <w:tcW w:w="768" w:type="dxa"/>
            <w:tcBorders>
              <w:top w:val="single" w:color="000000" w:sz="6" w:space="0"/>
              <w:right w:val="single" w:color="000000" w:sz="6" w:space="0"/>
            </w:tcBorders>
            <w:vAlign w:val="top"/>
          </w:tcPr>
          <w:p>
            <w:pPr>
              <w:spacing w:before="94" w:line="180" w:lineRule="auto"/>
              <w:ind w:firstLine="76"/>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学分值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17" w:type="dxa"/>
            <w:vMerge w:val="restart"/>
            <w:tcBorders>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rPr>
                <w:rFonts w:ascii="Malgun Gothic"/>
                <w:sz w:val="21"/>
              </w:rPr>
            </w:pPr>
          </w:p>
        </w:tc>
        <w:tc>
          <w:tcPr>
            <w:tcW w:w="2526" w:type="dxa"/>
            <w:vMerge w:val="restart"/>
            <w:tcBorders>
              <w:bottom w:val="nil"/>
            </w:tcBorders>
            <w:vAlign w:val="top"/>
          </w:tcPr>
          <w:p>
            <w:pPr>
              <w:spacing w:line="441" w:lineRule="auto"/>
              <w:rPr>
                <w:rFonts w:ascii="Malgun Gothic"/>
                <w:sz w:val="21"/>
              </w:rPr>
            </w:pPr>
          </w:p>
          <w:p>
            <w:pPr>
              <w:spacing w:before="75" w:line="180" w:lineRule="auto"/>
              <w:ind w:firstLine="9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省部级</w:t>
            </w:r>
          </w:p>
        </w:tc>
        <w:tc>
          <w:tcPr>
            <w:tcW w:w="3096" w:type="dxa"/>
            <w:vAlign w:val="top"/>
          </w:tcPr>
          <w:p>
            <w:pPr>
              <w:spacing w:before="92"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25"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4"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28"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6"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0"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0"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优胜奖</w:t>
            </w:r>
          </w:p>
        </w:tc>
        <w:tc>
          <w:tcPr>
            <w:tcW w:w="768" w:type="dxa"/>
            <w:tcBorders>
              <w:right w:val="single" w:color="000000" w:sz="6" w:space="0"/>
            </w:tcBorders>
            <w:vAlign w:val="top"/>
          </w:tcPr>
          <w:p>
            <w:pPr>
              <w:spacing w:before="128"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296" w:lineRule="auto"/>
              <w:rPr>
                <w:rFonts w:ascii="Malgun Gothic"/>
                <w:sz w:val="21"/>
              </w:rPr>
            </w:pPr>
          </w:p>
          <w:p>
            <w:pPr>
              <w:spacing w:line="296" w:lineRule="auto"/>
              <w:rPr>
                <w:rFonts w:ascii="Malgun Gothic"/>
                <w:sz w:val="21"/>
              </w:rPr>
            </w:pPr>
          </w:p>
          <w:p>
            <w:pPr>
              <w:spacing w:before="76" w:line="180" w:lineRule="auto"/>
              <w:ind w:firstLine="105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c>
          <w:tcPr>
            <w:tcW w:w="3096" w:type="dxa"/>
            <w:vAlign w:val="top"/>
          </w:tcPr>
          <w:p>
            <w:pPr>
              <w:spacing w:before="97"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768" w:type="dxa"/>
            <w:tcBorders>
              <w:right w:val="single" w:color="000000" w:sz="6" w:space="0"/>
            </w:tcBorders>
            <w:vAlign w:val="top"/>
          </w:tcPr>
          <w:p>
            <w:pPr>
              <w:spacing w:before="131"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99" w:line="180" w:lineRule="auto"/>
              <w:ind w:firstLine="1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768" w:type="dxa"/>
            <w:tcBorders>
              <w:right w:val="single" w:color="000000" w:sz="6" w:space="0"/>
            </w:tcBorders>
            <w:vAlign w:val="top"/>
          </w:tcPr>
          <w:p>
            <w:pPr>
              <w:spacing w:before="133" w:line="180" w:lineRule="auto"/>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1" w:line="180" w:lineRule="auto"/>
              <w:ind w:firstLine="1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768" w:type="dxa"/>
            <w:tcBorders>
              <w:right w:val="single" w:color="000000" w:sz="6" w:space="0"/>
            </w:tcBorders>
            <w:vAlign w:val="top"/>
          </w:tcPr>
          <w:p>
            <w:pPr>
              <w:spacing w:before="132"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5" w:line="180" w:lineRule="auto"/>
              <w:ind w:firstLine="1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优胜奖</w:t>
            </w:r>
          </w:p>
        </w:tc>
        <w:tc>
          <w:tcPr>
            <w:tcW w:w="768" w:type="dxa"/>
            <w:tcBorders>
              <w:right w:val="single" w:color="000000" w:sz="6" w:space="0"/>
            </w:tcBorders>
            <w:vAlign w:val="top"/>
          </w:tcPr>
          <w:p>
            <w:pPr>
              <w:spacing w:before="136"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4" w:line="180" w:lineRule="auto"/>
              <w:ind w:firstLine="1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参加者</w:t>
            </w:r>
          </w:p>
        </w:tc>
        <w:tc>
          <w:tcPr>
            <w:tcW w:w="768" w:type="dxa"/>
            <w:tcBorders>
              <w:right w:val="single" w:color="000000" w:sz="6" w:space="0"/>
            </w:tcBorders>
            <w:vAlign w:val="top"/>
          </w:tcPr>
          <w:p>
            <w:pPr>
              <w:spacing w:before="138"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before="319" w:line="180" w:lineRule="auto"/>
              <w:ind w:firstLine="63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大学生艺术团</w:t>
            </w:r>
          </w:p>
        </w:tc>
        <w:tc>
          <w:tcPr>
            <w:tcW w:w="3096" w:type="dxa"/>
            <w:vAlign w:val="top"/>
          </w:tcPr>
          <w:p>
            <w:pPr>
              <w:spacing w:before="106" w:line="180" w:lineRule="auto"/>
              <w:ind w:firstLine="113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校级优秀</w:t>
            </w:r>
          </w:p>
        </w:tc>
        <w:tc>
          <w:tcPr>
            <w:tcW w:w="768" w:type="dxa"/>
            <w:tcBorders>
              <w:right w:val="single" w:color="000000" w:sz="6" w:space="0"/>
            </w:tcBorders>
            <w:vAlign w:val="top"/>
          </w:tcPr>
          <w:p>
            <w:pPr>
              <w:spacing w:before="135"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05" w:line="180" w:lineRule="auto"/>
              <w:ind w:firstLine="1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参加者</w:t>
            </w:r>
          </w:p>
        </w:tc>
        <w:tc>
          <w:tcPr>
            <w:tcW w:w="768" w:type="dxa"/>
            <w:tcBorders>
              <w:right w:val="single" w:color="000000" w:sz="6" w:space="0"/>
            </w:tcBorders>
            <w:vAlign w:val="top"/>
          </w:tcPr>
          <w:p>
            <w:pPr>
              <w:spacing w:before="139"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restart"/>
            <w:tcBorders>
              <w:bottom w:val="nil"/>
            </w:tcBorders>
            <w:vAlign w:val="top"/>
          </w:tcPr>
          <w:p>
            <w:pPr>
              <w:spacing w:line="311" w:lineRule="auto"/>
              <w:rPr>
                <w:rFonts w:ascii="Malgun Gothic"/>
                <w:sz w:val="21"/>
              </w:rPr>
            </w:pPr>
          </w:p>
          <w:p>
            <w:pPr>
              <w:spacing w:before="75" w:line="180" w:lineRule="auto"/>
              <w:ind w:firstLine="57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“双百”工程</w:t>
            </w:r>
          </w:p>
        </w:tc>
        <w:tc>
          <w:tcPr>
            <w:tcW w:w="3096" w:type="dxa"/>
            <w:vAlign w:val="top"/>
          </w:tcPr>
          <w:p>
            <w:pPr>
              <w:spacing w:before="110" w:line="180" w:lineRule="auto"/>
              <w:ind w:firstLine="113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校级优秀</w:t>
            </w:r>
          </w:p>
        </w:tc>
        <w:tc>
          <w:tcPr>
            <w:tcW w:w="768" w:type="dxa"/>
            <w:tcBorders>
              <w:right w:val="single" w:color="000000" w:sz="6" w:space="0"/>
            </w:tcBorders>
            <w:vAlign w:val="top"/>
          </w:tcPr>
          <w:p>
            <w:pPr>
              <w:spacing w:before="138"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13" w:line="180" w:lineRule="auto"/>
              <w:ind w:firstLine="1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积极分子</w:t>
            </w:r>
          </w:p>
        </w:tc>
        <w:tc>
          <w:tcPr>
            <w:tcW w:w="768" w:type="dxa"/>
            <w:tcBorders>
              <w:right w:val="single" w:color="000000" w:sz="6" w:space="0"/>
            </w:tcBorders>
            <w:vAlign w:val="top"/>
          </w:tcPr>
          <w:p>
            <w:pPr>
              <w:spacing w:before="140"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tcBorders>
            <w:vAlign w:val="top"/>
          </w:tcPr>
          <w:p>
            <w:pPr>
              <w:rPr>
                <w:rFonts w:ascii="Malgun Gothic"/>
                <w:sz w:val="21"/>
              </w:rPr>
            </w:pPr>
          </w:p>
        </w:tc>
        <w:tc>
          <w:tcPr>
            <w:tcW w:w="3096" w:type="dxa"/>
            <w:vAlign w:val="top"/>
          </w:tcPr>
          <w:p>
            <w:pPr>
              <w:spacing w:before="110" w:line="180" w:lineRule="auto"/>
              <w:ind w:firstLine="1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参加者</w:t>
            </w:r>
          </w:p>
        </w:tc>
        <w:tc>
          <w:tcPr>
            <w:tcW w:w="768" w:type="dxa"/>
            <w:tcBorders>
              <w:right w:val="single" w:color="000000" w:sz="6" w:space="0"/>
            </w:tcBorders>
            <w:vAlign w:val="top"/>
          </w:tcPr>
          <w:p>
            <w:pPr>
              <w:spacing w:before="144"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tcBorders>
            <w:vAlign w:val="top"/>
          </w:tcPr>
          <w:p>
            <w:pPr>
              <w:rPr>
                <w:rFonts w:ascii="Malgun Gothic"/>
                <w:sz w:val="21"/>
              </w:rPr>
            </w:pPr>
          </w:p>
        </w:tc>
        <w:tc>
          <w:tcPr>
            <w:tcW w:w="2526" w:type="dxa"/>
            <w:vAlign w:val="top"/>
          </w:tcPr>
          <w:p>
            <w:pPr>
              <w:spacing w:before="116" w:line="180" w:lineRule="auto"/>
              <w:ind w:firstLine="8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学生社团</w:t>
            </w:r>
          </w:p>
        </w:tc>
        <w:tc>
          <w:tcPr>
            <w:tcW w:w="3096" w:type="dxa"/>
            <w:vAlign w:val="top"/>
          </w:tcPr>
          <w:p>
            <w:pPr>
              <w:spacing w:before="110" w:line="180" w:lineRule="auto"/>
              <w:ind w:firstLine="1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参加者</w:t>
            </w:r>
          </w:p>
        </w:tc>
        <w:tc>
          <w:tcPr>
            <w:tcW w:w="768" w:type="dxa"/>
            <w:tcBorders>
              <w:right w:val="single" w:color="000000" w:sz="6" w:space="0"/>
            </w:tcBorders>
            <w:vAlign w:val="top"/>
          </w:tcPr>
          <w:p>
            <w:pPr>
              <w:spacing w:before="145" w:line="180" w:lineRule="auto"/>
              <w:ind w:firstLine="2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restart"/>
            <w:tcBorders>
              <w:bottom w:val="nil"/>
            </w:tcBorders>
            <w:vAlign w:val="top"/>
          </w:tcPr>
          <w:p>
            <w:pPr>
              <w:spacing w:line="307" w:lineRule="auto"/>
              <w:rPr>
                <w:rFonts w:ascii="Malgun Gothic"/>
                <w:sz w:val="21"/>
              </w:rPr>
            </w:pPr>
          </w:p>
          <w:p>
            <w:pPr>
              <w:spacing w:before="75"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创业活动</w:t>
            </w:r>
          </w:p>
        </w:tc>
        <w:tc>
          <w:tcPr>
            <w:tcW w:w="2526" w:type="dxa"/>
            <w:vMerge w:val="restart"/>
            <w:tcBorders>
              <w:bottom w:val="nil"/>
            </w:tcBorders>
            <w:vAlign w:val="top"/>
          </w:tcPr>
          <w:p>
            <w:pPr>
              <w:spacing w:line="307" w:lineRule="auto"/>
              <w:rPr>
                <w:rFonts w:ascii="Malgun Gothic"/>
                <w:sz w:val="21"/>
              </w:rPr>
            </w:pPr>
          </w:p>
          <w:p>
            <w:pPr>
              <w:spacing w:before="75"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自主创业</w:t>
            </w:r>
          </w:p>
        </w:tc>
        <w:tc>
          <w:tcPr>
            <w:tcW w:w="3096" w:type="dxa"/>
            <w:vAlign w:val="top"/>
          </w:tcPr>
          <w:p>
            <w:pPr>
              <w:spacing w:before="109" w:line="180" w:lineRule="auto"/>
              <w:ind w:firstLine="9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工商登记注册</w:t>
            </w:r>
          </w:p>
        </w:tc>
        <w:tc>
          <w:tcPr>
            <w:tcW w:w="768" w:type="dxa"/>
            <w:tcBorders>
              <w:right w:val="single" w:color="000000" w:sz="6" w:space="0"/>
            </w:tcBorders>
            <w:vAlign w:val="top"/>
          </w:tcPr>
          <w:p>
            <w:pPr>
              <w:spacing w:before="141" w:line="180" w:lineRule="auto"/>
              <w:ind w:firstLine="3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17" w:type="dxa"/>
            <w:vMerge w:val="continue"/>
            <w:tcBorders>
              <w:top w:val="nil"/>
              <w:left w:val="single" w:color="000000" w:sz="6" w:space="0"/>
              <w:bottom w:val="nil"/>
            </w:tcBorders>
            <w:vAlign w:val="top"/>
          </w:tcPr>
          <w:p>
            <w:pPr>
              <w:rPr>
                <w:rFonts w:ascii="Malgun Gothic"/>
                <w:sz w:val="21"/>
              </w:rPr>
            </w:pPr>
          </w:p>
        </w:tc>
        <w:tc>
          <w:tcPr>
            <w:tcW w:w="1327" w:type="dxa"/>
            <w:vMerge w:val="continue"/>
            <w:tcBorders>
              <w:top w:val="nil"/>
              <w:bottom w:val="nil"/>
            </w:tcBorders>
            <w:vAlign w:val="top"/>
          </w:tcPr>
          <w:p>
            <w:pPr>
              <w:rPr>
                <w:rFonts w:ascii="Malgun Gothic"/>
                <w:sz w:val="21"/>
              </w:rPr>
            </w:pPr>
          </w:p>
        </w:tc>
        <w:tc>
          <w:tcPr>
            <w:tcW w:w="2526" w:type="dxa"/>
            <w:vMerge w:val="continue"/>
            <w:tcBorders>
              <w:top w:val="nil"/>
              <w:bottom w:val="nil"/>
            </w:tcBorders>
            <w:vAlign w:val="top"/>
          </w:tcPr>
          <w:p>
            <w:pPr>
              <w:rPr>
                <w:rFonts w:ascii="Malgun Gothic"/>
                <w:sz w:val="21"/>
              </w:rPr>
            </w:pPr>
          </w:p>
        </w:tc>
        <w:tc>
          <w:tcPr>
            <w:tcW w:w="3096" w:type="dxa"/>
            <w:vAlign w:val="top"/>
          </w:tcPr>
          <w:p>
            <w:pPr>
              <w:spacing w:before="108" w:line="180" w:lineRule="auto"/>
              <w:ind w:firstLine="10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参加创业坊</w:t>
            </w:r>
          </w:p>
        </w:tc>
        <w:tc>
          <w:tcPr>
            <w:tcW w:w="768" w:type="dxa"/>
            <w:tcBorders>
              <w:right w:val="single" w:color="000000" w:sz="6" w:space="0"/>
            </w:tcBorders>
            <w:vAlign w:val="top"/>
          </w:tcPr>
          <w:p>
            <w:pPr>
              <w:spacing w:before="140" w:line="180" w:lineRule="auto"/>
              <w:ind w:firstLine="2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17" w:type="dxa"/>
            <w:vMerge w:val="continue"/>
            <w:tcBorders>
              <w:top w:val="nil"/>
              <w:left w:val="single" w:color="000000" w:sz="6" w:space="0"/>
              <w:bottom w:val="single" w:color="000000" w:sz="6" w:space="0"/>
            </w:tcBorders>
            <w:vAlign w:val="top"/>
          </w:tcPr>
          <w:p>
            <w:pPr>
              <w:rPr>
                <w:rFonts w:ascii="Malgun Gothic"/>
                <w:sz w:val="21"/>
              </w:rPr>
            </w:pPr>
          </w:p>
        </w:tc>
        <w:tc>
          <w:tcPr>
            <w:tcW w:w="1327" w:type="dxa"/>
            <w:vMerge w:val="continue"/>
            <w:tcBorders>
              <w:top w:val="nil"/>
              <w:bottom w:val="single" w:color="000000" w:sz="6" w:space="0"/>
            </w:tcBorders>
            <w:vAlign w:val="top"/>
          </w:tcPr>
          <w:p>
            <w:pPr>
              <w:rPr>
                <w:rFonts w:ascii="Malgun Gothic"/>
                <w:sz w:val="21"/>
              </w:rPr>
            </w:pPr>
          </w:p>
        </w:tc>
        <w:tc>
          <w:tcPr>
            <w:tcW w:w="2526" w:type="dxa"/>
            <w:vMerge w:val="continue"/>
            <w:tcBorders>
              <w:top w:val="nil"/>
              <w:bottom w:val="single" w:color="000000" w:sz="6" w:space="0"/>
            </w:tcBorders>
            <w:vAlign w:val="top"/>
          </w:tcPr>
          <w:p>
            <w:pPr>
              <w:rPr>
                <w:rFonts w:ascii="Malgun Gothic"/>
                <w:sz w:val="21"/>
              </w:rPr>
            </w:pPr>
          </w:p>
        </w:tc>
        <w:tc>
          <w:tcPr>
            <w:tcW w:w="3096" w:type="dxa"/>
            <w:tcBorders>
              <w:bottom w:val="single" w:color="000000" w:sz="6" w:space="0"/>
            </w:tcBorders>
            <w:vAlign w:val="top"/>
          </w:tcPr>
          <w:p>
            <w:pPr>
              <w:spacing w:before="110" w:line="180" w:lineRule="auto"/>
              <w:ind w:firstLine="5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参加</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2"/>
                <w:sz w:val="21"/>
                <w:szCs w:val="21"/>
              </w:rPr>
              <w:t>SYB、GYB</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
                <w:sz w:val="21"/>
                <w:szCs w:val="21"/>
              </w:rPr>
              <w:t>培训</w:t>
            </w:r>
          </w:p>
        </w:tc>
        <w:tc>
          <w:tcPr>
            <w:tcW w:w="768" w:type="dxa"/>
            <w:tcBorders>
              <w:bottom w:val="single" w:color="000000" w:sz="6" w:space="0"/>
              <w:right w:val="single" w:color="000000" w:sz="6" w:space="0"/>
            </w:tcBorders>
            <w:vAlign w:val="top"/>
          </w:tcPr>
          <w:p>
            <w:pPr>
              <w:spacing w:before="142"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6"/>
                <w:sz w:val="21"/>
                <w:szCs w:val="21"/>
              </w:rPr>
              <w:t>1.5</w:t>
            </w:r>
          </w:p>
        </w:tc>
      </w:tr>
    </w:tbl>
    <w:p>
      <w:pPr>
        <w:spacing w:line="245"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before="52" w:line="180" w:lineRule="auto"/>
        <w:ind w:firstLine="426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103</w:t>
      </w:r>
    </w:p>
    <w:p>
      <w:pPr>
        <w:sectPr>
          <w:footerReference r:id="rId107" w:type="default"/>
          <w:pgSz w:w="11905" w:h="16840"/>
          <w:pgMar w:top="1431" w:right="1577" w:bottom="400" w:left="1578" w:header="0" w:footer="0" w:gutter="0"/>
          <w:cols w:space="720" w:num="1"/>
        </w:sectPr>
      </w:pPr>
    </w:p>
    <w:p>
      <w:pPr>
        <w:spacing w:before="349" w:line="180" w:lineRule="auto"/>
        <w:ind w:firstLine="229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吉首大学教材选用与评估办法</w:t>
      </w:r>
    </w:p>
    <w:p>
      <w:pPr>
        <w:spacing w:line="311" w:lineRule="auto"/>
        <w:rPr>
          <w:rFonts w:ascii="Malgun Gothic"/>
          <w:sz w:val="21"/>
        </w:rPr>
      </w:pPr>
    </w:p>
    <w:p>
      <w:pPr>
        <w:spacing w:before="86" w:line="275" w:lineRule="auto"/>
        <w:ind w:left="3" w:right="75"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教材是高等学校教学构成的基本要素，是学校在培养人才的教学过程中体现教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学内容和教学方法的知识载体，是进行教学的基本工具。为规范教材管理，保障教</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材的选用和供应质量，维护正常教学秩序，根据我校实际，特制定本办法。</w:t>
      </w:r>
    </w:p>
    <w:p>
      <w:pPr>
        <w:spacing w:before="166"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一、教材选用</w:t>
      </w:r>
    </w:p>
    <w:p>
      <w:pPr>
        <w:spacing w:before="147"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（一）教材选用的基本原则</w:t>
      </w:r>
    </w:p>
    <w:p>
      <w:pPr>
        <w:spacing w:before="174" w:line="303" w:lineRule="auto"/>
        <w:ind w:left="3" w:right="71"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1、择优选用原则。教材选用直接关系到课程教学质量，要强调教材的思想性、</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4"/>
          <w:sz w:val="24"/>
          <w:szCs w:val="24"/>
        </w:rPr>
        <w:t>学术性和先进性。</w:t>
      </w:r>
    </w:p>
    <w:p>
      <w:pPr>
        <w:spacing w:before="37" w:line="315" w:lineRule="auto"/>
        <w:ind w:right="75"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（1）教材原则上应选用国家或省统编教材，优先选用教育部组织编写的面向</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
          <w:sz w:val="24"/>
          <w:szCs w:val="24"/>
        </w:rPr>
        <w:t>21</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世纪课程教材、教育部</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“十二五”、</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3"/>
          <w:sz w:val="24"/>
          <w:szCs w:val="24"/>
        </w:rPr>
        <w:t>“十三五”规划教材和国家教学指导委员会推荐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的精品教材，</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9"/>
          <w:sz w:val="24"/>
          <w:szCs w:val="24"/>
        </w:rPr>
        <w:t>对哲学社会科学的部分专业课程应按规定要求选用“马工程教材”，提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高优秀教材的选用率。</w:t>
      </w:r>
    </w:p>
    <w:p>
      <w:pPr>
        <w:spacing w:before="1" w:line="315" w:lineRule="auto"/>
        <w:ind w:right="75"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（2）教材内容应与时俱进，保持先进性，反映学科最新的研究成果，要体现现</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代教育思想和教育技术，各类专业原则上应选用近五年内出版的教材，积极选用近</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三年出版的新教材。</w:t>
      </w:r>
    </w:p>
    <w:p>
      <w:pPr>
        <w:spacing w:before="1" w:line="315" w:lineRule="auto"/>
        <w:ind w:left="5" w:right="77"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（3）信息科学、生命科学、金融、</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2"/>
          <w:sz w:val="24"/>
          <w:szCs w:val="24"/>
        </w:rPr>
        <w:t>法律等专业鼓励选用外文教材，引进先进原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版教材，积极实施双语教学。</w:t>
      </w:r>
    </w:p>
    <w:p>
      <w:pPr>
        <w:spacing w:before="5" w:line="284" w:lineRule="auto"/>
        <w:ind w:left="2" w:right="7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2、适用性原则。选用教材应从教学需要出发，</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在选用教材的过程中，</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必须结合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学校的定位和办学的实际以及学校确立的人才培养规格，科学选用适当的教材；对</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系（教研室）论证后无统编教材的课程，经学院批准、教务处审核，可以选用质量</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较高、内容较合适的教学参考书作为基本教材，或组织编写自编教材。</w:t>
      </w:r>
    </w:p>
    <w:p>
      <w:pPr>
        <w:spacing w:before="172" w:line="307"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3、减轻学生负担原则。原则上每门课程选用一种教材，</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某些课程确因教学改革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需要而增加辅助教材，</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1"/>
          <w:sz w:val="24"/>
          <w:szCs w:val="24"/>
        </w:rPr>
        <w:t>须由所在系或教研室提出申请，</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经学院主管教学负责人批准，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报教务处备案。</w:t>
      </w:r>
    </w:p>
    <w:p>
      <w:pPr>
        <w:spacing w:before="38"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（二）教材选用的程序</w:t>
      </w:r>
    </w:p>
    <w:p>
      <w:pPr>
        <w:spacing w:before="175" w:line="307" w:lineRule="auto"/>
        <w:ind w:left="3" w:right="75"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1、任课教师根据教材选用原则提出教材选用申请。公共课教材的选用由教研室</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根据国家教育部和省教育厅的要求集体研究后提出申请，填写《吉首大学教材选用</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2"/>
          <w:sz w:val="24"/>
          <w:szCs w:val="24"/>
        </w:rPr>
        <w:t>推荐表》。</w:t>
      </w:r>
    </w:p>
    <w:p>
      <w:pPr>
        <w:spacing w:before="39"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2、各学院组织教学指导委员会按照教学计划和课程教学大纲的要求，</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6"/>
          <w:sz w:val="24"/>
          <w:szCs w:val="24"/>
        </w:rPr>
        <w:t>遵循学校</w:t>
      </w:r>
    </w:p>
    <w:p>
      <w:pPr>
        <w:spacing w:line="307" w:lineRule="auto"/>
        <w:rPr>
          <w:rFonts w:ascii="Malgun Gothic"/>
          <w:sz w:val="21"/>
        </w:rPr>
      </w:pPr>
    </w:p>
    <w:p>
      <w:pPr>
        <w:spacing w:before="52"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104</w:t>
      </w:r>
    </w:p>
    <w:p>
      <w:pPr>
        <w:sectPr>
          <w:footerReference r:id="rId108" w:type="default"/>
          <w:pgSz w:w="11905" w:h="16840"/>
          <w:pgMar w:top="1431" w:right="1509" w:bottom="400" w:left="1590" w:header="0" w:footer="0" w:gutter="0"/>
          <w:cols w:space="720" w:num="1"/>
        </w:sectPr>
      </w:pPr>
    </w:p>
    <w:p>
      <w:pPr>
        <w:spacing w:before="424" w:line="315" w:lineRule="auto"/>
        <w:ind w:left="1" w:right="13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规定的教材选用原则，对教师或教研室提出的教材选用申请进行认真研究和讨论，</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确定各门课程的教材选用计划。</w:t>
      </w:r>
    </w:p>
    <w:p>
      <w:pPr>
        <w:spacing w:before="1" w:line="315" w:lineRule="auto"/>
        <w:ind w:right="89"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3、教材选用计划一经确定，</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在一定时期内应保持相对稳定，</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不得随意变更。确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因课程计划调整和教学内容更新需要变更教材的，须经教学主管院长审批后，重新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选用教材。</w:t>
      </w:r>
    </w:p>
    <w:p>
      <w:pPr>
        <w:spacing w:before="2" w:line="302" w:lineRule="auto"/>
        <w:ind w:left="3" w:right="91"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4、各学院确定的教材选用计划以及教材选用计划确定后对教材选用计划所作的</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3"/>
          <w:sz w:val="24"/>
          <w:szCs w:val="24"/>
        </w:rPr>
        <w:t>变更均应报教务处备案。</w:t>
      </w:r>
    </w:p>
    <w:p>
      <w:pPr>
        <w:spacing w:before="35" w:line="254" w:lineRule="auto"/>
        <w:ind w:right="9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5、各门课程选定教材后，</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sz w:val="24"/>
          <w:szCs w:val="24"/>
        </w:rPr>
        <w:t>由学院教务办公室统一填写教材征订单，</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报教务处审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定后交教材服务中心统一采购和发放。</w:t>
      </w:r>
    </w:p>
    <w:p>
      <w:pPr>
        <w:spacing w:before="166"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二、教材检查与评估</w:t>
      </w:r>
    </w:p>
    <w:p>
      <w:pPr>
        <w:spacing w:before="148" w:line="315" w:lineRule="auto"/>
        <w:ind w:right="9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1、为确保教材选用质量，</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学校实行教材工作检查和评估制度。评估工作每两年</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进行一次，教材评估办法参照《吉首大学教材评价指标体系》方案。</w:t>
      </w:r>
    </w:p>
    <w:p>
      <w:pPr>
        <w:spacing w:before="3" w:line="302" w:lineRule="auto"/>
        <w:ind w:left="2"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2、教材评估以学院自评为主，</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各学院负责组织教师对使用的教材进行评价，</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据评价结果写出具体的评价分析意见，并报学校教务处备案。</w:t>
      </w:r>
    </w:p>
    <w:p>
      <w:pPr>
        <w:spacing w:before="36" w:line="315" w:lineRule="auto"/>
        <w:ind w:left="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3、教务处将协同各学院对我校各课程选用的教材进行评估，</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对不符合要求的教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材将向课程负责人提出询问，</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1"/>
          <w:sz w:val="24"/>
          <w:szCs w:val="24"/>
        </w:rPr>
        <w:t>限期整改，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1"/>
          <w:sz w:val="24"/>
          <w:szCs w:val="24"/>
        </w:rPr>
        <w:t>造成不良影响者将追究课程负责人的责任。</w:t>
      </w:r>
    </w:p>
    <w:p>
      <w:pPr>
        <w:spacing w:before="1" w:line="315" w:lineRule="auto"/>
        <w:ind w:left="1" w:right="12"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4、各学院应注意收集教师、学生对教材质量的反映，</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9"/>
          <w:sz w:val="24"/>
          <w:szCs w:val="24"/>
        </w:rPr>
        <w:t>及时了解教材的质量情况，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教务处对各学院的教材选用情况进行不定期抽查。</w:t>
      </w:r>
    </w:p>
    <w:p>
      <w:pPr>
        <w:spacing w:line="204"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附件：1、吉首大学教材选用推荐表</w:t>
      </w:r>
    </w:p>
    <w:p>
      <w:pPr>
        <w:spacing w:before="159" w:line="193" w:lineRule="auto"/>
        <w:ind w:firstLine="12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2、吉首大学教材评价指标体系</w:t>
      </w: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before="53" w:line="180" w:lineRule="auto"/>
        <w:ind w:firstLine="4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105</w:t>
      </w:r>
    </w:p>
    <w:p>
      <w:pPr>
        <w:sectPr>
          <w:footerReference r:id="rId109" w:type="default"/>
          <w:pgSz w:w="11905" w:h="16840"/>
          <w:pgMar w:top="1431" w:right="1496" w:bottom="400" w:left="1591"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1</w:t>
      </w:r>
    </w:p>
    <w:p>
      <w:pPr>
        <w:spacing w:before="112" w:line="180" w:lineRule="auto"/>
        <w:ind w:firstLine="262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吉首大学教材选用推荐表</w:t>
      </w:r>
    </w:p>
    <w:p>
      <w:pPr>
        <w:spacing w:before="141" w:line="180" w:lineRule="auto"/>
        <w:ind w:firstLine="1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系（教研室）</w:t>
      </w:r>
    </w:p>
    <w:p>
      <w:pPr>
        <w:spacing w:line="40"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2576"/>
        <w:gridCol w:w="1289"/>
        <w:gridCol w:w="1476"/>
        <w:gridCol w:w="741"/>
        <w:gridCol w:w="1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25" w:type="dxa"/>
            <w:tcBorders>
              <w:top w:val="single" w:color="000000" w:sz="6" w:space="0"/>
              <w:left w:val="single" w:color="000000" w:sz="6" w:space="0"/>
            </w:tcBorders>
            <w:vAlign w:val="top"/>
          </w:tcPr>
          <w:p>
            <w:pPr>
              <w:spacing w:before="97" w:line="180"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书</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6"/>
                <w:sz w:val="21"/>
                <w:szCs w:val="21"/>
              </w:rPr>
              <w:t>名</w:t>
            </w:r>
          </w:p>
        </w:tc>
        <w:tc>
          <w:tcPr>
            <w:tcW w:w="5341" w:type="dxa"/>
            <w:gridSpan w:val="3"/>
            <w:tcBorders>
              <w:top w:val="single" w:color="000000" w:sz="6" w:space="0"/>
            </w:tcBorders>
            <w:vAlign w:val="top"/>
          </w:tcPr>
          <w:p>
            <w:pPr>
              <w:rPr>
                <w:rFonts w:ascii="Malgun Gothic"/>
                <w:sz w:val="21"/>
              </w:rPr>
            </w:pPr>
          </w:p>
        </w:tc>
        <w:tc>
          <w:tcPr>
            <w:tcW w:w="741" w:type="dxa"/>
            <w:tcBorders>
              <w:top w:val="single" w:color="000000" w:sz="6" w:space="0"/>
            </w:tcBorders>
            <w:vAlign w:val="top"/>
          </w:tcPr>
          <w:p>
            <w:pPr>
              <w:spacing w:before="94" w:line="180" w:lineRule="auto"/>
              <w:ind w:firstLine="16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编者</w:t>
            </w:r>
          </w:p>
        </w:tc>
        <w:tc>
          <w:tcPr>
            <w:tcW w:w="1427"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225" w:type="dxa"/>
            <w:tcBorders>
              <w:left w:val="single" w:color="000000" w:sz="6" w:space="0"/>
            </w:tcBorders>
            <w:vAlign w:val="top"/>
          </w:tcPr>
          <w:p>
            <w:pPr>
              <w:spacing w:before="90" w:line="180" w:lineRule="auto"/>
              <w:ind w:firstLine="30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出版社</w:t>
            </w:r>
          </w:p>
        </w:tc>
        <w:tc>
          <w:tcPr>
            <w:tcW w:w="2576" w:type="dxa"/>
            <w:vAlign w:val="top"/>
          </w:tcPr>
          <w:p>
            <w:pPr>
              <w:rPr>
                <w:rFonts w:ascii="Malgun Gothic"/>
                <w:sz w:val="21"/>
              </w:rPr>
            </w:pPr>
          </w:p>
        </w:tc>
        <w:tc>
          <w:tcPr>
            <w:tcW w:w="1289" w:type="dxa"/>
            <w:vAlign w:val="top"/>
          </w:tcPr>
          <w:p>
            <w:pPr>
              <w:spacing w:before="90" w:line="180" w:lineRule="auto"/>
              <w:ind w:firstLine="23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出版时间</w:t>
            </w:r>
          </w:p>
        </w:tc>
        <w:tc>
          <w:tcPr>
            <w:tcW w:w="1476" w:type="dxa"/>
            <w:vAlign w:val="top"/>
          </w:tcPr>
          <w:p>
            <w:pPr>
              <w:rPr>
                <w:rFonts w:ascii="Malgun Gothic"/>
                <w:sz w:val="21"/>
              </w:rPr>
            </w:pPr>
          </w:p>
        </w:tc>
        <w:tc>
          <w:tcPr>
            <w:tcW w:w="741" w:type="dxa"/>
            <w:vAlign w:val="top"/>
          </w:tcPr>
          <w:p>
            <w:pPr>
              <w:spacing w:before="90"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版次</w:t>
            </w:r>
          </w:p>
        </w:tc>
        <w:tc>
          <w:tcPr>
            <w:tcW w:w="142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225" w:type="dxa"/>
            <w:tcBorders>
              <w:left w:val="single" w:color="000000" w:sz="6" w:space="0"/>
            </w:tcBorders>
            <w:vAlign w:val="top"/>
          </w:tcPr>
          <w:p>
            <w:pPr>
              <w:spacing w:before="93" w:line="180" w:lineRule="auto"/>
              <w:ind w:firstLine="1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课程名称</w:t>
            </w:r>
          </w:p>
        </w:tc>
        <w:tc>
          <w:tcPr>
            <w:tcW w:w="2576" w:type="dxa"/>
            <w:vAlign w:val="top"/>
          </w:tcPr>
          <w:p>
            <w:pPr>
              <w:rPr>
                <w:rFonts w:ascii="Malgun Gothic"/>
                <w:sz w:val="21"/>
              </w:rPr>
            </w:pPr>
          </w:p>
        </w:tc>
        <w:tc>
          <w:tcPr>
            <w:tcW w:w="1289" w:type="dxa"/>
            <w:vAlign w:val="top"/>
          </w:tcPr>
          <w:p>
            <w:pPr>
              <w:spacing w:before="89" w:line="180" w:lineRule="auto"/>
              <w:ind w:firstLine="22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适用专业</w:t>
            </w:r>
          </w:p>
        </w:tc>
        <w:tc>
          <w:tcPr>
            <w:tcW w:w="1476" w:type="dxa"/>
            <w:vAlign w:val="top"/>
          </w:tcPr>
          <w:p>
            <w:pPr>
              <w:rPr>
                <w:rFonts w:ascii="Malgun Gothic"/>
                <w:sz w:val="21"/>
              </w:rPr>
            </w:pPr>
          </w:p>
        </w:tc>
        <w:tc>
          <w:tcPr>
            <w:tcW w:w="741" w:type="dxa"/>
            <w:vAlign w:val="top"/>
          </w:tcPr>
          <w:p>
            <w:pPr>
              <w:spacing w:before="91" w:line="180" w:lineRule="auto"/>
              <w:ind w:firstLine="16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42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3" w:hRule="atLeast"/>
        </w:trPr>
        <w:tc>
          <w:tcPr>
            <w:tcW w:w="1225" w:type="dxa"/>
            <w:tcBorders>
              <w:left w:val="single" w:color="000000" w:sz="6" w:space="0"/>
            </w:tcBorders>
            <w:vAlign w:val="top"/>
          </w:tcPr>
          <w:p>
            <w:pPr>
              <w:spacing w:line="250" w:lineRule="auto"/>
              <w:rPr>
                <w:rFonts w:ascii="Malgun Gothic"/>
                <w:sz w:val="21"/>
              </w:rPr>
            </w:pPr>
          </w:p>
          <w:p>
            <w:pPr>
              <w:spacing w:before="76"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选用类别</w:t>
            </w:r>
          </w:p>
        </w:tc>
        <w:tc>
          <w:tcPr>
            <w:tcW w:w="7509" w:type="dxa"/>
            <w:gridSpan w:val="5"/>
            <w:tcBorders>
              <w:right w:val="single" w:color="000000" w:sz="6" w:space="0"/>
            </w:tcBorders>
            <w:vAlign w:val="top"/>
          </w:tcPr>
          <w:p>
            <w:pPr>
              <w:spacing w:before="89" w:line="257" w:lineRule="auto"/>
              <w:ind w:left="102" w:right="137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w w:val="96"/>
                <w:sz w:val="21"/>
                <w:szCs w:val="21"/>
              </w:rPr>
              <w:t>a、教育部面向</w:t>
            </w:r>
            <w:r>
              <w:rPr>
                <w:rFonts w:ascii="方正书宋简体" w:hAnsi="方正书宋简体" w:eastAsia="方正书宋简体" w:cs="方正书宋简体"/>
                <w:spacing w:val="58"/>
                <w:w w:val="101"/>
                <w:sz w:val="21"/>
                <w:szCs w:val="21"/>
              </w:rPr>
              <w:t xml:space="preserve"> </w:t>
            </w:r>
            <w:r>
              <w:rPr>
                <w:rFonts w:ascii="方正书宋简体" w:hAnsi="方正书宋简体" w:eastAsia="方正书宋简体" w:cs="方正书宋简体"/>
                <w:spacing w:val="-9"/>
                <w:w w:val="96"/>
                <w:sz w:val="21"/>
                <w:szCs w:val="21"/>
              </w:rPr>
              <w:t>21</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9"/>
                <w:w w:val="96"/>
                <w:sz w:val="21"/>
                <w:szCs w:val="21"/>
              </w:rPr>
              <w:t>世纪课程教材，</w:t>
            </w:r>
            <w:r>
              <w:rPr>
                <w:rFonts w:ascii="方正书宋简体" w:hAnsi="方正书宋简体" w:eastAsia="方正书宋简体" w:cs="方正书宋简体"/>
                <w:spacing w:val="39"/>
                <w:sz w:val="21"/>
                <w:szCs w:val="21"/>
              </w:rPr>
              <w:t xml:space="preserve"> </w:t>
            </w:r>
            <w:r>
              <w:rPr>
                <w:rFonts w:ascii="方正书宋简体" w:hAnsi="方正书宋简体" w:eastAsia="方正书宋简体" w:cs="方正书宋简体"/>
                <w:spacing w:val="-9"/>
                <w:w w:val="96"/>
                <w:sz w:val="21"/>
                <w:szCs w:val="21"/>
              </w:rPr>
              <w:t>“十二五”、</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9"/>
                <w:w w:val="96"/>
                <w:sz w:val="21"/>
                <w:szCs w:val="21"/>
              </w:rPr>
              <w:t>“十三五”规划教材</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b、教育部推荐的精品教材</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6"/>
                <w:sz w:val="21"/>
                <w:szCs w:val="21"/>
              </w:rPr>
              <w:t>c、</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6"/>
                <w:sz w:val="21"/>
                <w:szCs w:val="21"/>
              </w:rPr>
              <w:t>名校、名师编著的优秀教材</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d、校内自编教材</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2"/>
                <w:sz w:val="21"/>
                <w:szCs w:val="21"/>
              </w:rPr>
              <w:t>e、近五年内出版教材</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
                <w:sz w:val="21"/>
                <w:szCs w:val="21"/>
              </w:rPr>
              <w:t>f、近三年出版的新教材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0" w:hRule="atLeast"/>
        </w:trPr>
        <w:tc>
          <w:tcPr>
            <w:tcW w:w="1225" w:type="dxa"/>
            <w:tcBorders>
              <w:left w:val="single" w:color="000000" w:sz="6" w:space="0"/>
              <w:bottom w:val="nil"/>
            </w:tcBorders>
            <w:vAlign w:val="top"/>
          </w:tcPr>
          <w:p>
            <w:pPr>
              <w:spacing w:line="241"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before="75" w:line="180" w:lineRule="auto"/>
              <w:ind w:firstLine="4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系或</w:t>
            </w:r>
          </w:p>
          <w:p>
            <w:pPr>
              <w:spacing w:before="138" w:line="180" w:lineRule="auto"/>
              <w:ind w:firstLine="2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教研室</w:t>
            </w:r>
          </w:p>
          <w:p>
            <w:pPr>
              <w:spacing w:before="133" w:line="180" w:lineRule="auto"/>
              <w:ind w:firstLine="39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推荐</w:t>
            </w:r>
          </w:p>
          <w:p>
            <w:pPr>
              <w:spacing w:before="136" w:line="180" w:lineRule="auto"/>
              <w:ind w:firstLine="40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意见</w:t>
            </w:r>
          </w:p>
        </w:tc>
        <w:tc>
          <w:tcPr>
            <w:tcW w:w="7509" w:type="dxa"/>
            <w:gridSpan w:val="5"/>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9" w:hRule="atLeast"/>
        </w:trPr>
        <w:tc>
          <w:tcPr>
            <w:tcW w:w="1225" w:type="dxa"/>
            <w:tcBorders>
              <w:top w:val="nil"/>
              <w:left w:val="single" w:color="000000" w:sz="6" w:space="0"/>
            </w:tcBorders>
            <w:vAlign w:val="top"/>
          </w:tcPr>
          <w:p>
            <w:pPr>
              <w:rPr>
                <w:rFonts w:ascii="Malgun Gothic"/>
                <w:sz w:val="21"/>
              </w:rPr>
            </w:pPr>
          </w:p>
        </w:tc>
        <w:tc>
          <w:tcPr>
            <w:tcW w:w="7509" w:type="dxa"/>
            <w:gridSpan w:val="5"/>
            <w:tcBorders>
              <w:top w:val="nil"/>
              <w:right w:val="single" w:color="000000" w:sz="6" w:space="0"/>
            </w:tcBorders>
            <w:vAlign w:val="top"/>
          </w:tcPr>
          <w:p>
            <w:pPr>
              <w:spacing w:line="402" w:lineRule="auto"/>
              <w:rPr>
                <w:rFonts w:ascii="Malgun Gothic"/>
                <w:sz w:val="21"/>
              </w:rPr>
            </w:pPr>
          </w:p>
          <w:p>
            <w:pPr>
              <w:spacing w:before="74" w:line="363" w:lineRule="exact"/>
              <w:ind w:firstLine="28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position w:val="12"/>
                <w:sz w:val="21"/>
                <w:szCs w:val="21"/>
              </w:rPr>
              <w:t>系（教研室）主任：</w:t>
            </w:r>
          </w:p>
          <w:p>
            <w:pPr>
              <w:spacing w:line="204" w:lineRule="auto"/>
              <w:ind w:firstLine="322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225" w:type="dxa"/>
            <w:tcBorders>
              <w:left w:val="single" w:color="000000" w:sz="6" w:space="0"/>
              <w:bottom w:val="nil"/>
            </w:tcBorders>
            <w:vAlign w:val="top"/>
          </w:tcPr>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2" w:lineRule="auto"/>
              <w:rPr>
                <w:rFonts w:ascii="Malgun Gothic"/>
                <w:sz w:val="21"/>
              </w:rPr>
            </w:pPr>
          </w:p>
          <w:p>
            <w:pPr>
              <w:spacing w:before="75" w:line="251" w:lineRule="auto"/>
              <w:ind w:left="189" w:right="189"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院教学指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导委员会</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审定意见</w:t>
            </w:r>
          </w:p>
        </w:tc>
        <w:tc>
          <w:tcPr>
            <w:tcW w:w="7509" w:type="dxa"/>
            <w:gridSpan w:val="5"/>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 w:hRule="atLeast"/>
        </w:trPr>
        <w:tc>
          <w:tcPr>
            <w:tcW w:w="1225" w:type="dxa"/>
            <w:tcBorders>
              <w:top w:val="nil"/>
              <w:left w:val="single" w:color="000000" w:sz="6" w:space="0"/>
              <w:bottom w:val="single" w:color="000000" w:sz="6" w:space="0"/>
            </w:tcBorders>
            <w:vAlign w:val="top"/>
          </w:tcPr>
          <w:p>
            <w:pPr>
              <w:rPr>
                <w:rFonts w:ascii="Malgun Gothic"/>
                <w:sz w:val="21"/>
              </w:rPr>
            </w:pPr>
          </w:p>
        </w:tc>
        <w:tc>
          <w:tcPr>
            <w:tcW w:w="7509" w:type="dxa"/>
            <w:gridSpan w:val="5"/>
            <w:tcBorders>
              <w:top w:val="nil"/>
              <w:bottom w:val="single" w:color="000000" w:sz="6" w:space="0"/>
              <w:right w:val="single" w:color="000000" w:sz="6" w:space="0"/>
            </w:tcBorders>
            <w:vAlign w:val="top"/>
          </w:tcPr>
          <w:p>
            <w:pPr>
              <w:spacing w:line="396" w:lineRule="auto"/>
              <w:rPr>
                <w:rFonts w:ascii="Malgun Gothic"/>
                <w:sz w:val="21"/>
              </w:rPr>
            </w:pPr>
          </w:p>
          <w:p>
            <w:pPr>
              <w:spacing w:before="76" w:line="180" w:lineRule="auto"/>
              <w:ind w:firstLine="114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院教学指导委员会主任</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3"/>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日</w:t>
            </w:r>
          </w:p>
        </w:tc>
      </w:tr>
    </w:tbl>
    <w:p>
      <w:pPr>
        <w:spacing w:before="108" w:line="193"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备注：请标明该教材的类别，在所属类别打“√”。</w:t>
      </w:r>
    </w:p>
    <w:p>
      <w:pPr>
        <w:spacing w:line="413" w:lineRule="auto"/>
        <w:rPr>
          <w:rFonts w:ascii="Malgun Gothic"/>
          <w:sz w:val="21"/>
        </w:rPr>
      </w:pPr>
    </w:p>
    <w:p>
      <w:pPr>
        <w:spacing w:before="53" w:line="180" w:lineRule="auto"/>
        <w:ind w:firstLine="426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106</w:t>
      </w:r>
    </w:p>
    <w:p>
      <w:pPr>
        <w:sectPr>
          <w:footerReference r:id="rId110" w:type="default"/>
          <w:pgSz w:w="11905" w:h="16840"/>
          <w:pgMar w:top="1431" w:right="1577" w:bottom="400" w:left="157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2</w:t>
      </w:r>
    </w:p>
    <w:p>
      <w:pPr>
        <w:spacing w:before="112" w:line="180" w:lineRule="auto"/>
        <w:ind w:firstLine="246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吉首大学教材评价指标体系</w:t>
      </w:r>
    </w:p>
    <w:p/>
    <w:p/>
    <w:p>
      <w:pPr>
        <w:spacing w:line="53" w:lineRule="exact"/>
      </w:pPr>
    </w:p>
    <w:p>
      <w:pPr>
        <w:sectPr>
          <w:footerReference r:id="rId111" w:type="default"/>
          <w:pgSz w:w="11905" w:h="16840"/>
          <w:pgMar w:top="1431" w:right="1577" w:bottom="400" w:left="1578" w:header="0" w:footer="0" w:gutter="0"/>
          <w:cols w:equalWidth="0" w:num="1">
            <w:col w:w="8750"/>
          </w:cols>
        </w:sectPr>
      </w:pPr>
    </w:p>
    <w:p>
      <w:pPr>
        <w:spacing w:before="48" w:line="450" w:lineRule="exact"/>
        <w:ind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position w:val="17"/>
          <w:sz w:val="21"/>
          <w:szCs w:val="21"/>
        </w:rPr>
        <w:t>教材名称：</w:t>
      </w:r>
    </w:p>
    <w:p>
      <w:pPr>
        <w:spacing w:line="193" w:lineRule="auto"/>
        <w:ind w:firstLine="1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p>
      <w:pPr>
        <w:spacing w:line="14" w:lineRule="auto"/>
        <w:rPr>
          <w:rFonts w:ascii="Malgun Gothic"/>
          <w:sz w:val="2"/>
        </w:rPr>
      </w:pPr>
      <w:r>
        <w:rPr>
          <w:rFonts w:ascii="Malgun Gothic" w:hAnsi="Malgun Gothic" w:eastAsia="Malgun Gothic" w:cs="Malgun Gothic"/>
          <w:sz w:val="2"/>
          <w:szCs w:val="2"/>
        </w:rPr>
        <w:br w:type="column"/>
      </w:r>
    </w:p>
    <w:p>
      <w:pPr>
        <w:spacing w:before="51" w:line="448" w:lineRule="exact"/>
        <w:ind w:firstLine="9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position w:val="19"/>
          <w:sz w:val="21"/>
          <w:szCs w:val="21"/>
        </w:rPr>
        <w:t>编者：</w:t>
      </w:r>
    </w:p>
    <w:p>
      <w:pPr>
        <w:spacing w:line="190" w:lineRule="auto"/>
        <w:ind w:firstLine="547"/>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专业年级：</w:t>
      </w:r>
    </w:p>
    <w:p>
      <w:pPr>
        <w:spacing w:line="14" w:lineRule="auto"/>
        <w:rPr>
          <w:rFonts w:ascii="Malgun Gothic"/>
          <w:sz w:val="2"/>
        </w:rPr>
      </w:pPr>
      <w:r>
        <w:rPr>
          <w:rFonts w:ascii="Malgun Gothic" w:hAnsi="Malgun Gothic" w:eastAsia="Malgun Gothic" w:cs="Malgun Gothic"/>
          <w:sz w:val="2"/>
          <w:szCs w:val="2"/>
        </w:rPr>
        <w:br w:type="column"/>
      </w:r>
    </w:p>
    <w:p>
      <w:pPr>
        <w:spacing w:before="53" w:line="450" w:lineRule="exact"/>
        <w:ind w:firstLine="881"/>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position w:val="19"/>
          <w:sz w:val="21"/>
          <w:szCs w:val="21"/>
        </w:rPr>
        <w:t>出版社：</w:t>
      </w:r>
    </w:p>
    <w:p>
      <w:pPr>
        <w:spacing w:line="187" w:lineRule="auto"/>
        <w:ind w:firstLine="65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课程名称：</w:t>
      </w:r>
    </w:p>
    <w:p>
      <w:pPr>
        <w:sectPr>
          <w:type w:val="continuous"/>
          <w:pgSz w:w="11905" w:h="16840"/>
          <w:pgMar w:top="1431" w:right="1577" w:bottom="400" w:left="1578" w:header="0" w:footer="0" w:gutter="0"/>
          <w:cols w:equalWidth="0" w:num="3">
            <w:col w:w="1464" w:space="100"/>
            <w:col w:w="2103" w:space="100"/>
            <w:col w:w="4984"/>
          </w:cols>
        </w:sectPr>
      </w:pPr>
    </w:p>
    <w:p>
      <w:pPr>
        <w:spacing w:line="30"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7"/>
        <w:gridCol w:w="823"/>
        <w:gridCol w:w="2959"/>
        <w:gridCol w:w="2693"/>
        <w:gridCol w:w="748"/>
        <w:gridCol w:w="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07" w:type="dxa"/>
            <w:vMerge w:val="restart"/>
            <w:tcBorders>
              <w:top w:val="single" w:color="000000" w:sz="6" w:space="0"/>
              <w:left w:val="single" w:color="000000" w:sz="6" w:space="0"/>
              <w:bottom w:val="nil"/>
            </w:tcBorders>
            <w:vAlign w:val="top"/>
          </w:tcPr>
          <w:p>
            <w:pPr>
              <w:spacing w:before="84" w:line="202" w:lineRule="auto"/>
              <w:ind w:firstLine="197"/>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823" w:type="dxa"/>
            <w:vMerge w:val="restart"/>
            <w:tcBorders>
              <w:top w:val="single" w:color="000000" w:sz="6" w:space="0"/>
              <w:bottom w:val="nil"/>
            </w:tcBorders>
            <w:vAlign w:val="top"/>
          </w:tcPr>
          <w:p>
            <w:pPr>
              <w:spacing w:before="72" w:line="218" w:lineRule="auto"/>
              <w:ind w:firstLine="203"/>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4" w:lineRule="auto"/>
              <w:ind w:firstLine="19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959" w:type="dxa"/>
            <w:vMerge w:val="restart"/>
            <w:tcBorders>
              <w:top w:val="single" w:color="000000" w:sz="6" w:space="0"/>
              <w:bottom w:val="nil"/>
            </w:tcBorders>
            <w:vAlign w:val="top"/>
          </w:tcPr>
          <w:p>
            <w:pPr>
              <w:spacing w:before="237" w:line="180" w:lineRule="auto"/>
              <w:ind w:firstLine="1064"/>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4"/>
                <w:sz w:val="21"/>
                <w:szCs w:val="21"/>
              </w:rPr>
              <w:t>级标准</w:t>
            </w:r>
          </w:p>
        </w:tc>
        <w:tc>
          <w:tcPr>
            <w:tcW w:w="2693" w:type="dxa"/>
            <w:vMerge w:val="restart"/>
            <w:tcBorders>
              <w:top w:val="single" w:color="000000" w:sz="6" w:space="0"/>
              <w:bottom w:val="nil"/>
            </w:tcBorders>
            <w:vAlign w:val="top"/>
          </w:tcPr>
          <w:p>
            <w:pPr>
              <w:spacing w:before="237" w:line="180" w:lineRule="auto"/>
              <w:ind w:firstLine="935"/>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r>
              <w:rPr>
                <w:rFonts w:ascii="Microsoft JhengHei" w:hAnsi="Microsoft JhengHei" w:eastAsia="Microsoft JhengHei" w:cs="Microsoft JhengHei"/>
                <w:spacing w:val="8"/>
                <w:w w:val="101"/>
                <w:sz w:val="21"/>
                <w:szCs w:val="21"/>
              </w:rPr>
              <w:t xml:space="preserve"> </w:t>
            </w:r>
            <w:r>
              <w:rPr>
                <w:rFonts w:ascii="Microsoft JhengHei" w:hAnsi="Microsoft JhengHei" w:eastAsia="Microsoft JhengHei" w:cs="Microsoft JhengHei"/>
                <w:spacing w:val="-1"/>
                <w:sz w:val="21"/>
                <w:szCs w:val="21"/>
              </w:rPr>
              <w:t>级标准</w:t>
            </w:r>
          </w:p>
        </w:tc>
        <w:tc>
          <w:tcPr>
            <w:tcW w:w="1452" w:type="dxa"/>
            <w:gridSpan w:val="2"/>
            <w:tcBorders>
              <w:top w:val="single" w:color="000000" w:sz="6" w:space="0"/>
              <w:right w:val="single" w:color="000000" w:sz="6" w:space="0"/>
            </w:tcBorders>
            <w:vAlign w:val="top"/>
          </w:tcPr>
          <w:p>
            <w:pPr>
              <w:spacing w:before="63" w:line="180" w:lineRule="auto"/>
              <w:ind w:firstLine="31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07" w:type="dxa"/>
            <w:vMerge w:val="continue"/>
            <w:tcBorders>
              <w:top w:val="nil"/>
              <w:left w:val="single" w:color="000000" w:sz="6" w:space="0"/>
            </w:tcBorders>
            <w:vAlign w:val="top"/>
          </w:tcPr>
          <w:p>
            <w:pPr>
              <w:rPr>
                <w:rFonts w:ascii="Malgun Gothic"/>
                <w:sz w:val="21"/>
              </w:rPr>
            </w:pPr>
          </w:p>
        </w:tc>
        <w:tc>
          <w:tcPr>
            <w:tcW w:w="823" w:type="dxa"/>
            <w:vMerge w:val="continue"/>
            <w:tcBorders>
              <w:top w:val="nil"/>
            </w:tcBorders>
            <w:vAlign w:val="top"/>
          </w:tcPr>
          <w:p>
            <w:pPr>
              <w:rPr>
                <w:rFonts w:ascii="Malgun Gothic"/>
                <w:sz w:val="21"/>
              </w:rPr>
            </w:pPr>
          </w:p>
        </w:tc>
        <w:tc>
          <w:tcPr>
            <w:tcW w:w="2959" w:type="dxa"/>
            <w:vMerge w:val="continue"/>
            <w:tcBorders>
              <w:top w:val="nil"/>
            </w:tcBorders>
            <w:vAlign w:val="top"/>
          </w:tcPr>
          <w:p>
            <w:pPr>
              <w:rPr>
                <w:rFonts w:ascii="Malgun Gothic"/>
                <w:sz w:val="21"/>
              </w:rPr>
            </w:pPr>
          </w:p>
        </w:tc>
        <w:tc>
          <w:tcPr>
            <w:tcW w:w="2693" w:type="dxa"/>
            <w:vMerge w:val="continue"/>
            <w:tcBorders>
              <w:top w:val="nil"/>
            </w:tcBorders>
            <w:vAlign w:val="top"/>
          </w:tcPr>
          <w:p>
            <w:pPr>
              <w:rPr>
                <w:rFonts w:ascii="Malgun Gothic"/>
                <w:sz w:val="21"/>
              </w:rPr>
            </w:pPr>
          </w:p>
        </w:tc>
        <w:tc>
          <w:tcPr>
            <w:tcW w:w="748" w:type="dxa"/>
            <w:vAlign w:val="top"/>
          </w:tcPr>
          <w:p>
            <w:pPr>
              <w:spacing w:before="91" w:line="212" w:lineRule="exact"/>
              <w:ind w:firstLine="308"/>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704" w:type="dxa"/>
            <w:tcBorders>
              <w:right w:val="single" w:color="000000" w:sz="6" w:space="0"/>
            </w:tcBorders>
            <w:vAlign w:val="top"/>
          </w:tcPr>
          <w:p>
            <w:pPr>
              <w:spacing w:before="87" w:line="216" w:lineRule="exact"/>
              <w:ind w:firstLine="282"/>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07" w:type="dxa"/>
            <w:tcBorders>
              <w:left w:val="single" w:color="000000" w:sz="6" w:space="0"/>
            </w:tcBorders>
            <w:vAlign w:val="top"/>
          </w:tcPr>
          <w:p>
            <w:pPr>
              <w:spacing w:before="68" w:line="312" w:lineRule="exact"/>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思想</w:t>
            </w:r>
          </w:p>
          <w:p>
            <w:pPr>
              <w:spacing w:line="204"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性</w:t>
            </w:r>
          </w:p>
        </w:tc>
        <w:tc>
          <w:tcPr>
            <w:tcW w:w="6475" w:type="dxa"/>
            <w:gridSpan w:val="3"/>
            <w:vAlign w:val="top"/>
          </w:tcPr>
          <w:p>
            <w:pPr>
              <w:spacing w:before="58" w:line="239" w:lineRule="auto"/>
              <w:ind w:left="100" w:right="97"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坚持正确的政治导向和科学的思想观点，</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1"/>
                <w:sz w:val="21"/>
                <w:szCs w:val="21"/>
              </w:rPr>
              <w:t>宣传爱国主义精神，</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1"/>
                <w:sz w:val="21"/>
                <w:szCs w:val="21"/>
              </w:rPr>
              <w:t>弘杨民</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族文化，反映时代特色，符合辩证唯物主义和历史唯物主义</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807" w:type="dxa"/>
            <w:vMerge w:val="restart"/>
            <w:tcBorders>
              <w:left w:val="single" w:color="000000" w:sz="6" w:space="0"/>
              <w:bottom w:val="nil"/>
            </w:tcBorders>
            <w:textDirection w:val="tbRlV"/>
            <w:vAlign w:val="top"/>
          </w:tcPr>
          <w:p>
            <w:pPr>
              <w:spacing w:before="296" w:line="180" w:lineRule="auto"/>
              <w:ind w:firstLine="567"/>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科</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9"/>
                <w:sz w:val="21"/>
                <w:szCs w:val="21"/>
              </w:rPr>
              <w:t>学</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9"/>
                <w:sz w:val="21"/>
                <w:szCs w:val="21"/>
              </w:rPr>
              <w:t>性</w:t>
            </w:r>
          </w:p>
        </w:tc>
        <w:tc>
          <w:tcPr>
            <w:tcW w:w="823" w:type="dxa"/>
            <w:vAlign w:val="top"/>
          </w:tcPr>
          <w:p>
            <w:pPr>
              <w:spacing w:before="67" w:line="308" w:lineRule="exact"/>
              <w:ind w:firstLine="1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知识</w:t>
            </w:r>
          </w:p>
          <w:p>
            <w:pPr>
              <w:spacing w:before="1"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体系</w:t>
            </w:r>
          </w:p>
        </w:tc>
        <w:tc>
          <w:tcPr>
            <w:tcW w:w="2959" w:type="dxa"/>
            <w:vAlign w:val="top"/>
          </w:tcPr>
          <w:p>
            <w:pPr>
              <w:spacing w:before="62" w:line="208" w:lineRule="auto"/>
              <w:ind w:left="102" w:right="103" w:firstLine="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知识体系完整、严密，学术水</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
                <w:sz w:val="21"/>
                <w:szCs w:val="21"/>
              </w:rPr>
              <w:t>平高，科学性强</w:t>
            </w:r>
          </w:p>
        </w:tc>
        <w:tc>
          <w:tcPr>
            <w:tcW w:w="2693" w:type="dxa"/>
            <w:vAlign w:val="top"/>
          </w:tcPr>
          <w:p>
            <w:pPr>
              <w:spacing w:before="63" w:line="206" w:lineRule="auto"/>
              <w:ind w:left="108" w:right="98"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知识体系基本完整，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3"/>
                <w:sz w:val="21"/>
                <w:szCs w:val="21"/>
              </w:rPr>
              <w:t>科学性</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较强</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807" w:type="dxa"/>
            <w:vMerge w:val="continue"/>
            <w:tcBorders>
              <w:top w:val="nil"/>
              <w:left w:val="single" w:color="000000" w:sz="6" w:space="0"/>
              <w:bottom w:val="nil"/>
            </w:tcBorders>
            <w:textDirection w:val="tbRlV"/>
            <w:vAlign w:val="top"/>
          </w:tcPr>
          <w:p>
            <w:pPr>
              <w:rPr>
                <w:rFonts w:ascii="Malgun Gothic"/>
                <w:sz w:val="21"/>
              </w:rPr>
            </w:pPr>
          </w:p>
        </w:tc>
        <w:tc>
          <w:tcPr>
            <w:tcW w:w="823" w:type="dxa"/>
            <w:vAlign w:val="top"/>
          </w:tcPr>
          <w:p>
            <w:pPr>
              <w:spacing w:before="68" w:line="317" w:lineRule="exact"/>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position w:val="8"/>
                <w:sz w:val="21"/>
                <w:szCs w:val="21"/>
              </w:rPr>
              <w:t>内容</w:t>
            </w:r>
          </w:p>
          <w:p>
            <w:pPr>
              <w:spacing w:line="204" w:lineRule="auto"/>
              <w:ind w:firstLine="21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阐释</w:t>
            </w:r>
          </w:p>
        </w:tc>
        <w:tc>
          <w:tcPr>
            <w:tcW w:w="2959" w:type="dxa"/>
            <w:vAlign w:val="top"/>
          </w:tcPr>
          <w:p>
            <w:pPr>
              <w:spacing w:before="69" w:line="206" w:lineRule="auto"/>
              <w:ind w:left="104" w:right="140" w:firstLine="2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内容阐释准确、清晰、简明，</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深入浅出，富有吸引力</w:t>
            </w:r>
          </w:p>
        </w:tc>
        <w:tc>
          <w:tcPr>
            <w:tcW w:w="2693" w:type="dxa"/>
            <w:vAlign w:val="top"/>
          </w:tcPr>
          <w:p>
            <w:pPr>
              <w:spacing w:before="224" w:line="180" w:lineRule="auto"/>
              <w:ind w:firstLine="12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内容阐释正确、明白</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807" w:type="dxa"/>
            <w:vMerge w:val="continue"/>
            <w:tcBorders>
              <w:top w:val="nil"/>
              <w:left w:val="single" w:color="000000" w:sz="6" w:space="0"/>
            </w:tcBorders>
            <w:textDirection w:val="tbRlV"/>
            <w:vAlign w:val="top"/>
          </w:tcPr>
          <w:p>
            <w:pPr>
              <w:rPr>
                <w:rFonts w:ascii="Malgun Gothic"/>
                <w:sz w:val="21"/>
              </w:rPr>
            </w:pPr>
          </w:p>
        </w:tc>
        <w:tc>
          <w:tcPr>
            <w:tcW w:w="823" w:type="dxa"/>
            <w:vAlign w:val="top"/>
          </w:tcPr>
          <w:p>
            <w:pPr>
              <w:spacing w:before="70" w:line="311" w:lineRule="exact"/>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科学</w:t>
            </w:r>
          </w:p>
          <w:p>
            <w:pPr>
              <w:spacing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精神</w:t>
            </w:r>
          </w:p>
        </w:tc>
        <w:tc>
          <w:tcPr>
            <w:tcW w:w="2959" w:type="dxa"/>
            <w:vAlign w:val="top"/>
          </w:tcPr>
          <w:p>
            <w:pPr>
              <w:spacing w:before="68" w:line="207" w:lineRule="auto"/>
              <w:ind w:left="102" w:right="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有知识的人文背景，有作者独到</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4"/>
                <w:sz w:val="21"/>
                <w:szCs w:val="21"/>
              </w:rPr>
              <w:t>见解，能给学生科学精神的感召</w:t>
            </w:r>
          </w:p>
        </w:tc>
        <w:tc>
          <w:tcPr>
            <w:tcW w:w="2693" w:type="dxa"/>
            <w:vAlign w:val="top"/>
          </w:tcPr>
          <w:p>
            <w:pPr>
              <w:spacing w:before="67" w:line="206" w:lineRule="auto"/>
              <w:ind w:left="107" w:right="98"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注意在传授知识的同时传</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授科学方法和科学思想</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807" w:type="dxa"/>
            <w:vMerge w:val="restart"/>
            <w:tcBorders>
              <w:left w:val="single" w:color="000000" w:sz="6" w:space="0"/>
              <w:bottom w:val="nil"/>
            </w:tcBorders>
            <w:textDirection w:val="tbRlV"/>
            <w:vAlign w:val="top"/>
          </w:tcPr>
          <w:p>
            <w:pPr>
              <w:spacing w:before="295" w:line="180" w:lineRule="auto"/>
              <w:ind w:firstLine="8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先</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0"/>
                <w:sz w:val="21"/>
                <w:szCs w:val="21"/>
              </w:rPr>
              <w:t>进</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10"/>
                <w:sz w:val="21"/>
                <w:szCs w:val="21"/>
              </w:rPr>
              <w:t>性</w:t>
            </w:r>
          </w:p>
        </w:tc>
        <w:tc>
          <w:tcPr>
            <w:tcW w:w="823" w:type="dxa"/>
            <w:vAlign w:val="top"/>
          </w:tcPr>
          <w:p>
            <w:pPr>
              <w:spacing w:before="71" w:line="314" w:lineRule="exact"/>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position w:val="8"/>
                <w:sz w:val="21"/>
                <w:szCs w:val="21"/>
              </w:rPr>
              <w:t>内容</w:t>
            </w:r>
          </w:p>
          <w:p>
            <w:pPr>
              <w:spacing w:line="204"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新颖</w:t>
            </w:r>
          </w:p>
        </w:tc>
        <w:tc>
          <w:tcPr>
            <w:tcW w:w="2959" w:type="dxa"/>
            <w:vAlign w:val="top"/>
          </w:tcPr>
          <w:p>
            <w:pPr>
              <w:spacing w:before="72" w:line="206" w:lineRule="auto"/>
              <w:ind w:left="102" w:right="103"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吸</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2"/>
                <w:sz w:val="21"/>
                <w:szCs w:val="21"/>
              </w:rPr>
              <w:t>收了该领域</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2"/>
                <w:sz w:val="21"/>
                <w:szCs w:val="21"/>
              </w:rPr>
              <w:t>最新的研究成</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果，能反映最新研究动态</w:t>
            </w:r>
          </w:p>
        </w:tc>
        <w:tc>
          <w:tcPr>
            <w:tcW w:w="2693" w:type="dxa"/>
            <w:vAlign w:val="top"/>
          </w:tcPr>
          <w:p>
            <w:pPr>
              <w:spacing w:before="71" w:line="205" w:lineRule="auto"/>
              <w:ind w:left="107"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含有较新的研究成果，</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3"/>
                <w:sz w:val="21"/>
                <w:szCs w:val="21"/>
              </w:rPr>
              <w:t>不能</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反映最新研究动态</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807" w:type="dxa"/>
            <w:vMerge w:val="continue"/>
            <w:tcBorders>
              <w:top w:val="nil"/>
              <w:left w:val="single" w:color="000000" w:sz="6" w:space="0"/>
              <w:bottom w:val="nil"/>
            </w:tcBorders>
            <w:textDirection w:val="tbRlV"/>
            <w:vAlign w:val="top"/>
          </w:tcPr>
          <w:p>
            <w:pPr>
              <w:rPr>
                <w:rFonts w:ascii="Malgun Gothic"/>
                <w:sz w:val="21"/>
              </w:rPr>
            </w:pPr>
          </w:p>
        </w:tc>
        <w:tc>
          <w:tcPr>
            <w:tcW w:w="823" w:type="dxa"/>
            <w:vAlign w:val="top"/>
          </w:tcPr>
          <w:p>
            <w:pPr>
              <w:spacing w:before="229" w:line="312" w:lineRule="exact"/>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方法</w:t>
            </w:r>
          </w:p>
          <w:p>
            <w:pPr>
              <w:spacing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先进</w:t>
            </w:r>
          </w:p>
        </w:tc>
        <w:tc>
          <w:tcPr>
            <w:tcW w:w="2959" w:type="dxa"/>
            <w:vAlign w:val="top"/>
          </w:tcPr>
          <w:p>
            <w:pPr>
              <w:spacing w:before="73" w:line="221" w:lineRule="auto"/>
              <w:ind w:left="101" w:right="102" w:firstLine="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运用先进的教学思想，做到了</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20"/>
                <w:w w:val="98"/>
                <w:sz w:val="21"/>
                <w:szCs w:val="21"/>
              </w:rPr>
              <w:t>启迪思维，</w:t>
            </w:r>
            <w:r>
              <w:rPr>
                <w:rFonts w:ascii="方正书宋简体" w:hAnsi="方正书宋简体" w:eastAsia="方正书宋简体" w:cs="方正书宋简体"/>
                <w:spacing w:val="70"/>
                <w:sz w:val="21"/>
                <w:szCs w:val="21"/>
              </w:rPr>
              <w:t xml:space="preserve"> </w:t>
            </w:r>
            <w:r>
              <w:rPr>
                <w:rFonts w:ascii="方正书宋简体" w:hAnsi="方正书宋简体" w:eastAsia="方正书宋简体" w:cs="方正书宋简体"/>
                <w:spacing w:val="-20"/>
                <w:w w:val="98"/>
                <w:sz w:val="21"/>
                <w:szCs w:val="21"/>
              </w:rPr>
              <w:t>诱导探索，</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8"/>
                <w:sz w:val="21"/>
                <w:szCs w:val="21"/>
              </w:rPr>
              <w:t>教学互</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
                <w:sz w:val="21"/>
                <w:szCs w:val="21"/>
              </w:rPr>
              <w:t>动，学以致用</w:t>
            </w:r>
          </w:p>
        </w:tc>
        <w:tc>
          <w:tcPr>
            <w:tcW w:w="2693" w:type="dxa"/>
            <w:vAlign w:val="top"/>
          </w:tcPr>
          <w:p>
            <w:pPr>
              <w:spacing w:before="225" w:line="252" w:lineRule="auto"/>
              <w:ind w:left="108" w:right="98"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注意了启发式教学，</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3"/>
                <w:sz w:val="21"/>
                <w:szCs w:val="21"/>
              </w:rPr>
              <w:t>但未能</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贯彻全书，开放性不够</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 w:hRule="atLeast"/>
        </w:trPr>
        <w:tc>
          <w:tcPr>
            <w:tcW w:w="807" w:type="dxa"/>
            <w:vMerge w:val="continue"/>
            <w:tcBorders>
              <w:top w:val="nil"/>
              <w:left w:val="single" w:color="000000" w:sz="6" w:space="0"/>
            </w:tcBorders>
            <w:textDirection w:val="tbRlV"/>
            <w:vAlign w:val="top"/>
          </w:tcPr>
          <w:p>
            <w:pPr>
              <w:rPr>
                <w:rFonts w:ascii="Malgun Gothic"/>
                <w:sz w:val="21"/>
              </w:rPr>
            </w:pPr>
          </w:p>
        </w:tc>
        <w:tc>
          <w:tcPr>
            <w:tcW w:w="823" w:type="dxa"/>
            <w:vAlign w:val="top"/>
          </w:tcPr>
          <w:p>
            <w:pPr>
              <w:spacing w:before="231" w:line="316" w:lineRule="exact"/>
              <w:ind w:firstLine="19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手段</w:t>
            </w:r>
          </w:p>
          <w:p>
            <w:pPr>
              <w:spacing w:line="204"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灵活</w:t>
            </w:r>
          </w:p>
        </w:tc>
        <w:tc>
          <w:tcPr>
            <w:tcW w:w="2959" w:type="dxa"/>
            <w:vAlign w:val="top"/>
          </w:tcPr>
          <w:p>
            <w:pPr>
              <w:spacing w:before="73" w:line="220" w:lineRule="auto"/>
              <w:ind w:left="104" w:right="1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针对不同教学内容运用多种教</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z w:val="21"/>
                <w:szCs w:val="21"/>
              </w:rPr>
              <w:t>学手段，采用信息技术，有利</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
                <w:sz w:val="21"/>
                <w:szCs w:val="21"/>
              </w:rPr>
              <w:t>于教师教学和学生学习</w:t>
            </w:r>
          </w:p>
        </w:tc>
        <w:tc>
          <w:tcPr>
            <w:tcW w:w="2693" w:type="dxa"/>
            <w:vAlign w:val="top"/>
          </w:tcPr>
          <w:p>
            <w:pPr>
              <w:spacing w:before="229" w:line="249" w:lineRule="auto"/>
              <w:ind w:left="112"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注意运用多种教学手段，</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3"/>
                <w:sz w:val="21"/>
                <w:szCs w:val="21"/>
              </w:rPr>
              <w:t>未</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能运用现代教育技术</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2" w:hRule="atLeast"/>
        </w:trPr>
        <w:tc>
          <w:tcPr>
            <w:tcW w:w="807" w:type="dxa"/>
            <w:vMerge w:val="restart"/>
            <w:tcBorders>
              <w:left w:val="single" w:color="000000" w:sz="6" w:space="0"/>
              <w:bottom w:val="nil"/>
            </w:tcBorders>
            <w:textDirection w:val="tbRlV"/>
            <w:vAlign w:val="top"/>
          </w:tcPr>
          <w:p>
            <w:pPr>
              <w:spacing w:before="295" w:line="180" w:lineRule="auto"/>
              <w:ind w:firstLine="7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适</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14"/>
                <w:sz w:val="21"/>
                <w:szCs w:val="21"/>
              </w:rPr>
              <w:t>用</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4"/>
                <w:sz w:val="21"/>
                <w:szCs w:val="21"/>
              </w:rPr>
              <w:t>性</w:t>
            </w:r>
          </w:p>
        </w:tc>
        <w:tc>
          <w:tcPr>
            <w:tcW w:w="823" w:type="dxa"/>
            <w:vAlign w:val="top"/>
          </w:tcPr>
          <w:p>
            <w:pPr>
              <w:spacing w:before="223" w:line="319" w:lineRule="exact"/>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6"/>
                <w:sz w:val="21"/>
                <w:szCs w:val="21"/>
              </w:rPr>
              <w:t>取材</w:t>
            </w:r>
          </w:p>
          <w:p>
            <w:pPr>
              <w:spacing w:line="204"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适当</w:t>
            </w:r>
          </w:p>
        </w:tc>
        <w:tc>
          <w:tcPr>
            <w:tcW w:w="2959" w:type="dxa"/>
            <w:vAlign w:val="top"/>
          </w:tcPr>
          <w:p>
            <w:pPr>
              <w:spacing w:before="66" w:line="223" w:lineRule="auto"/>
              <w:ind w:left="103" w:right="1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取材适当，重点突出，深度适</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20"/>
                <w:w w:val="99"/>
                <w:sz w:val="21"/>
                <w:szCs w:val="21"/>
              </w:rPr>
              <w:t>宜，</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20"/>
                <w:w w:val="99"/>
                <w:sz w:val="21"/>
                <w:szCs w:val="21"/>
              </w:rPr>
              <w:t>繁简得当，</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20"/>
                <w:w w:val="99"/>
                <w:sz w:val="21"/>
                <w:szCs w:val="21"/>
              </w:rPr>
              <w:t>符合本课程教</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学及专业培养目标的要求</w:t>
            </w:r>
          </w:p>
        </w:tc>
        <w:tc>
          <w:tcPr>
            <w:tcW w:w="2693" w:type="dxa"/>
            <w:vAlign w:val="top"/>
          </w:tcPr>
          <w:p>
            <w:pPr>
              <w:spacing w:before="223" w:line="239" w:lineRule="auto"/>
              <w:ind w:left="108" w:right="9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取材合理，重点比较突出，</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
                <w:sz w:val="21"/>
                <w:szCs w:val="21"/>
              </w:rPr>
              <w:t>深度及繁简尚须斟酌</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807" w:type="dxa"/>
            <w:vMerge w:val="continue"/>
            <w:tcBorders>
              <w:top w:val="nil"/>
              <w:left w:val="single" w:color="000000" w:sz="6" w:space="0"/>
              <w:bottom w:val="nil"/>
            </w:tcBorders>
            <w:textDirection w:val="tbRlV"/>
            <w:vAlign w:val="top"/>
          </w:tcPr>
          <w:p>
            <w:pPr>
              <w:rPr>
                <w:rFonts w:ascii="Malgun Gothic"/>
                <w:sz w:val="21"/>
              </w:rPr>
            </w:pPr>
          </w:p>
        </w:tc>
        <w:tc>
          <w:tcPr>
            <w:tcW w:w="823" w:type="dxa"/>
            <w:vAlign w:val="top"/>
          </w:tcPr>
          <w:p>
            <w:pPr>
              <w:spacing w:before="73" w:line="321" w:lineRule="exact"/>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方便</w:t>
            </w:r>
          </w:p>
          <w:p>
            <w:pPr>
              <w:spacing w:before="1"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运用</w:t>
            </w:r>
          </w:p>
        </w:tc>
        <w:tc>
          <w:tcPr>
            <w:tcW w:w="2959" w:type="dxa"/>
            <w:vAlign w:val="top"/>
          </w:tcPr>
          <w:p>
            <w:pPr>
              <w:spacing w:before="73" w:line="207" w:lineRule="auto"/>
              <w:ind w:left="103" w:right="103" w:firstLine="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能使用于不同教学时数，适合</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
                <w:sz w:val="21"/>
                <w:szCs w:val="21"/>
              </w:rPr>
              <w:t>教师运用，也适合学生自学</w:t>
            </w:r>
          </w:p>
        </w:tc>
        <w:tc>
          <w:tcPr>
            <w:tcW w:w="2693" w:type="dxa"/>
            <w:vAlign w:val="top"/>
          </w:tcPr>
          <w:p>
            <w:pPr>
              <w:spacing w:before="72" w:line="206" w:lineRule="auto"/>
              <w:ind w:left="110" w:right="98"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适合教师运用，</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但不适合学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生自学</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807" w:type="dxa"/>
            <w:vMerge w:val="continue"/>
            <w:tcBorders>
              <w:top w:val="nil"/>
              <w:left w:val="single" w:color="000000" w:sz="6" w:space="0"/>
            </w:tcBorders>
            <w:textDirection w:val="tbRlV"/>
            <w:vAlign w:val="top"/>
          </w:tcPr>
          <w:p>
            <w:pPr>
              <w:rPr>
                <w:rFonts w:ascii="Malgun Gothic"/>
                <w:sz w:val="21"/>
              </w:rPr>
            </w:pPr>
          </w:p>
        </w:tc>
        <w:tc>
          <w:tcPr>
            <w:tcW w:w="823" w:type="dxa"/>
            <w:vAlign w:val="top"/>
          </w:tcPr>
          <w:p>
            <w:pPr>
              <w:spacing w:before="72" w:line="319" w:lineRule="exact"/>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体例</w:t>
            </w:r>
          </w:p>
          <w:p>
            <w:pPr>
              <w:spacing w:line="204"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周全</w:t>
            </w:r>
          </w:p>
        </w:tc>
        <w:tc>
          <w:tcPr>
            <w:tcW w:w="2959" w:type="dxa"/>
            <w:vAlign w:val="top"/>
          </w:tcPr>
          <w:p>
            <w:pPr>
              <w:spacing w:before="75" w:line="207" w:lineRule="auto"/>
              <w:ind w:left="115" w:right="86" w:hanging="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章节清晰合理，配有教学所需练</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15"/>
                <w:sz w:val="21"/>
                <w:szCs w:val="21"/>
              </w:rPr>
              <w:t>习题、思考题，附有参考文献等</w:t>
            </w:r>
          </w:p>
        </w:tc>
        <w:tc>
          <w:tcPr>
            <w:tcW w:w="2693" w:type="dxa"/>
            <w:vAlign w:val="top"/>
          </w:tcPr>
          <w:p>
            <w:pPr>
              <w:spacing w:before="75" w:line="207" w:lineRule="auto"/>
              <w:ind w:left="109"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章节分配合理，</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4"/>
                <w:sz w:val="21"/>
                <w:szCs w:val="21"/>
              </w:rPr>
              <w:t>配有练习题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等，但体例不够周全</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807" w:type="dxa"/>
            <w:vMerge w:val="restart"/>
            <w:tcBorders>
              <w:left w:val="single" w:color="000000" w:sz="6" w:space="0"/>
              <w:bottom w:val="nil"/>
            </w:tcBorders>
            <w:textDirection w:val="tbRlV"/>
            <w:vAlign w:val="top"/>
          </w:tcPr>
          <w:p>
            <w:pPr>
              <w:spacing w:before="295" w:line="180" w:lineRule="auto"/>
              <w:ind w:firstLine="86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特</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色</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9"/>
                <w:sz w:val="21"/>
                <w:szCs w:val="21"/>
              </w:rPr>
              <w:t>性</w:t>
            </w:r>
          </w:p>
        </w:tc>
        <w:tc>
          <w:tcPr>
            <w:tcW w:w="823" w:type="dxa"/>
            <w:vAlign w:val="top"/>
          </w:tcPr>
          <w:p>
            <w:pPr>
              <w:spacing w:before="392" w:line="310" w:lineRule="exact"/>
              <w:ind w:firstLine="19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质量</w:t>
            </w:r>
          </w:p>
          <w:p>
            <w:pPr>
              <w:spacing w:line="204" w:lineRule="auto"/>
              <w:ind w:firstLine="1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特色</w:t>
            </w:r>
          </w:p>
        </w:tc>
        <w:tc>
          <w:tcPr>
            <w:tcW w:w="2959" w:type="dxa"/>
            <w:vAlign w:val="top"/>
          </w:tcPr>
          <w:p>
            <w:pPr>
              <w:spacing w:before="233" w:line="251" w:lineRule="auto"/>
              <w:ind w:left="102" w:right="103" w:firstLine="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能反映本学科的研究成果，同</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
                <w:sz w:val="21"/>
                <w:szCs w:val="21"/>
              </w:rPr>
              <w:t>时能较好地反映本学校的学术</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水平和研究成果</w:t>
            </w:r>
          </w:p>
        </w:tc>
        <w:tc>
          <w:tcPr>
            <w:tcW w:w="2693" w:type="dxa"/>
            <w:vAlign w:val="top"/>
          </w:tcPr>
          <w:p>
            <w:pPr>
              <w:spacing w:before="78" w:line="228" w:lineRule="auto"/>
              <w:ind w:left="107" w:right="96" w:firstLine="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能反映本学科的研究成果，</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5"/>
                <w:sz w:val="21"/>
                <w:szCs w:val="21"/>
              </w:rPr>
              <w:t>同时在一定程度上反映了</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5"/>
                <w:sz w:val="21"/>
                <w:szCs w:val="21"/>
              </w:rPr>
              <w:t>本学校的学术水平和研究</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成果</w:t>
            </w:r>
          </w:p>
        </w:tc>
        <w:tc>
          <w:tcPr>
            <w:tcW w:w="748" w:type="dxa"/>
            <w:vAlign w:val="top"/>
          </w:tcPr>
          <w:p>
            <w:pPr>
              <w:rPr>
                <w:rFonts w:ascii="Malgun Gothic"/>
                <w:sz w:val="21"/>
              </w:rPr>
            </w:pPr>
          </w:p>
        </w:tc>
        <w:tc>
          <w:tcPr>
            <w:tcW w:w="70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rPr>
        <w:tc>
          <w:tcPr>
            <w:tcW w:w="807" w:type="dxa"/>
            <w:vMerge w:val="continue"/>
            <w:tcBorders>
              <w:top w:val="nil"/>
              <w:left w:val="single" w:color="000000" w:sz="6" w:space="0"/>
              <w:bottom w:val="single" w:color="000000" w:sz="6" w:space="0"/>
            </w:tcBorders>
            <w:textDirection w:val="tbRlV"/>
            <w:vAlign w:val="top"/>
          </w:tcPr>
          <w:p>
            <w:pPr>
              <w:rPr>
                <w:rFonts w:ascii="Malgun Gothic"/>
                <w:sz w:val="21"/>
              </w:rPr>
            </w:pPr>
          </w:p>
        </w:tc>
        <w:tc>
          <w:tcPr>
            <w:tcW w:w="823" w:type="dxa"/>
            <w:tcBorders>
              <w:bottom w:val="single" w:color="000000" w:sz="6" w:space="0"/>
            </w:tcBorders>
            <w:vAlign w:val="top"/>
          </w:tcPr>
          <w:p>
            <w:pPr>
              <w:spacing w:before="393" w:line="311" w:lineRule="exact"/>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形式</w:t>
            </w:r>
          </w:p>
          <w:p>
            <w:pPr>
              <w:spacing w:line="204" w:lineRule="auto"/>
              <w:ind w:firstLine="1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特色</w:t>
            </w:r>
          </w:p>
        </w:tc>
        <w:tc>
          <w:tcPr>
            <w:tcW w:w="2959" w:type="dxa"/>
            <w:tcBorders>
              <w:bottom w:val="single" w:color="000000" w:sz="6" w:space="0"/>
            </w:tcBorders>
            <w:vAlign w:val="top"/>
          </w:tcPr>
          <w:p>
            <w:pPr>
              <w:spacing w:before="75" w:line="236" w:lineRule="auto"/>
              <w:ind w:left="104" w:right="103" w:firstLine="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编写体例能体现学校明确的指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z w:val="21"/>
                <w:szCs w:val="21"/>
              </w:rPr>
              <w:t>导思想和教改精神和独特的教</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z w:val="21"/>
                <w:szCs w:val="21"/>
              </w:rPr>
              <w:t>育模式，安排有弹性，实现了</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
                <w:sz w:val="21"/>
                <w:szCs w:val="21"/>
              </w:rPr>
              <w:t>以教科书为主的教材系列化</w:t>
            </w:r>
          </w:p>
        </w:tc>
        <w:tc>
          <w:tcPr>
            <w:tcW w:w="2693" w:type="dxa"/>
            <w:tcBorders>
              <w:bottom w:val="single" w:color="000000" w:sz="6" w:space="0"/>
            </w:tcBorders>
            <w:vAlign w:val="top"/>
          </w:tcPr>
          <w:p>
            <w:pPr>
              <w:spacing w:before="77" w:line="229" w:lineRule="auto"/>
              <w:ind w:left="107" w:right="98" w:firstLine="5"/>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编写体例在一定程度上体</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5"/>
                <w:sz w:val="21"/>
                <w:szCs w:val="21"/>
              </w:rPr>
              <w:t>现学校明确的指导思想和</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5"/>
                <w:sz w:val="21"/>
                <w:szCs w:val="21"/>
              </w:rPr>
              <w:t>教改精神和独特的教育模</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1"/>
                <w:sz w:val="21"/>
                <w:szCs w:val="21"/>
              </w:rPr>
              <w:t>式，</w:t>
            </w:r>
          </w:p>
        </w:tc>
        <w:tc>
          <w:tcPr>
            <w:tcW w:w="748" w:type="dxa"/>
            <w:tcBorders>
              <w:bottom w:val="single" w:color="000000" w:sz="6" w:space="0"/>
            </w:tcBorders>
            <w:vAlign w:val="top"/>
          </w:tcPr>
          <w:p>
            <w:pPr>
              <w:rPr>
                <w:rFonts w:ascii="Malgun Gothic"/>
                <w:sz w:val="21"/>
              </w:rPr>
            </w:pPr>
          </w:p>
        </w:tc>
        <w:tc>
          <w:tcPr>
            <w:tcW w:w="704" w:type="dxa"/>
            <w:tcBorders>
              <w:bottom w:val="single" w:color="000000" w:sz="6" w:space="0"/>
              <w:right w:val="single" w:color="000000" w:sz="6" w:space="0"/>
            </w:tcBorders>
            <w:vAlign w:val="top"/>
          </w:tcPr>
          <w:p>
            <w:pPr>
              <w:rPr>
                <w:rFonts w:ascii="Malgun Gothic"/>
                <w:sz w:val="21"/>
              </w:rPr>
            </w:pPr>
          </w:p>
        </w:tc>
      </w:tr>
    </w:tbl>
    <w:p>
      <w:pPr>
        <w:spacing w:line="293" w:lineRule="auto"/>
        <w:rPr>
          <w:rFonts w:ascii="Malgun Gothic"/>
          <w:sz w:val="21"/>
        </w:rPr>
      </w:pPr>
    </w:p>
    <w:p>
      <w:pPr>
        <w:spacing w:before="53" w:line="124"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107</w:t>
      </w:r>
    </w:p>
    <w:p>
      <w:pPr>
        <w:sectPr>
          <w:type w:val="continuous"/>
          <w:pgSz w:w="11905" w:h="16840"/>
          <w:pgMar w:top="1431" w:right="1577" w:bottom="400" w:left="1578" w:header="0" w:footer="0" w:gutter="0"/>
          <w:cols w:equalWidth="0" w:num="1">
            <w:col w:w="8750"/>
          </w:cols>
        </w:sectPr>
      </w:pPr>
    </w:p>
    <w:p>
      <w:pPr>
        <w:spacing w:before="349" w:line="180" w:lineRule="auto"/>
        <w:ind w:firstLine="197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吉首大学教材征订、供应管理办法</w:t>
      </w:r>
    </w:p>
    <w:p>
      <w:pPr>
        <w:spacing w:line="313" w:lineRule="auto"/>
        <w:rPr>
          <w:rFonts w:ascii="Malgun Gothic"/>
          <w:sz w:val="21"/>
        </w:rPr>
      </w:pPr>
    </w:p>
    <w:p>
      <w:pPr>
        <w:spacing w:before="86" w:line="304" w:lineRule="auto"/>
        <w:ind w:left="2" w:right="121"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为规范教材管理，保障教材征订和供应，确保教学秩序稳定，提高教学质量，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根据学校实际，特制定本办法。</w:t>
      </w:r>
    </w:p>
    <w:p>
      <w:pPr>
        <w:spacing w:before="22" w:line="19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一、教材征订和供应的基本原则</w:t>
      </w:r>
    </w:p>
    <w:p>
      <w:pPr>
        <w:spacing w:before="131" w:line="315" w:lineRule="auto"/>
        <w:ind w:left="3" w:right="77"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1、一致性原则。教材征订和供应应与教材选用和征订计划保持一致，</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不得随意</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变更教材选用计划。</w:t>
      </w:r>
    </w:p>
    <w:p>
      <w:pPr>
        <w:spacing w:before="1" w:line="315" w:lineRule="auto"/>
        <w:ind w:left="1" w:right="7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2、以质量为标准原则。各教学单位和教材供应中心要认真履行职责，</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遵守国家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法律法规，从国家规定的发行部门采购教材，</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严禁采购盗版教材或劣质教材，确保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教材质量。</w:t>
      </w:r>
    </w:p>
    <w:p>
      <w:pPr>
        <w:spacing w:line="304" w:lineRule="auto"/>
        <w:ind w:right="77"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3、减轻学生负担原则。原则上每门课程发放一种教材，</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学生发放辅助教材或资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料须报学校相关部门批准，尽量考虑和减轻学生负担。</w:t>
      </w:r>
    </w:p>
    <w:p>
      <w:pPr>
        <w:spacing w:before="33" w:line="254" w:lineRule="auto"/>
        <w:ind w:left="4" w:right="77"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4、服务原则。教材供应部门要坚持以教学为本，</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服务至上，</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热心为教师和学生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服务，做好教材的供应和发放工作。</w:t>
      </w:r>
    </w:p>
    <w:p>
      <w:pPr>
        <w:spacing w:before="166"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二、教材征订</w:t>
      </w:r>
    </w:p>
    <w:p>
      <w:pPr>
        <w:spacing w:before="148" w:line="315" w:lineRule="auto"/>
        <w:ind w:left="2" w:right="78"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教材服务中心负责依据各院（部）主管领导和教务处认可的课程负责人选用教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材的订购。</w:t>
      </w:r>
    </w:p>
    <w:p>
      <w:pPr>
        <w:spacing w:before="2" w:line="311" w:lineRule="auto"/>
        <w:ind w:right="75"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1、订购数量。教学所需教材原则上一门课程选用一种。订数应按教学计划严格</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掌握，课程稳定的可订两届，一般只订一届。</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3"/>
          <w:sz w:val="24"/>
          <w:szCs w:val="24"/>
        </w:rPr>
        <w:t>因出版周期延长需超订的必须另行报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告加以说明。</w:t>
      </w:r>
    </w:p>
    <w:p>
      <w:pPr>
        <w:spacing w:before="18" w:line="315" w:lineRule="auto"/>
        <w:ind w:left="1" w:right="7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2、订购时间。全校各院（部）</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5"/>
          <w:sz w:val="24"/>
          <w:szCs w:val="24"/>
        </w:rPr>
        <w:t>的教材预订应在全国统一规定的春秋教材征订时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间内完成（每年六月上旬前预订次年秋季用教材，每年十二月上旬前预订次年春季</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4"/>
          <w:sz w:val="24"/>
          <w:szCs w:val="24"/>
        </w:rPr>
        <w:t>用教材）。</w:t>
      </w:r>
    </w:p>
    <w:p>
      <w:pPr>
        <w:spacing w:before="5" w:line="311"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3、订购要求。各院（部）开设的课程所使用的教材（包括选用教材和自编教材</w:t>
      </w:r>
      <w:r>
        <w:rPr>
          <w:rFonts w:ascii="方正书宋简体" w:hAnsi="方正书宋简体" w:eastAsia="方正书宋简体" w:cs="方正书宋简体"/>
          <w:spacing w:val="-29"/>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由开课系或教研室集体研究讨论，提出初步方案，经系或教研室主任同意。各类订</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单必须按《吉首大学教材征订计划申报表》有关栏目逐项填清，并由各院（部）分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管教学的领导签字并加盖公章，经教务处主管部门审核后报送教材服务中心，否则</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不予受理。计划报出后不得随意变更，否则由此造成的损失概由当事人承担。</w:t>
      </w:r>
    </w:p>
    <w:p>
      <w:pPr>
        <w:spacing w:before="25" w:line="304" w:lineRule="auto"/>
        <w:ind w:right="78"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rPr>
        <w:t>4、教材预订后，</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1"/>
          <w:w w:val="99"/>
          <w:sz w:val="24"/>
          <w:szCs w:val="24"/>
        </w:rPr>
        <w:t>如教学计划或招生人数调整变化，</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9"/>
          <w:sz w:val="24"/>
          <w:szCs w:val="24"/>
        </w:rPr>
        <w:t>各院（部）</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11"/>
          <w:w w:val="99"/>
          <w:sz w:val="24"/>
          <w:szCs w:val="24"/>
        </w:rPr>
        <w:t>应及时与教务科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联系办理追订手续。</w:t>
      </w:r>
    </w:p>
    <w:p>
      <w:pPr>
        <w:spacing w:before="360" w:line="180" w:lineRule="auto"/>
        <w:ind w:firstLine="4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108</w:t>
      </w:r>
    </w:p>
    <w:p>
      <w:pPr>
        <w:sectPr>
          <w:footerReference r:id="rId112" w:type="default"/>
          <w:pgSz w:w="11905" w:h="16840"/>
          <w:pgMar w:top="1431" w:right="1510" w:bottom="400" w:left="1591" w:header="0" w:footer="0" w:gutter="0"/>
          <w:cols w:space="720" w:num="1"/>
        </w:sectPr>
      </w:pPr>
    </w:p>
    <w:p>
      <w:pPr>
        <w:spacing w:before="41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三、教材供应</w:t>
      </w:r>
    </w:p>
    <w:p>
      <w:pPr>
        <w:spacing w:before="147" w:line="315" w:lineRule="auto"/>
        <w:ind w:left="3" w:right="95"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1、教材由教材服务中心负责供应。教材服务中心应按照教学院（部）</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5"/>
          <w:sz w:val="24"/>
          <w:szCs w:val="24"/>
        </w:rPr>
        <w:t>征订计划</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在开学前保证教材到位，确保按时、按质学生人手一册。</w:t>
      </w:r>
    </w:p>
    <w:p>
      <w:pPr>
        <w:spacing w:line="310" w:lineRule="auto"/>
        <w:ind w:right="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2、供应时间。教材服务中心在每学期开学前一周内集中供应本学期开课的教材。</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6"/>
          <w:sz w:val="24"/>
          <w:szCs w:val="24"/>
        </w:rPr>
        <w:t>根据《教材使用计划表》，</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6"/>
          <w:sz w:val="24"/>
          <w:szCs w:val="24"/>
        </w:rPr>
        <w:t>教材服务中心在开学前制订发放安排，</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6"/>
          <w:sz w:val="24"/>
          <w:szCs w:val="24"/>
        </w:rPr>
        <w:t>通知学院（部）</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16"/>
          <w:sz w:val="24"/>
          <w:szCs w:val="24"/>
        </w:rPr>
        <w:t>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中领取教材。非选修课教材学生一律以班为单位按照要求统一到教材库登记和领取。</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选修课教材可按照学生要求以学院（部）为单位领取，但必需将教材名称、单价等</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在卡上有关栏目内逐一填清以免错领误领。</w:t>
      </w:r>
    </w:p>
    <w:p>
      <w:pPr>
        <w:spacing w:before="39" w:line="311" w:lineRule="auto"/>
        <w:ind w:left="1" w:right="94"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3、担任本、专科生课程的教师领用教材、讲义和参考书凭教学任务书到教材服</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务中心书库领取。凡按规定担任某门课主讲、</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辅导或指导实验的教师，每人只发给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与学生相同的教材一套，以供教学使用。人员变动时不再发给教材；教材版本不变</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时，原则上不再发给新书。确实破损者，可申请另行补发。</w:t>
      </w:r>
    </w:p>
    <w:p>
      <w:pPr>
        <w:spacing w:before="24" w:line="25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4、凡领取的教材（含讲义）除倒装缺页者外，</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原则上不退不换。因遗失、损坏、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需重购教材的学生可凭学生证至教材库联系，视库存情况处理。</w:t>
      </w:r>
    </w:p>
    <w:p>
      <w:pPr>
        <w:spacing w:before="166"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四、教材管理</w:t>
      </w:r>
    </w:p>
    <w:p>
      <w:pPr>
        <w:spacing w:before="149" w:line="315" w:lineRule="auto"/>
        <w:ind w:left="2" w:right="94"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教材服务中心管理人员严格按照有关规章制度办事，明确职责，克尽职守，互</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相协作，共同努力把教材管理工作做好。每学期开学前两周，教材供应中心定期向</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教务处反馈教材预定和到位情况。</w:t>
      </w: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before="53"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109</w:t>
      </w:r>
    </w:p>
    <w:p>
      <w:pPr>
        <w:sectPr>
          <w:footerReference r:id="rId113" w:type="default"/>
          <w:pgSz w:w="11905" w:h="16840"/>
          <w:pgMar w:top="1431" w:right="1491" w:bottom="400" w:left="1590" w:header="0" w:footer="0" w:gutter="0"/>
          <w:cols w:space="720" w:num="1"/>
        </w:sectPr>
      </w:pPr>
    </w:p>
    <w:p>
      <w:pPr>
        <w:spacing w:before="349" w:line="180" w:lineRule="auto"/>
        <w:ind w:firstLine="229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吉首大学本科生学籍管理规定</w:t>
      </w:r>
    </w:p>
    <w:p>
      <w:pPr>
        <w:spacing w:line="295" w:lineRule="auto"/>
        <w:rPr>
          <w:rFonts w:ascii="Malgun Gothic"/>
          <w:sz w:val="21"/>
        </w:rPr>
      </w:pPr>
    </w:p>
    <w:p>
      <w:pPr>
        <w:spacing w:before="104" w:line="180" w:lineRule="auto"/>
        <w:ind w:firstLine="353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left="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为维护学校正常的教育教学秩序，保障学生合法权益，保障学生顺利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完成学业，</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4"/>
          <w:sz w:val="24"/>
          <w:szCs w:val="24"/>
        </w:rPr>
        <w:t>促进学生的全面发展，</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4"/>
          <w:sz w:val="24"/>
          <w:szCs w:val="24"/>
        </w:rPr>
        <w:t>依据教育部《普通高等学校学生管理规定》（中华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w w:val="99"/>
          <w:sz w:val="24"/>
          <w:szCs w:val="24"/>
        </w:rPr>
        <w:t>人民共和国教育部令第</w:t>
      </w:r>
      <w:r>
        <w:rPr>
          <w:rFonts w:ascii="方正书宋简体" w:hAnsi="方正书宋简体" w:eastAsia="方正书宋简体" w:cs="方正书宋简体"/>
          <w:spacing w:val="68"/>
          <w:w w:val="101"/>
          <w:sz w:val="24"/>
          <w:szCs w:val="24"/>
        </w:rPr>
        <w:t xml:space="preserve"> </w:t>
      </w:r>
      <w:r>
        <w:rPr>
          <w:rFonts w:ascii="方正书宋简体" w:hAnsi="方正书宋简体" w:eastAsia="方正书宋简体" w:cs="方正书宋简体"/>
          <w:spacing w:val="-12"/>
          <w:w w:val="99"/>
          <w:sz w:val="24"/>
          <w:szCs w:val="24"/>
        </w:rPr>
        <w:t>41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w w:val="99"/>
          <w:sz w:val="24"/>
          <w:szCs w:val="24"/>
        </w:rPr>
        <w:t>号，</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2"/>
          <w:w w:val="99"/>
          <w:sz w:val="24"/>
          <w:szCs w:val="24"/>
        </w:rPr>
        <w:t>自</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w w:val="99"/>
          <w:sz w:val="24"/>
          <w:szCs w:val="24"/>
        </w:rPr>
        <w:t>2017</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w w:val="99"/>
          <w:sz w:val="24"/>
          <w:szCs w:val="24"/>
        </w:rPr>
        <w:t>年</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w w:val="99"/>
          <w:sz w:val="24"/>
          <w:szCs w:val="24"/>
        </w:rPr>
        <w:t>9</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2"/>
          <w:w w:val="99"/>
          <w:sz w:val="24"/>
          <w:szCs w:val="24"/>
        </w:rPr>
        <w:t>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2"/>
          <w:w w:val="99"/>
          <w:sz w:val="24"/>
          <w:szCs w:val="24"/>
        </w:rPr>
        <w:t>1</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2"/>
          <w:w w:val="99"/>
          <w:sz w:val="24"/>
          <w:szCs w:val="24"/>
        </w:rPr>
        <w:t>日起施行）</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2"/>
          <w:w w:val="99"/>
          <w:sz w:val="24"/>
          <w:szCs w:val="24"/>
        </w:rPr>
        <w:t>以及国家其他有关法律、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法规，结合我校实际情况，特制定本规定。</w:t>
      </w:r>
    </w:p>
    <w:p>
      <w:pPr>
        <w:spacing w:before="204"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本规定适用于我校普通全日制本科学生的学籍管理。</w:t>
      </w:r>
    </w:p>
    <w:p>
      <w:pPr>
        <w:spacing w:before="138" w:line="180" w:lineRule="auto"/>
        <w:ind w:firstLine="329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3"/>
          <w:sz w:val="24"/>
          <w:szCs w:val="24"/>
        </w:rPr>
        <w:t>入学与注册</w:t>
      </w:r>
    </w:p>
    <w:p>
      <w:pPr>
        <w:spacing w:before="138"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按照国家规定录取的新生，须持录取通知书和相关证件，按照学校有</w:t>
      </w:r>
    </w:p>
    <w:p>
      <w:pPr>
        <w:spacing w:before="151" w:line="313" w:lineRule="auto"/>
        <w:ind w:left="2" w:right="9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关要求和规定的期限来校报到，并办理入学手续。因故不能按期入学者，必须事先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书面向学校招生就业处请假，并附有原单位或所在街道、乡镇证明材料，请假时间</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不得超过两周。未经请假、请假未批准或请假逾期者，除因不可抗力等正当事由以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外，视为放弃入学资格。</w:t>
      </w:r>
    </w:p>
    <w:p>
      <w:pPr>
        <w:spacing w:before="11" w:line="265" w:lineRule="auto"/>
        <w:ind w:left="4" w:right="96"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新生因入伍或者疾病不能参加正常学习者可以申请保留入学资格，保留入学资</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
          <w:sz w:val="24"/>
          <w:szCs w:val="24"/>
        </w:rPr>
        <w:t>格期间不具有学籍，因入伍保留入学资格至退役后</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
          <w:sz w:val="24"/>
          <w:szCs w:val="24"/>
        </w:rPr>
        <w:t>年。因疾病申请保留入学资格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的按照第五条相关规定办理。</w:t>
      </w:r>
    </w:p>
    <w:p>
      <w:pPr>
        <w:spacing w:before="203" w:line="298" w:lineRule="auto"/>
        <w:ind w:right="17"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学校在报到时对新生入学资格进行初步审查，审查合格的办理入学手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续，予以注册学籍；审查发现新生的录取通知、考生信息等证明材料，与本人实际</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11"/>
          <w:sz w:val="24"/>
          <w:szCs w:val="24"/>
        </w:rPr>
        <w:t>情况不符，</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1"/>
          <w:sz w:val="24"/>
          <w:szCs w:val="24"/>
        </w:rPr>
        <w:t>或者有其他违反国家招生考试规定情形的，</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取消入学资格。新生入学后，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学校在</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个月内按照国家相关规定进行复查。</w:t>
      </w:r>
    </w:p>
    <w:p>
      <w:pPr>
        <w:spacing w:before="26" w:line="185" w:lineRule="auto"/>
        <w:ind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1、资格初审：</w:t>
      </w:r>
    </w:p>
    <w:p>
      <w:pPr>
        <w:spacing w:before="186" w:line="315" w:lineRule="auto"/>
        <w:ind w:left="2" w:right="98" w:firstLine="51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由学校招生就业处负责对经过国家和湖南省招生考试院投档、学校正式录取的</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新生按照国家招生考试相关规定进行资格审核。新生报到时持本人身份证通过读卡</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3"/>
          <w:sz w:val="24"/>
          <w:szCs w:val="24"/>
        </w:rPr>
        <w:t>机进行初始身份的验证。</w:t>
      </w:r>
    </w:p>
    <w:p>
      <w:pPr>
        <w:spacing w:before="1" w:line="202"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2、资格复查：</w:t>
      </w:r>
    </w:p>
    <w:p>
      <w:pPr>
        <w:spacing w:before="156" w:line="193"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（1）录取手续及程序等是否合乎国家招生规定；</w:t>
      </w:r>
    </w:p>
    <w:p>
      <w:pPr>
        <w:spacing w:before="175" w:line="193"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（2）所获取的录取资格是否真实、合乎相关规定；</w:t>
      </w:r>
    </w:p>
    <w:p>
      <w:pPr>
        <w:spacing w:before="178"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（3）各学院应对新生本人及身份证与录取通知、考生档案是否一致进行复查。</w:t>
      </w:r>
    </w:p>
    <w:p>
      <w:pPr>
        <w:spacing w:before="193"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（4）学校指定医院和学校大学生心理健康指导中心负责对学生的身心健康状况</w:t>
      </w:r>
    </w:p>
    <w:p>
      <w:pPr>
        <w:spacing w:line="307" w:lineRule="auto"/>
        <w:rPr>
          <w:rFonts w:ascii="Malgun Gothic"/>
          <w:sz w:val="21"/>
        </w:rPr>
      </w:pPr>
    </w:p>
    <w:p>
      <w:pPr>
        <w:spacing w:before="52" w:line="180" w:lineRule="auto"/>
        <w:ind w:firstLine="4254"/>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110</w:t>
      </w:r>
    </w:p>
    <w:p>
      <w:pPr>
        <w:sectPr>
          <w:footerReference r:id="rId114" w:type="default"/>
          <w:pgSz w:w="11905" w:h="16840"/>
          <w:pgMar w:top="1431" w:right="1490" w:bottom="400" w:left="1587" w:header="0" w:footer="0" w:gutter="0"/>
          <w:cols w:space="720" w:num="1"/>
        </w:sectPr>
      </w:pPr>
    </w:p>
    <w:p>
      <w:pPr>
        <w:spacing w:before="425"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进行复查，必须符合报考专业或者专业类别体检要求，保证在校正常学习、生活。</w:t>
      </w:r>
    </w:p>
    <w:p>
      <w:pPr>
        <w:spacing w:before="193"/>
        <w:ind w:left="4" w:right="7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（5）相关学院负责对艺术、体育等特殊类型录取学生的专业水平进行复查，必</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须符合专业录取要求。</w:t>
      </w:r>
    </w:p>
    <w:p>
      <w:pPr>
        <w:spacing w:before="215" w:line="253" w:lineRule="auto"/>
        <w:ind w:left="2" w:right="81"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复查中发现学生存在弄虚作假、徇私舞弊等情形的，确定为复查不合格，取消</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其学籍；情节严重的，学校移交有关部门调查处理。</w:t>
      </w:r>
    </w:p>
    <w:p>
      <w:pPr>
        <w:spacing w:before="166" w:line="303" w:lineRule="auto"/>
        <w:ind w:left="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第五条    </w:t>
      </w:r>
      <w:r>
        <w:rPr>
          <w:rFonts w:ascii="方正书宋简体" w:hAnsi="方正书宋简体" w:eastAsia="方正书宋简体" w:cs="方正书宋简体"/>
          <w:spacing w:val="2"/>
          <w:sz w:val="24"/>
          <w:szCs w:val="24"/>
        </w:rPr>
        <w:t>新生入学后经体检复查有疾病者，经学校医院或学校指定的医院诊断</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0"/>
          <w:sz w:val="24"/>
          <w:szCs w:val="24"/>
        </w:rPr>
        <w:t>证明，</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0"/>
          <w:sz w:val="24"/>
          <w:szCs w:val="24"/>
        </w:rPr>
        <w:t>确属不适宜在学校学习者，</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20"/>
          <w:sz w:val="24"/>
          <w:szCs w:val="24"/>
        </w:rPr>
        <w:t>经本人申请，</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0"/>
          <w:sz w:val="24"/>
          <w:szCs w:val="24"/>
        </w:rPr>
        <w:t>所在学院同意，</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0"/>
          <w:sz w:val="24"/>
          <w:szCs w:val="24"/>
        </w:rPr>
        <w:t>报教务处审核批准，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可保留入学资格一年。保留入学资格的学生，</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应在接到通知后一周内到相关部门办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理离校手续，回家或回原单位治疗。保留入学资格者不具有学籍，在保留入学资格</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期间不享受在校学生待遇。</w:t>
      </w:r>
    </w:p>
    <w:p>
      <w:pPr>
        <w:spacing w:before="5" w:line="278" w:lineRule="auto"/>
        <w:ind w:left="1" w:right="77"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因病保留入学资格的学生在保留入学资格期内经治疗康复，可在下一学年开学</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前，向教务处提出入学申请，经学校医院或学校指定的医院诊断符合体检要求，复</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查合格可重新办理入学手续，并转入下一年级学习。复查仍不合格或逾期两周不办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理入学手续者，取消其入学资格。</w:t>
      </w:r>
    </w:p>
    <w:p>
      <w:pPr>
        <w:spacing w:before="204" w:line="302" w:lineRule="auto"/>
        <w:ind w:right="69"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学生每学期须在规定时间内到所在学院报到，学生所在学院负责将学生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报到情况分别报教务处和学生工作部备案。每学年第一学期报到后，</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3"/>
          <w:sz w:val="24"/>
          <w:szCs w:val="24"/>
        </w:rPr>
        <w:t>学生须在开学两周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内足额缴纳学杂费，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4"/>
          <w:sz w:val="24"/>
          <w:szCs w:val="24"/>
        </w:rPr>
        <w:t>再行办理注册手续。每学年第二学期报到后直接办理注册手续。因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1"/>
          <w:sz w:val="24"/>
          <w:szCs w:val="24"/>
        </w:rPr>
        <w:t>故不能如期报到者，</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1"/>
          <w:sz w:val="24"/>
          <w:szCs w:val="24"/>
        </w:rPr>
        <w:t>应事先由学生本人向所在学院请假，</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1"/>
          <w:sz w:val="24"/>
          <w:szCs w:val="24"/>
        </w:rPr>
        <w:t>请假时间不得超过两周；</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1"/>
          <w:sz w:val="24"/>
          <w:szCs w:val="24"/>
        </w:rPr>
        <w:t>未经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请假、请假未批准超过两周不报到者或逾期超过两周不报到者，按自动退学处理。</w:t>
      </w:r>
    </w:p>
    <w:p>
      <w:pPr>
        <w:spacing w:before="1" w:line="282" w:lineRule="auto"/>
        <w:ind w:left="4"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按学校规定缴纳学费及有关费用是学生应履行的义务。凡未足额缴纳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学杂费、不按时报到或者其他不符合注册条件者不予注册。未注册者不得参加该学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年的教学过程和考核，已学习过程无效，考核成绩不予承认。家庭经济困难的学生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可以申请助学贷款或者其他形式资助，办理有关手续后再行注册。凡因各种原因，</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4"/>
          <w:sz w:val="24"/>
          <w:szCs w:val="24"/>
        </w:rPr>
        <w:t>不能如期办理注册者，均办理暂缓注册手续，</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4"/>
          <w:sz w:val="24"/>
          <w:szCs w:val="24"/>
        </w:rPr>
        <w:t>由学生本人提出书面申请，经所在学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院同意后，报教务处审批，暂缓注册不得超过三个月。</w:t>
      </w:r>
    </w:p>
    <w:p>
      <w:pPr>
        <w:spacing w:before="204" w:line="180" w:lineRule="auto"/>
        <w:ind w:firstLine="281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修业年限和课程修读</w:t>
      </w:r>
    </w:p>
    <w:p>
      <w:pPr>
        <w:spacing w:before="138" w:line="298" w:lineRule="auto"/>
        <w:ind w:left="4" w:right="7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学生应在学校规定的修业年限内，根据专业人才培养方案要求，修满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规定的学分。标准学制为</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
          <w:sz w:val="24"/>
          <w:szCs w:val="24"/>
        </w:rPr>
        <w:t>年的本科生，允许其在</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
          <w:sz w:val="24"/>
          <w:szCs w:val="24"/>
        </w:rPr>
        <w:t>3—6</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
          <w:sz w:val="24"/>
          <w:szCs w:val="24"/>
        </w:rPr>
        <w:t>年（含休学、保留学籍时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w w:val="99"/>
          <w:sz w:val="24"/>
          <w:szCs w:val="24"/>
        </w:rPr>
        <w:t>间，</w:t>
      </w:r>
      <w:r>
        <w:rPr>
          <w:rFonts w:ascii="方正书宋简体" w:hAnsi="方正书宋简体" w:eastAsia="方正书宋简体" w:cs="方正书宋简体"/>
          <w:spacing w:val="104"/>
          <w:sz w:val="24"/>
          <w:szCs w:val="24"/>
        </w:rPr>
        <w:t xml:space="preserve"> </w:t>
      </w:r>
      <w:r>
        <w:rPr>
          <w:rFonts w:ascii="方正书宋简体" w:hAnsi="方正书宋简体" w:eastAsia="方正书宋简体" w:cs="方正书宋简体"/>
          <w:spacing w:val="-12"/>
          <w:w w:val="99"/>
          <w:sz w:val="24"/>
          <w:szCs w:val="24"/>
        </w:rPr>
        <w:t>应征入伍和创新创业时间除外）</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2"/>
          <w:w w:val="99"/>
          <w:sz w:val="24"/>
          <w:szCs w:val="24"/>
        </w:rPr>
        <w:t>内修满规定的总学分；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w w:val="99"/>
          <w:sz w:val="24"/>
          <w:szCs w:val="24"/>
        </w:rPr>
        <w:t>标准学制为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w w:val="99"/>
          <w:sz w:val="24"/>
          <w:szCs w:val="24"/>
        </w:rPr>
        <w:t>5</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2"/>
          <w:w w:val="99"/>
          <w:sz w:val="24"/>
          <w:szCs w:val="24"/>
        </w:rPr>
        <w:t>年的本科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生，</w:t>
      </w:r>
      <w:r>
        <w:rPr>
          <w:rFonts w:ascii="方正书宋简体" w:hAnsi="方正书宋简体" w:eastAsia="方正书宋简体" w:cs="方正书宋简体"/>
          <w:spacing w:val="84"/>
          <w:w w:val="101"/>
          <w:sz w:val="24"/>
          <w:szCs w:val="24"/>
        </w:rPr>
        <w:t xml:space="preserve"> </w:t>
      </w:r>
      <w:r>
        <w:rPr>
          <w:rFonts w:ascii="方正书宋简体" w:hAnsi="方正书宋简体" w:eastAsia="方正书宋简体" w:cs="方正书宋简体"/>
          <w:spacing w:val="-16"/>
          <w:sz w:val="24"/>
          <w:szCs w:val="24"/>
        </w:rPr>
        <w:t>允许其在</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6"/>
          <w:sz w:val="24"/>
          <w:szCs w:val="24"/>
        </w:rPr>
        <w:t>4—7</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6"/>
          <w:sz w:val="24"/>
          <w:szCs w:val="24"/>
        </w:rPr>
        <w:t>年（含休学、保留学籍时间，</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6"/>
          <w:sz w:val="24"/>
          <w:szCs w:val="24"/>
        </w:rPr>
        <w:t>应征人伍和创新创业时间除外）</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6"/>
          <w:sz w:val="24"/>
          <w:szCs w:val="24"/>
        </w:rPr>
        <w:t>内</w:t>
      </w:r>
    </w:p>
    <w:p>
      <w:pPr>
        <w:spacing w:before="345" w:line="180" w:lineRule="auto"/>
        <w:ind w:firstLine="4257"/>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111</w:t>
      </w:r>
    </w:p>
    <w:p>
      <w:pPr>
        <w:sectPr>
          <w:footerReference r:id="rId115" w:type="default"/>
          <w:pgSz w:w="11905" w:h="16840"/>
          <w:pgMar w:top="1431" w:right="1507" w:bottom="400" w:left="1588" w:header="0" w:footer="0" w:gutter="0"/>
          <w:cols w:space="720" w:num="1"/>
        </w:sectPr>
      </w:pPr>
    </w:p>
    <w:p>
      <w:pPr>
        <w:spacing w:before="429" w:line="180" w:lineRule="auto"/>
        <w:ind w:firstLine="13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修满规定的总学分。</w:t>
      </w:r>
    </w:p>
    <w:p>
      <w:pPr>
        <w:spacing w:before="180" w:line="294"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第九条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4"/>
          <w:sz w:val="24"/>
          <w:szCs w:val="24"/>
        </w:rPr>
        <w:t>学生修读人才培养方案规定的课程应按照</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4"/>
          <w:sz w:val="24"/>
          <w:szCs w:val="24"/>
        </w:rPr>
        <w:t>《吉首大学课程修读管理办</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8"/>
          <w:sz w:val="24"/>
          <w:szCs w:val="24"/>
        </w:rPr>
        <w:t>法》和吉首大学实践教学有关管理办法执行。每学期修读课程原则上应大于</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8"/>
          <w:sz w:val="24"/>
          <w:szCs w:val="24"/>
        </w:rPr>
        <w:t>14</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8"/>
          <w:sz w:val="24"/>
          <w:szCs w:val="24"/>
        </w:rPr>
        <w:t>学分，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但不超过</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5"/>
          <w:sz w:val="24"/>
          <w:szCs w:val="24"/>
        </w:rPr>
        <w:t>30</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5"/>
          <w:sz w:val="24"/>
          <w:szCs w:val="24"/>
        </w:rPr>
        <w:t>学分。</w:t>
      </w:r>
    </w:p>
    <w:p>
      <w:pPr>
        <w:spacing w:before="1" w:line="250" w:lineRule="auto"/>
        <w:ind w:left="13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8"/>
          <w:sz w:val="24"/>
          <w:szCs w:val="24"/>
        </w:rPr>
        <w:t>学生在课程修读中，</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必须参加规定的课程教学活动。如不能按时参加，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应当事先请假并获得批准。凡需免修、免听、</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重修的学生应按规定办理相关申请审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批手续。未经批准而不参加教学活动者，根据学校有关规定处理。</w:t>
      </w:r>
    </w:p>
    <w:p>
      <w:pPr>
        <w:spacing w:before="205" w:line="258" w:lineRule="auto"/>
        <w:ind w:left="131" w:right="76"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第十一条</w:t>
      </w:r>
      <w:r>
        <w:rPr>
          <w:rFonts w:ascii="Microsoft JhengHei" w:hAnsi="Microsoft JhengHei" w:eastAsia="Microsoft JhengHei" w:cs="Microsoft JhengHei"/>
          <w:spacing w:val="14"/>
          <w:w w:val="101"/>
          <w:sz w:val="24"/>
          <w:szCs w:val="24"/>
        </w:rPr>
        <w:t xml:space="preserve">    </w:t>
      </w:r>
      <w:r>
        <w:rPr>
          <w:rFonts w:ascii="方正书宋简体" w:hAnsi="方正书宋简体" w:eastAsia="方正书宋简体" w:cs="方正书宋简体"/>
          <w:spacing w:val="8"/>
          <w:sz w:val="24"/>
          <w:szCs w:val="24"/>
        </w:rPr>
        <w:t>学生在修读完本专业人才培养方案规定的公共基础课和学科基础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课、专业主干课（一般为两年）</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3"/>
          <w:sz w:val="24"/>
          <w:szCs w:val="24"/>
        </w:rPr>
        <w:t>以后，</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3"/>
          <w:sz w:val="24"/>
          <w:szCs w:val="24"/>
        </w:rPr>
        <w:t>按照学校有关规定，</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方可申请选修另一专业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的课程，或辅修另一专业（另见《吉首大学辅修专业与双学士学位管理办法》）</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7"/>
          <w:sz w:val="24"/>
          <w:szCs w:val="24"/>
        </w:rPr>
        <w:t>。</w:t>
      </w:r>
    </w:p>
    <w:p>
      <w:pPr>
        <w:spacing w:before="166" w:line="180" w:lineRule="auto"/>
        <w:ind w:firstLine="294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课程考核与成绩记载</w:t>
      </w:r>
    </w:p>
    <w:p>
      <w:pPr>
        <w:spacing w:before="140" w:line="258" w:lineRule="auto"/>
        <w:ind w:left="131" w:right="64"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6"/>
          <w:sz w:val="24"/>
          <w:szCs w:val="24"/>
        </w:rPr>
        <w:t>第十二条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16"/>
          <w:sz w:val="24"/>
          <w:szCs w:val="24"/>
        </w:rPr>
        <w:t>课程考核是教学过程中的重要环节，</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6"/>
          <w:sz w:val="24"/>
          <w:szCs w:val="24"/>
        </w:rPr>
        <w:t>学生必须参加学校本科人才培养方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9"/>
          <w:sz w:val="24"/>
          <w:szCs w:val="24"/>
        </w:rPr>
        <w:t>案规定的课程和各教育教学环节（以下统称课程）</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9"/>
          <w:sz w:val="24"/>
          <w:szCs w:val="24"/>
        </w:rPr>
        <w:t>的考核，</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9"/>
          <w:sz w:val="24"/>
          <w:szCs w:val="24"/>
        </w:rPr>
        <w:t>合格即取得规定的学分和该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课程的相应成绩绩点。考核成绩、学分、绩点均载入成绩册，并归入本人学籍档案。</w:t>
      </w:r>
    </w:p>
    <w:p>
      <w:pPr>
        <w:spacing w:before="174" w:line="312" w:lineRule="auto"/>
        <w:ind w:left="135" w:right="7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学生根据学校有关规定，可以申请辅修校内其他专业或者选修其他专业课程；</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2"/>
          <w:sz w:val="24"/>
          <w:szCs w:val="24"/>
        </w:rPr>
        <w:t>可以申请跨校辅修专业或者修读课程，参加学校认可的开放式网络课程学习。学生</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修读的课程成绩（学分</w:t>
      </w:r>
      <w:r>
        <w:rPr>
          <w:rFonts w:ascii="方正书宋简体" w:hAnsi="方正书宋简体" w:eastAsia="方正书宋简体" w:cs="方正书宋简体"/>
          <w:spacing w:val="-7"/>
          <w:sz w:val="24"/>
          <w:szCs w:val="24"/>
        </w:rPr>
        <w:t>），</w:t>
      </w:r>
      <w:r>
        <w:rPr>
          <w:rFonts w:ascii="方正书宋简体" w:hAnsi="方正书宋简体" w:eastAsia="方正书宋简体" w:cs="方正书宋简体"/>
          <w:spacing w:val="-6"/>
          <w:sz w:val="24"/>
          <w:szCs w:val="24"/>
        </w:rPr>
        <w:t>学校审核同意后，予以承认。</w:t>
      </w:r>
    </w:p>
    <w:p>
      <w:pPr>
        <w:spacing w:before="15" w:line="254" w:lineRule="auto"/>
        <w:ind w:left="136" w:right="102"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以修读并获得课程的学分数和平均学分绩点来衡量学生学习的量和质。成绩、</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4"/>
          <w:sz w:val="24"/>
          <w:szCs w:val="24"/>
        </w:rPr>
        <w:t>学分、绩点之间的转换关系是：</w:t>
      </w:r>
    </w:p>
    <w:p>
      <w:pPr>
        <w:spacing w:line="21" w:lineRule="exact"/>
      </w:pPr>
    </w:p>
    <w:tbl>
      <w:tblPr>
        <w:tblStyle w:val="4"/>
        <w:tblW w:w="8734"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1"/>
        <w:gridCol w:w="1742"/>
        <w:gridCol w:w="1743"/>
        <w:gridCol w:w="1744"/>
        <w:gridCol w:w="1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1751" w:type="dxa"/>
            <w:tcBorders>
              <w:top w:val="single" w:color="000000" w:sz="6" w:space="0"/>
              <w:left w:val="single" w:color="000000" w:sz="6" w:space="0"/>
            </w:tcBorders>
            <w:vAlign w:val="top"/>
          </w:tcPr>
          <w:p>
            <w:pPr>
              <w:spacing w:before="70" w:line="180" w:lineRule="auto"/>
              <w:ind w:firstLine="6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序号</w:t>
            </w:r>
          </w:p>
        </w:tc>
        <w:tc>
          <w:tcPr>
            <w:tcW w:w="1742" w:type="dxa"/>
            <w:tcBorders>
              <w:top w:val="single" w:color="000000" w:sz="6" w:space="0"/>
            </w:tcBorders>
            <w:vAlign w:val="top"/>
          </w:tcPr>
          <w:p>
            <w:pPr>
              <w:spacing w:before="65" w:line="193" w:lineRule="auto"/>
              <w:ind w:firstLine="32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学分（W</w:t>
            </w:r>
            <w:r>
              <w:rPr>
                <w:rFonts w:ascii="方正书宋简体" w:hAnsi="方正书宋简体" w:eastAsia="方正书宋简体" w:cs="方正书宋简体"/>
                <w:spacing w:val="3"/>
                <w:sz w:val="11"/>
                <w:szCs w:val="11"/>
              </w:rPr>
              <w:t>i</w:t>
            </w:r>
            <w:r>
              <w:rPr>
                <w:rFonts w:ascii="方正书宋简体" w:hAnsi="方正书宋简体" w:eastAsia="方正书宋简体" w:cs="方正书宋简体"/>
                <w:spacing w:val="-16"/>
                <w:sz w:val="11"/>
                <w:szCs w:val="11"/>
              </w:rPr>
              <w:t xml:space="preserve"> </w:t>
            </w:r>
            <w:r>
              <w:rPr>
                <w:rFonts w:ascii="方正书宋简体" w:hAnsi="方正书宋简体" w:eastAsia="方正书宋简体" w:cs="方正书宋简体"/>
                <w:spacing w:val="3"/>
                <w:sz w:val="21"/>
                <w:szCs w:val="21"/>
              </w:rPr>
              <w:t>）</w:t>
            </w:r>
          </w:p>
        </w:tc>
        <w:tc>
          <w:tcPr>
            <w:tcW w:w="1743" w:type="dxa"/>
            <w:tcBorders>
              <w:top w:val="single" w:color="000000" w:sz="6" w:space="0"/>
            </w:tcBorders>
            <w:vAlign w:val="top"/>
          </w:tcPr>
          <w:p>
            <w:pPr>
              <w:spacing w:before="70" w:line="180" w:lineRule="auto"/>
              <w:ind w:firstLine="34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百分制成绩</w:t>
            </w:r>
          </w:p>
        </w:tc>
        <w:tc>
          <w:tcPr>
            <w:tcW w:w="1744" w:type="dxa"/>
            <w:tcBorders>
              <w:top w:val="single" w:color="000000" w:sz="6" w:space="0"/>
            </w:tcBorders>
            <w:vAlign w:val="top"/>
          </w:tcPr>
          <w:p>
            <w:pPr>
              <w:spacing w:before="70" w:line="180" w:lineRule="auto"/>
              <w:ind w:firstLine="3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五级计分制</w:t>
            </w:r>
          </w:p>
        </w:tc>
        <w:tc>
          <w:tcPr>
            <w:tcW w:w="1754" w:type="dxa"/>
            <w:tcBorders>
              <w:top w:val="single" w:color="000000" w:sz="6" w:space="0"/>
              <w:right w:val="single" w:color="000000" w:sz="6" w:space="0"/>
            </w:tcBorders>
            <w:vAlign w:val="top"/>
          </w:tcPr>
          <w:p>
            <w:pPr>
              <w:spacing w:before="65" w:line="193" w:lineRule="auto"/>
              <w:ind w:firstLine="35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绩点（H</w:t>
            </w:r>
            <w:r>
              <w:rPr>
                <w:rFonts w:ascii="方正书宋简体" w:hAnsi="方正书宋简体" w:eastAsia="方正书宋简体" w:cs="方正书宋简体"/>
                <w:spacing w:val="4"/>
                <w:sz w:val="11"/>
                <w:szCs w:val="11"/>
              </w:rPr>
              <w:t>i</w:t>
            </w:r>
            <w:r>
              <w:rPr>
                <w:rFonts w:ascii="方正书宋简体" w:hAnsi="方正书宋简体" w:eastAsia="方正书宋简体" w:cs="方正书宋简体"/>
                <w:spacing w:val="-20"/>
                <w:sz w:val="11"/>
                <w:szCs w:val="11"/>
              </w:rPr>
              <w:t xml:space="preserve"> </w:t>
            </w:r>
            <w:r>
              <w:rPr>
                <w:rFonts w:ascii="方正书宋简体" w:hAnsi="方正书宋简体" w:eastAsia="方正书宋简体" w:cs="方正书宋简体"/>
                <w:spacing w:val="4"/>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751" w:type="dxa"/>
            <w:tcBorders>
              <w:left w:val="single" w:color="000000" w:sz="6" w:space="0"/>
            </w:tcBorders>
            <w:vAlign w:val="top"/>
          </w:tcPr>
          <w:p>
            <w:pPr>
              <w:spacing w:before="96" w:line="180" w:lineRule="auto"/>
              <w:ind w:firstLine="83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1742" w:type="dxa"/>
            <w:vMerge w:val="restart"/>
            <w:tcBorders>
              <w:bottom w:val="nil"/>
            </w:tcBorders>
            <w:vAlign w:val="top"/>
          </w:tcPr>
          <w:p>
            <w:pPr>
              <w:spacing w:line="362" w:lineRule="auto"/>
              <w:rPr>
                <w:rFonts w:ascii="Malgun Gothic"/>
                <w:sz w:val="21"/>
              </w:rPr>
            </w:pPr>
          </w:p>
          <w:p>
            <w:pPr>
              <w:spacing w:before="75" w:line="180" w:lineRule="auto"/>
              <w:ind w:firstLine="44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获得学分</w:t>
            </w:r>
          </w:p>
        </w:tc>
        <w:tc>
          <w:tcPr>
            <w:tcW w:w="1743" w:type="dxa"/>
            <w:vAlign w:val="top"/>
          </w:tcPr>
          <w:p>
            <w:pPr>
              <w:spacing w:before="96" w:line="180" w:lineRule="auto"/>
              <w:ind w:firstLine="5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90~100</w:t>
            </w:r>
          </w:p>
        </w:tc>
        <w:tc>
          <w:tcPr>
            <w:tcW w:w="1744" w:type="dxa"/>
            <w:vAlign w:val="top"/>
          </w:tcPr>
          <w:p>
            <w:pPr>
              <w:spacing w:before="65" w:line="180" w:lineRule="auto"/>
              <w:ind w:firstLine="66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优秀</w:t>
            </w:r>
          </w:p>
        </w:tc>
        <w:tc>
          <w:tcPr>
            <w:tcW w:w="1754" w:type="dxa"/>
            <w:tcBorders>
              <w:right w:val="single" w:color="000000" w:sz="6" w:space="0"/>
            </w:tcBorders>
            <w:vAlign w:val="top"/>
          </w:tcPr>
          <w:p>
            <w:pPr>
              <w:spacing w:before="93" w:line="180" w:lineRule="auto"/>
              <w:ind w:firstLine="5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4.0~5.0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751" w:type="dxa"/>
            <w:tcBorders>
              <w:left w:val="single" w:color="000000" w:sz="6" w:space="0"/>
            </w:tcBorders>
            <w:vAlign w:val="top"/>
          </w:tcPr>
          <w:p>
            <w:pPr>
              <w:spacing w:before="99" w:line="180" w:lineRule="auto"/>
              <w:ind w:firstLine="8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1742" w:type="dxa"/>
            <w:vMerge w:val="continue"/>
            <w:tcBorders>
              <w:top w:val="nil"/>
              <w:bottom w:val="nil"/>
            </w:tcBorders>
            <w:vAlign w:val="top"/>
          </w:tcPr>
          <w:p>
            <w:pPr>
              <w:rPr>
                <w:rFonts w:ascii="Malgun Gothic"/>
                <w:sz w:val="21"/>
              </w:rPr>
            </w:pPr>
          </w:p>
        </w:tc>
        <w:tc>
          <w:tcPr>
            <w:tcW w:w="1743" w:type="dxa"/>
            <w:vAlign w:val="top"/>
          </w:tcPr>
          <w:p>
            <w:pPr>
              <w:spacing w:before="99" w:line="180" w:lineRule="auto"/>
              <w:ind w:firstLine="6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80~89</w:t>
            </w:r>
          </w:p>
        </w:tc>
        <w:tc>
          <w:tcPr>
            <w:tcW w:w="1744" w:type="dxa"/>
            <w:vAlign w:val="top"/>
          </w:tcPr>
          <w:p>
            <w:pPr>
              <w:spacing w:before="67" w:line="180" w:lineRule="auto"/>
              <w:ind w:firstLine="692"/>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良好</w:t>
            </w:r>
          </w:p>
        </w:tc>
        <w:tc>
          <w:tcPr>
            <w:tcW w:w="1754" w:type="dxa"/>
            <w:tcBorders>
              <w:right w:val="single" w:color="000000" w:sz="6" w:space="0"/>
            </w:tcBorders>
            <w:vAlign w:val="top"/>
          </w:tcPr>
          <w:p>
            <w:pPr>
              <w:spacing w:before="99" w:line="180" w:lineRule="auto"/>
              <w:ind w:firstLine="56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1751" w:type="dxa"/>
            <w:tcBorders>
              <w:left w:val="single" w:color="000000" w:sz="6" w:space="0"/>
            </w:tcBorders>
            <w:vAlign w:val="top"/>
          </w:tcPr>
          <w:p>
            <w:pPr>
              <w:spacing w:before="101" w:line="180" w:lineRule="auto"/>
              <w:ind w:firstLine="8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1742" w:type="dxa"/>
            <w:vMerge w:val="continue"/>
            <w:tcBorders>
              <w:top w:val="nil"/>
              <w:bottom w:val="nil"/>
            </w:tcBorders>
            <w:vAlign w:val="top"/>
          </w:tcPr>
          <w:p>
            <w:pPr>
              <w:rPr>
                <w:rFonts w:ascii="Malgun Gothic"/>
                <w:sz w:val="21"/>
              </w:rPr>
            </w:pPr>
          </w:p>
        </w:tc>
        <w:tc>
          <w:tcPr>
            <w:tcW w:w="1743" w:type="dxa"/>
            <w:vAlign w:val="top"/>
          </w:tcPr>
          <w:p>
            <w:pPr>
              <w:spacing w:before="102" w:line="180" w:lineRule="auto"/>
              <w:ind w:firstLine="6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70~79</w:t>
            </w:r>
          </w:p>
        </w:tc>
        <w:tc>
          <w:tcPr>
            <w:tcW w:w="1744" w:type="dxa"/>
            <w:vAlign w:val="top"/>
          </w:tcPr>
          <w:p>
            <w:pPr>
              <w:spacing w:before="68" w:line="180" w:lineRule="auto"/>
              <w:ind w:firstLine="68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中等</w:t>
            </w:r>
          </w:p>
        </w:tc>
        <w:tc>
          <w:tcPr>
            <w:tcW w:w="1754" w:type="dxa"/>
            <w:tcBorders>
              <w:right w:val="single" w:color="000000" w:sz="6" w:space="0"/>
            </w:tcBorders>
            <w:vAlign w:val="top"/>
          </w:tcPr>
          <w:p>
            <w:pPr>
              <w:spacing w:before="102" w:line="180" w:lineRule="auto"/>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2.0~2.9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751" w:type="dxa"/>
            <w:tcBorders>
              <w:left w:val="single" w:color="000000" w:sz="6" w:space="0"/>
            </w:tcBorders>
            <w:vAlign w:val="top"/>
          </w:tcPr>
          <w:p>
            <w:pPr>
              <w:spacing w:before="105" w:line="180" w:lineRule="auto"/>
              <w:ind w:firstLine="81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1742" w:type="dxa"/>
            <w:vMerge w:val="continue"/>
            <w:tcBorders>
              <w:top w:val="nil"/>
            </w:tcBorders>
            <w:vAlign w:val="top"/>
          </w:tcPr>
          <w:p>
            <w:pPr>
              <w:rPr>
                <w:rFonts w:ascii="Malgun Gothic"/>
                <w:sz w:val="21"/>
              </w:rPr>
            </w:pPr>
          </w:p>
        </w:tc>
        <w:tc>
          <w:tcPr>
            <w:tcW w:w="1743" w:type="dxa"/>
            <w:vAlign w:val="top"/>
          </w:tcPr>
          <w:p>
            <w:pPr>
              <w:spacing w:before="103" w:line="180" w:lineRule="auto"/>
              <w:ind w:firstLine="6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60~69</w:t>
            </w:r>
          </w:p>
        </w:tc>
        <w:tc>
          <w:tcPr>
            <w:tcW w:w="1744" w:type="dxa"/>
            <w:vAlign w:val="top"/>
          </w:tcPr>
          <w:p>
            <w:pPr>
              <w:spacing w:before="77" w:line="180" w:lineRule="auto"/>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及格</w:t>
            </w:r>
          </w:p>
        </w:tc>
        <w:tc>
          <w:tcPr>
            <w:tcW w:w="1754" w:type="dxa"/>
            <w:tcBorders>
              <w:right w:val="single" w:color="000000" w:sz="6" w:space="0"/>
            </w:tcBorders>
            <w:vAlign w:val="top"/>
          </w:tcPr>
          <w:p>
            <w:pPr>
              <w:spacing w:before="105" w:line="180" w:lineRule="auto"/>
              <w:ind w:firstLine="57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trPr>
        <w:tc>
          <w:tcPr>
            <w:tcW w:w="1751" w:type="dxa"/>
            <w:tcBorders>
              <w:left w:val="single" w:color="000000" w:sz="6" w:space="0"/>
              <w:bottom w:val="single" w:color="000000" w:sz="6" w:space="0"/>
            </w:tcBorders>
            <w:vAlign w:val="top"/>
          </w:tcPr>
          <w:p>
            <w:pPr>
              <w:spacing w:before="104" w:line="180" w:lineRule="auto"/>
              <w:ind w:firstLine="8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1742" w:type="dxa"/>
            <w:tcBorders>
              <w:bottom w:val="single" w:color="000000" w:sz="6" w:space="0"/>
            </w:tcBorders>
            <w:vAlign w:val="top"/>
          </w:tcPr>
          <w:p>
            <w:pPr>
              <w:spacing w:before="77"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未获得学分</w:t>
            </w:r>
          </w:p>
        </w:tc>
        <w:tc>
          <w:tcPr>
            <w:tcW w:w="1743" w:type="dxa"/>
            <w:tcBorders>
              <w:bottom w:val="single" w:color="000000" w:sz="6" w:space="0"/>
            </w:tcBorders>
            <w:vAlign w:val="top"/>
          </w:tcPr>
          <w:p>
            <w:pPr>
              <w:spacing w:before="77" w:line="180" w:lineRule="auto"/>
              <w:ind w:firstLine="4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60</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分以下</w:t>
            </w:r>
          </w:p>
        </w:tc>
        <w:tc>
          <w:tcPr>
            <w:tcW w:w="1744" w:type="dxa"/>
            <w:tcBorders>
              <w:bottom w:val="single" w:color="000000" w:sz="6" w:space="0"/>
            </w:tcBorders>
            <w:vAlign w:val="top"/>
          </w:tcPr>
          <w:p>
            <w:pPr>
              <w:spacing w:before="78" w:line="180" w:lineRule="auto"/>
              <w:ind w:firstLine="5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不及格</w:t>
            </w:r>
          </w:p>
        </w:tc>
        <w:tc>
          <w:tcPr>
            <w:tcW w:w="1754" w:type="dxa"/>
            <w:tcBorders>
              <w:bottom w:val="single" w:color="000000" w:sz="6" w:space="0"/>
              <w:right w:val="single" w:color="000000" w:sz="6" w:space="0"/>
            </w:tcBorders>
            <w:vAlign w:val="top"/>
          </w:tcPr>
          <w:p>
            <w:pPr>
              <w:spacing w:before="106" w:line="180" w:lineRule="auto"/>
              <w:ind w:firstLine="82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0</w:t>
            </w:r>
          </w:p>
        </w:tc>
      </w:tr>
    </w:tbl>
    <w:p>
      <w:pPr>
        <w:spacing w:before="154" w:line="193" w:lineRule="auto"/>
        <w:ind w:firstLine="62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总学分数和平均学分绩点数按下列方法计算：</w:t>
      </w:r>
    </w:p>
    <w:p>
      <w:pPr>
        <w:spacing w:before="175" w:line="193" w:lineRule="auto"/>
        <w:ind w:firstLine="62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w w:val="99"/>
          <w:sz w:val="24"/>
          <w:szCs w:val="24"/>
        </w:rPr>
        <w:t>总学分数=修读并获得的全部课程学分数之和（</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3"/>
          <w:w w:val="99"/>
          <w:sz w:val="24"/>
          <w:szCs w:val="24"/>
        </w:rPr>
        <w:t>∑W</w:t>
      </w:r>
      <w:r>
        <w:rPr>
          <w:rFonts w:ascii="方正书宋简体" w:hAnsi="方正书宋简体" w:eastAsia="方正书宋简体" w:cs="方正书宋简体"/>
          <w:spacing w:val="-3"/>
          <w:w w:val="99"/>
          <w:position w:val="-2"/>
          <w:sz w:val="12"/>
          <w:szCs w:val="12"/>
        </w:rPr>
        <w:t>i</w:t>
      </w:r>
      <w:r>
        <w:rPr>
          <w:rFonts w:ascii="方正书宋简体" w:hAnsi="方正书宋简体" w:eastAsia="方正书宋简体" w:cs="方正书宋简体"/>
          <w:spacing w:val="-52"/>
          <w:sz w:val="24"/>
          <w:szCs w:val="24"/>
        </w:rPr>
        <w:t>）；</w:t>
      </w:r>
    </w:p>
    <w:p>
      <w:pPr>
        <w:spacing w:before="174" w:line="193" w:lineRule="auto"/>
        <w:ind w:firstLine="62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w w:val="99"/>
          <w:sz w:val="24"/>
          <w:szCs w:val="24"/>
        </w:rPr>
        <w:t>总学分绩点=修读并获得的各门课程学分乘以相应绩点之和（</w:t>
      </w:r>
      <w:r>
        <w:rPr>
          <w:rFonts w:ascii="方正书宋简体" w:hAnsi="方正书宋简体" w:eastAsia="方正书宋简体" w:cs="方正书宋简体"/>
          <w:spacing w:val="113"/>
          <w:sz w:val="24"/>
          <w:szCs w:val="24"/>
        </w:rPr>
        <w:t xml:space="preserve"> </w:t>
      </w:r>
      <w:r>
        <w:rPr>
          <w:rFonts w:ascii="方正书宋简体" w:hAnsi="方正书宋简体" w:eastAsia="方正书宋简体" w:cs="方正书宋简体"/>
          <w:spacing w:val="-3"/>
          <w:w w:val="99"/>
          <w:sz w:val="24"/>
          <w:szCs w:val="24"/>
        </w:rPr>
        <w:t>∑W</w:t>
      </w:r>
      <w:r>
        <w:rPr>
          <w:rFonts w:ascii="方正书宋简体" w:hAnsi="方正书宋简体" w:eastAsia="方正书宋简体" w:cs="方正书宋简体"/>
          <w:spacing w:val="-3"/>
          <w:w w:val="99"/>
          <w:sz w:val="12"/>
          <w:szCs w:val="12"/>
        </w:rPr>
        <w:t>i</w:t>
      </w:r>
      <w:r>
        <w:rPr>
          <w:rFonts w:ascii="方正书宋简体" w:hAnsi="方正书宋简体" w:eastAsia="方正书宋简体" w:cs="方正书宋简体"/>
          <w:spacing w:val="-3"/>
          <w:w w:val="99"/>
          <w:sz w:val="24"/>
          <w:szCs w:val="24"/>
        </w:rPr>
        <w:t>×H</w:t>
      </w:r>
      <w:r>
        <w:rPr>
          <w:rFonts w:ascii="方正书宋简体" w:hAnsi="方正书宋简体" w:eastAsia="方正书宋简体" w:cs="方正书宋简体"/>
          <w:spacing w:val="-3"/>
          <w:w w:val="99"/>
          <w:sz w:val="12"/>
          <w:szCs w:val="12"/>
        </w:rPr>
        <w:t>i</w:t>
      </w:r>
      <w:r>
        <w:rPr>
          <w:rFonts w:ascii="方正书宋简体" w:hAnsi="方正书宋简体" w:eastAsia="方正书宋简体" w:cs="方正书宋简体"/>
          <w:spacing w:val="-3"/>
          <w:w w:val="99"/>
          <w:sz w:val="24"/>
          <w:szCs w:val="24"/>
        </w:rPr>
        <w:t>）</w:t>
      </w:r>
    </w:p>
    <w:p>
      <w:pPr>
        <w:spacing w:before="175" w:line="193" w:lineRule="auto"/>
        <w:ind w:firstLine="61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w w:val="99"/>
          <w:sz w:val="24"/>
          <w:szCs w:val="24"/>
        </w:rPr>
        <w:t>平均学分绩点=总学分绩点/总学分数</w:t>
      </w:r>
      <w:r>
        <w:rPr>
          <w:rFonts w:ascii="方正书宋简体" w:hAnsi="方正书宋简体" w:eastAsia="方正书宋简体" w:cs="方正书宋简体"/>
          <w:spacing w:val="-40"/>
          <w:sz w:val="24"/>
          <w:szCs w:val="24"/>
        </w:rPr>
        <w:t>（（</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3"/>
          <w:w w:val="99"/>
          <w:sz w:val="24"/>
          <w:szCs w:val="24"/>
        </w:rPr>
        <w:t>∑W</w:t>
      </w:r>
      <w:r>
        <w:rPr>
          <w:rFonts w:ascii="方正书宋简体" w:hAnsi="方正书宋简体" w:eastAsia="方正书宋简体" w:cs="方正书宋简体"/>
          <w:spacing w:val="-3"/>
          <w:w w:val="99"/>
          <w:sz w:val="12"/>
          <w:szCs w:val="12"/>
        </w:rPr>
        <w:t>i</w:t>
      </w:r>
      <w:r>
        <w:rPr>
          <w:rFonts w:ascii="方正书宋简体" w:hAnsi="方正书宋简体" w:eastAsia="方正书宋简体" w:cs="方正书宋简体"/>
          <w:spacing w:val="-3"/>
          <w:w w:val="99"/>
          <w:sz w:val="24"/>
          <w:szCs w:val="24"/>
        </w:rPr>
        <w:t>×H</w:t>
      </w:r>
      <w:r>
        <w:rPr>
          <w:rFonts w:ascii="方正书宋简体" w:hAnsi="方正书宋简体" w:eastAsia="方正书宋简体" w:cs="方正书宋简体"/>
          <w:spacing w:val="-3"/>
          <w:w w:val="99"/>
          <w:sz w:val="12"/>
          <w:szCs w:val="12"/>
        </w:rPr>
        <w:t>i</w:t>
      </w:r>
      <w:r>
        <w:rPr>
          <w:rFonts w:ascii="方正书宋简体" w:hAnsi="方正书宋简体" w:eastAsia="方正书宋简体" w:cs="方正书宋简体"/>
          <w:spacing w:val="-3"/>
          <w:w w:val="99"/>
          <w:sz w:val="24"/>
          <w:szCs w:val="24"/>
        </w:rPr>
        <w:t>）/∑W</w:t>
      </w:r>
      <w:r>
        <w:rPr>
          <w:rFonts w:ascii="方正书宋简体" w:hAnsi="方正书宋简体" w:eastAsia="方正书宋简体" w:cs="方正书宋简体"/>
          <w:spacing w:val="-3"/>
          <w:w w:val="99"/>
          <w:position w:val="-1"/>
          <w:sz w:val="12"/>
          <w:szCs w:val="12"/>
        </w:rPr>
        <w:t>i</w:t>
      </w:r>
      <w:r>
        <w:rPr>
          <w:rFonts w:ascii="方正书宋简体" w:hAnsi="方正书宋简体" w:eastAsia="方正书宋简体" w:cs="方正书宋简体"/>
          <w:spacing w:val="-20"/>
          <w:position w:val="-1"/>
          <w:sz w:val="12"/>
          <w:szCs w:val="12"/>
        </w:rPr>
        <w:t xml:space="preserve"> </w:t>
      </w:r>
      <w:r>
        <w:rPr>
          <w:rFonts w:ascii="方正书宋简体" w:hAnsi="方正书宋简体" w:eastAsia="方正书宋简体" w:cs="方正书宋简体"/>
          <w:spacing w:val="-3"/>
          <w:w w:val="99"/>
          <w:sz w:val="24"/>
          <w:szCs w:val="24"/>
        </w:rPr>
        <w:t>）</w:t>
      </w:r>
    </w:p>
    <w:p>
      <w:pPr>
        <w:spacing w:before="155" w:line="272" w:lineRule="auto"/>
        <w:ind w:right="76"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
          <w:sz w:val="24"/>
          <w:szCs w:val="24"/>
        </w:rPr>
        <w:t xml:space="preserve">课程考核分为考试和考查两种方式。考核成绩的评定，采用百分制 </w:t>
      </w:r>
      <w:r>
        <w:rPr>
          <w:rFonts w:ascii="方正书宋简体" w:hAnsi="方正书宋简体" w:eastAsia="方正书宋简体" w:cs="方正书宋简体"/>
          <w:spacing w:val="-8"/>
          <w:sz w:val="24"/>
          <w:szCs w:val="24"/>
        </w:rPr>
        <w:t>（0—100</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8"/>
          <w:sz w:val="24"/>
          <w:szCs w:val="24"/>
        </w:rPr>
        <w:t>分）</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8"/>
          <w:sz w:val="24"/>
          <w:szCs w:val="24"/>
        </w:rPr>
        <w:t>或五级计分制（即优秀、良好、中等、及格、不及格）</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8"/>
          <w:sz w:val="24"/>
          <w:szCs w:val="24"/>
        </w:rPr>
        <w:t>计分。其中考试</w:t>
      </w:r>
    </w:p>
    <w:p>
      <w:pPr>
        <w:spacing w:before="355" w:line="180" w:lineRule="auto"/>
        <w:ind w:firstLine="4384"/>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112</w:t>
      </w:r>
    </w:p>
    <w:p>
      <w:pPr>
        <w:sectPr>
          <w:footerReference r:id="rId116" w:type="default"/>
          <w:pgSz w:w="11905" w:h="16840"/>
          <w:pgMar w:top="1431" w:right="1509" w:bottom="400" w:left="1457" w:header="0" w:footer="0" w:gutter="0"/>
          <w:cols w:space="720" w:num="1"/>
        </w:sectPr>
      </w:pPr>
    </w:p>
    <w:p>
      <w:pPr>
        <w:spacing w:before="412" w:line="293" w:lineRule="auto"/>
        <w:ind w:left="158" w:right="104" w:hanging="1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课程的成绩采用百分制计分，满</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4"/>
          <w:sz w:val="24"/>
          <w:szCs w:val="24"/>
        </w:rPr>
        <w:t>60</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4"/>
          <w:sz w:val="24"/>
          <w:szCs w:val="24"/>
        </w:rPr>
        <w:t>分者为合格；考查课程和毕业论文（设计）、实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习等实践环节的成绩采用五级计分制计分。</w:t>
      </w:r>
    </w:p>
    <w:p>
      <w:pPr>
        <w:spacing w:before="39" w:line="180"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缺考、违纪、作弊、无考试资格等，按实际情况记载，考核成绩按零分计。</w:t>
      </w:r>
    </w:p>
    <w:p>
      <w:pPr>
        <w:spacing w:before="168" w:line="294" w:lineRule="auto"/>
        <w:ind w:left="14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第十四条    </w:t>
      </w:r>
      <w:r>
        <w:rPr>
          <w:rFonts w:ascii="方正书宋简体" w:hAnsi="方正书宋简体" w:eastAsia="方正书宋简体" w:cs="方正书宋简体"/>
          <w:spacing w:val="2"/>
          <w:sz w:val="24"/>
          <w:szCs w:val="24"/>
        </w:rPr>
        <w:t>课程考核成绩由平时成绩和期末考试成绩综合评定。其中，理论课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程或独立开设的实验、实训课程，平时成绩在总成绩中所占比例一般不超过</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40%，</w:t>
      </w:r>
      <w:r>
        <w:rPr>
          <w:rFonts w:ascii="方正书宋简体" w:hAnsi="方正书宋简体" w:eastAsia="方正书宋简体" w:cs="方正书宋简体"/>
          <w:sz w:val="24"/>
          <w:szCs w:val="24"/>
        </w:rPr>
        <w:t xml:space="preserve">   期末考试成绩约为</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z w:val="24"/>
          <w:szCs w:val="24"/>
        </w:rPr>
        <w:t xml:space="preserve">60%；含有实验、实训教学的课程，平时成绩在总成绩中所占比  </w:t>
      </w:r>
      <w:r>
        <w:rPr>
          <w:rFonts w:ascii="方正书宋简体" w:hAnsi="方正书宋简体" w:eastAsia="方正书宋简体" w:cs="方正书宋简体"/>
          <w:spacing w:val="-3"/>
          <w:sz w:val="24"/>
          <w:szCs w:val="24"/>
        </w:rPr>
        <w:t>例一般不超过</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30%（含理论及实践平时成绩</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3"/>
          <w:sz w:val="24"/>
          <w:szCs w:val="24"/>
        </w:rPr>
        <w:t>实验（训）考核成绩约为</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30%，期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z w:val="24"/>
          <w:szCs w:val="24"/>
        </w:rPr>
        <w:t>末理论考试成绩约为</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z w:val="24"/>
          <w:szCs w:val="24"/>
        </w:rPr>
        <w:t xml:space="preserve">40%。考试方式与平时成绩的评定方法应按照各专业制定的标  </w:t>
      </w:r>
      <w:r>
        <w:rPr>
          <w:rFonts w:ascii="方正书宋简体" w:hAnsi="方正书宋简体" w:eastAsia="方正书宋简体" w:cs="方正书宋简体"/>
          <w:spacing w:val="-6"/>
          <w:sz w:val="24"/>
          <w:szCs w:val="24"/>
        </w:rPr>
        <w:t>准执行，</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6"/>
          <w:sz w:val="24"/>
          <w:szCs w:val="24"/>
        </w:rPr>
        <w:t>任课教师应在开课初向学生公布本课程的考核标准、方式及成绩评定办法。</w:t>
      </w:r>
    </w:p>
    <w:p>
      <w:pPr>
        <w:spacing w:before="22" w:line="258" w:lineRule="auto"/>
        <w:ind w:right="89"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学生参加创新创业、社会实践等活动以及发表论文、获得专利授权等与专业学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习、学业要求相关的经历、成果，可以折算为学分，计入学业成绩。具体办法参见</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4"/>
          <w:sz w:val="24"/>
          <w:szCs w:val="24"/>
        </w:rPr>
        <w:t>《吉首大学本科生创新创业实践学分认定与管理办法》。</w:t>
      </w:r>
    </w:p>
    <w:p>
      <w:pPr>
        <w:spacing w:before="191" w:line="272" w:lineRule="auto"/>
        <w:ind w:left="142" w:right="9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学生须通过学校组织的考试资格审查后方能参加课程考试。有下列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情况之一者，不能参加相应课程考试：</w:t>
      </w:r>
    </w:p>
    <w:p>
      <w:pPr>
        <w:spacing w:before="20" w:line="193" w:lineRule="auto"/>
        <w:ind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1、凡未办理免修、免考手续缺课超过课程授课学时三分之一者；</w:t>
      </w:r>
    </w:p>
    <w:p>
      <w:pPr>
        <w:spacing w:before="161" w:line="193"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2、凡缺交作业（包括实验报告）达课程作业量或实验报告量的三分之一者；</w:t>
      </w:r>
    </w:p>
    <w:p>
      <w:pPr>
        <w:spacing w:before="163" w:line="180" w:lineRule="auto"/>
        <w:ind w:firstLine="62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3、凡未参加课程规定的实践教学环节者。</w:t>
      </w:r>
    </w:p>
    <w:p>
      <w:pPr>
        <w:spacing w:before="167" w:line="288" w:lineRule="auto"/>
        <w:ind w:left="146" w:right="89"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第十六条    </w:t>
      </w:r>
      <w:r>
        <w:rPr>
          <w:rFonts w:ascii="方正书宋简体" w:hAnsi="方正书宋简体" w:eastAsia="方正书宋简体" w:cs="方正书宋简体"/>
          <w:spacing w:val="2"/>
          <w:sz w:val="24"/>
          <w:szCs w:val="24"/>
        </w:rPr>
        <w:t xml:space="preserve">课程考核合格即取得课程学分，考核不合格不取得学分。必修课和 </w:t>
      </w:r>
      <w:r>
        <w:rPr>
          <w:rFonts w:ascii="方正书宋简体" w:hAnsi="方正书宋简体" w:eastAsia="方正书宋简体" w:cs="方正书宋简体"/>
          <w:spacing w:val="1"/>
          <w:sz w:val="24"/>
          <w:szCs w:val="24"/>
        </w:rPr>
        <w:t>指定选修课正常考核不合格者，可参加该课程修读学期的下一学期开学前的补考，</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补考不合格必须重修；任选课、全校通识选修课考核不合格不安排补考，可另选或</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重修，具体见《吉首大学本科生课程重修管理办法》。</w:t>
      </w:r>
    </w:p>
    <w:p>
      <w:pPr>
        <w:spacing w:before="29" w:line="233" w:lineRule="auto"/>
        <w:ind w:left="164" w:right="92" w:firstLine="46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学生不及格课程的补考成绩以卷面成绩计算，</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成绩合格即取得学分，成绩一律</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以“60</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分或及格”记载。</w:t>
      </w:r>
    </w:p>
    <w:p>
      <w:pPr>
        <w:spacing w:before="192" w:line="244" w:lineRule="auto"/>
        <w:ind w:left="144" w:right="8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因病或其他特殊情况不能参加正常考核或补考的学生，可以申请缓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考。申请缓考者须本人提出书面申请，经所在学院批准后报教务处备案。正常考核</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缓考考试与补考同时进行，所取得成绩按卷面成绩记载。</w:t>
      </w:r>
    </w:p>
    <w:p>
      <w:pPr>
        <w:spacing w:before="187" w:line="291" w:lineRule="auto"/>
        <w:ind w:left="144" w:right="8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学生违反考核纪律或作弊的，该课程考核成绩记为无效，并由学校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视其违纪或作弊情节轻重，给予批评教育和相应的纪律处分，具体处分参见《吉首</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大学学生考试违规处理暂行办法》。该课程在毕业前根据学生表现情况确定是否给予</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重修（重考）机会。</w:t>
      </w:r>
    </w:p>
    <w:p>
      <w:pPr>
        <w:spacing w:before="11" w:line="194"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学生因退学等情况终止学业，其在校学习期间所修课程及已获得学分，应当予</w:t>
      </w:r>
    </w:p>
    <w:p>
      <w:pPr>
        <w:spacing w:line="280" w:lineRule="auto"/>
        <w:rPr>
          <w:rFonts w:ascii="Malgun Gothic"/>
          <w:sz w:val="21"/>
        </w:rPr>
      </w:pPr>
    </w:p>
    <w:p>
      <w:pPr>
        <w:spacing w:before="53" w:line="180" w:lineRule="auto"/>
        <w:ind w:firstLine="4394"/>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113</w:t>
      </w:r>
    </w:p>
    <w:p>
      <w:pPr>
        <w:sectPr>
          <w:footerReference r:id="rId117" w:type="default"/>
          <w:pgSz w:w="11905" w:h="16840"/>
          <w:pgMar w:top="1431" w:right="1496" w:bottom="400" w:left="1447" w:header="0" w:footer="0" w:gutter="0"/>
          <w:cols w:space="720" w:num="1"/>
        </w:sectPr>
      </w:pPr>
    </w:p>
    <w:p>
      <w:pPr>
        <w:spacing w:before="415" w:line="234" w:lineRule="auto"/>
        <w:ind w:left="4" w:right="96" w:firstLine="1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以记录。学生重新参加考试、符合录取条件、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3"/>
          <w:sz w:val="24"/>
          <w:szCs w:val="24"/>
        </w:rPr>
        <w:t>再次入学的，经学校相关学院专业审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核认可其已获得学分。</w:t>
      </w:r>
    </w:p>
    <w:p>
      <w:pPr>
        <w:spacing w:before="193" w:line="288" w:lineRule="auto"/>
        <w:ind w:right="9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5"/>
          <w:sz w:val="24"/>
          <w:szCs w:val="24"/>
        </w:rPr>
        <w:t>对学生思想品德的考核、鉴定以</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5"/>
          <w:sz w:val="24"/>
          <w:szCs w:val="24"/>
        </w:rPr>
        <w:t>《高等学校学生行为准则》为主要</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依据，采取个人小结、师生民主评议等形式进行。学生的品德评定一般每学年进行</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一次。进行个人小结和鉴定，应以发扬优点、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克服缺点为目的，具体安排和要求由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学校主管部门另行制定。</w:t>
      </w:r>
    </w:p>
    <w:p>
      <w:pPr>
        <w:spacing w:before="22" w:line="303" w:lineRule="auto"/>
        <w:ind w:left="3"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学校开展学生诚信教育，将诚信教育纳入新生入学教育，以适当方式记录学生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学业、学术、品行等方面的诚信信息，建立对失信行为的约束和惩戒机制；对有严</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重失信行为的，按照相关规定给予相应的纪律处分，对违背学术诚信的，对其获得</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学位及学术称号、荣誉等作出限制。</w:t>
      </w:r>
    </w:p>
    <w:p>
      <w:pPr>
        <w:spacing w:before="1" w:line="259" w:lineRule="auto"/>
        <w:ind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公共体育课的成绩应当突出过程管理，可根据考勤、课内教学、课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外锻炼活动和体质健康等情况综合评定。学生因体残、体弱或患有疾病，经校医院</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诊断证明，公共体育教学部同意，教务处审核批准，视其情况可适当降低要求，但</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须上体育保健课，及格者可以取得体育课成绩，同时获得相应学分。</w:t>
      </w:r>
    </w:p>
    <w:p>
      <w:pPr>
        <w:spacing w:before="188" w:line="273" w:lineRule="auto"/>
        <w:ind w:left="4" w:right="4"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学生劳动教育课和学生军训、军事理论课、健康教育、形势与政</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策等课程列入专业人才培养方案，</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考核成绩记入成绩册，</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sz w:val="24"/>
          <w:szCs w:val="24"/>
        </w:rPr>
        <w:t>纳入德、智、体综合评分。</w:t>
      </w:r>
    </w:p>
    <w:p>
      <w:pPr>
        <w:spacing w:before="11" w:line="273" w:lineRule="auto"/>
        <w:ind w:left="19" w:right="122"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学校根据学生学业成绩和学籍档案管理制度真实、完整地记载、 </w:t>
      </w:r>
      <w:r>
        <w:rPr>
          <w:rFonts w:ascii="方正书宋简体" w:hAnsi="方正书宋简体" w:eastAsia="方正书宋简体" w:cs="方正书宋简体"/>
          <w:spacing w:val="-2"/>
          <w:sz w:val="24"/>
          <w:szCs w:val="24"/>
        </w:rPr>
        <w:t>出具学生学业成绩，对通过补考、重修获得的成绩予以标注。</w:t>
      </w:r>
    </w:p>
    <w:p>
      <w:pPr>
        <w:spacing w:before="11" w:line="197"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转专业与转学</w:t>
      </w:r>
    </w:p>
    <w:p>
      <w:pPr>
        <w:spacing w:before="96" w:line="272" w:lineRule="auto"/>
        <w:ind w:right="9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学生应在学校所录取专业就读并完成学业。有下列情况之一的在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读一、二年级学生，可申请转专业一次。</w:t>
      </w:r>
    </w:p>
    <w:p>
      <w:pPr>
        <w:spacing w:before="22"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1、学生确有兴趣和专长的，转专业更能发挥其特长的；</w:t>
      </w:r>
    </w:p>
    <w:p>
      <w:pPr>
        <w:spacing w:before="166" w:line="247" w:lineRule="auto"/>
        <w:ind w:left="3" w:right="11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2、学生入学后发现有某种疾病或生理缺陷（不含隐瞒既往病史入学者</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
          <w:sz w:val="24"/>
          <w:szCs w:val="24"/>
        </w:rPr>
        <w:t>经学</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校指定医院诊断证明，不能在原专业学习，但尚能在本校其他专业学习的；</w:t>
      </w:r>
    </w:p>
    <w:p>
      <w:pPr>
        <w:spacing w:before="165" w:line="248" w:lineRule="auto"/>
        <w:ind w:left="21" w:right="98" w:firstLine="46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3、休学创业或退役后复学的学生，</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7"/>
          <w:sz w:val="24"/>
          <w:szCs w:val="24"/>
        </w:rPr>
        <w:t>因自身情况需要转专业并且符合转专业时限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的，可优先考虑转专业；</w:t>
      </w:r>
    </w:p>
    <w:p>
      <w:pPr>
        <w:spacing w:before="160"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4、学生确有特殊困难，不转专业则无法继续学习的；</w:t>
      </w:r>
    </w:p>
    <w:p>
      <w:pPr>
        <w:spacing w:before="165"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5、学校根据社会对人才需求情况的发展变化，</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必要时可适当调整部分学生所学专业。</w:t>
      </w:r>
    </w:p>
    <w:p>
      <w:pPr>
        <w:spacing w:before="178" w:line="235" w:lineRule="auto"/>
        <w:ind w:left="1" w:right="10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通过定向就业招生录取或艺术类、体育类、高水平艺术团、高水平运动队等特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殊招生形式录取的、或者录取前与学校有明确约定的，不得转专业。</w:t>
      </w:r>
    </w:p>
    <w:p>
      <w:pPr>
        <w:spacing w:before="191"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7"/>
          <w:sz w:val="24"/>
          <w:szCs w:val="24"/>
        </w:rPr>
        <w:t>第二十四条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17"/>
          <w:sz w:val="24"/>
          <w:szCs w:val="24"/>
        </w:rPr>
        <w:t>学生转专业按照</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7"/>
          <w:sz w:val="24"/>
          <w:szCs w:val="24"/>
        </w:rPr>
        <w:t>《吉首大学本科生转专业管理办法（试行）》执行。</w:t>
      </w:r>
    </w:p>
    <w:p>
      <w:pPr>
        <w:spacing w:line="266" w:lineRule="auto"/>
        <w:rPr>
          <w:rFonts w:ascii="Malgun Gothic"/>
          <w:sz w:val="21"/>
        </w:rPr>
      </w:pPr>
    </w:p>
    <w:p>
      <w:pPr>
        <w:spacing w:before="52" w:line="180" w:lineRule="auto"/>
        <w:ind w:firstLine="4251"/>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114</w:t>
      </w:r>
    </w:p>
    <w:p>
      <w:pPr>
        <w:sectPr>
          <w:footerReference r:id="rId118" w:type="default"/>
          <w:pgSz w:w="11905" w:h="16840"/>
          <w:pgMar w:top="1431" w:right="1489" w:bottom="400" w:left="1590" w:header="0" w:footer="0" w:gutter="0"/>
          <w:cols w:space="720" w:num="1"/>
        </w:sectPr>
      </w:pPr>
    </w:p>
    <w:p>
      <w:pPr>
        <w:spacing w:before="405" w:line="285" w:lineRule="auto"/>
        <w:ind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3"/>
          <w:sz w:val="24"/>
          <w:szCs w:val="24"/>
        </w:rPr>
        <w:t>学生一般应当在被录取学校完成学业。因患病或者确有特殊困难、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特别需要，无法继续在本校学习或者不适应本校学习要求的，可按相关规定申请转</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学。有下列情行之一者，不得转学：</w:t>
      </w:r>
    </w:p>
    <w:p>
      <w:pPr>
        <w:spacing w:before="11" w:line="248" w:lineRule="auto"/>
        <w:ind w:right="96"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1、入学未满一学期的或者毕业前一年的（即本科三年级，</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1"/>
          <w:sz w:val="24"/>
          <w:szCs w:val="24"/>
        </w:rPr>
        <w:t>含三年级以上，</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专科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二年级及含二年级以上</w:t>
      </w:r>
      <w:r>
        <w:rPr>
          <w:rFonts w:ascii="方正书宋简体" w:hAnsi="方正书宋简体" w:eastAsia="方正书宋简体" w:cs="方正书宋简体"/>
          <w:spacing w:val="-4"/>
          <w:sz w:val="24"/>
          <w:szCs w:val="24"/>
        </w:rPr>
        <w:t>）；</w:t>
      </w:r>
    </w:p>
    <w:p>
      <w:pPr>
        <w:spacing w:before="160"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2、高考成绩低于拟转入学校相关专业同一生源地相应年份录取成绩的；</w:t>
      </w:r>
    </w:p>
    <w:p>
      <w:pPr>
        <w:spacing w:before="161"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3、由低学历层次转为高学历层次的；</w:t>
      </w:r>
    </w:p>
    <w:p>
      <w:pPr>
        <w:spacing w:before="163" w:line="248" w:lineRule="auto"/>
        <w:ind w:left="1" w:right="96"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4、通过定向就业招生录取或艺术类、体育类、高水平艺术团、高水平运动队等</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5"/>
          <w:sz w:val="24"/>
          <w:szCs w:val="24"/>
        </w:rPr>
        <w:t>特殊招生形式录取的；</w:t>
      </w:r>
    </w:p>
    <w:p>
      <w:pPr>
        <w:spacing w:before="165" w:line="248" w:lineRule="auto"/>
        <w:ind w:left="1" w:right="1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5、未通过普通高等学校招生全国统一考试或未使用高考成绩录取入学的（含保送</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4"/>
          <w:sz w:val="24"/>
          <w:szCs w:val="24"/>
        </w:rPr>
        <w:t>生、单独考试招生、政法干警、第二学士学位、专升本、五年一贯制、三二分段制等</w:t>
      </w:r>
      <w:r>
        <w:rPr>
          <w:rFonts w:ascii="方正书宋简体" w:hAnsi="方正书宋简体" w:eastAsia="方正书宋简体" w:cs="方正书宋简体"/>
          <w:spacing w:val="-17"/>
          <w:sz w:val="24"/>
          <w:szCs w:val="24"/>
        </w:rPr>
        <w:t>）；</w:t>
      </w:r>
    </w:p>
    <w:p>
      <w:pPr>
        <w:spacing w:before="160"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6、拟转出学校（或拟转入学校）与我校在同一城市的；</w:t>
      </w:r>
    </w:p>
    <w:p>
      <w:pPr>
        <w:spacing w:before="161" w:line="193"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7、跨学科门类的；</w:t>
      </w:r>
    </w:p>
    <w:p>
      <w:pPr>
        <w:spacing w:before="160"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8、应予退学的；</w:t>
      </w:r>
    </w:p>
    <w:p>
      <w:pPr>
        <w:spacing w:before="165"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9、其他无正当转学理由的。</w:t>
      </w:r>
    </w:p>
    <w:p>
      <w:pPr>
        <w:spacing w:before="180"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学生转学不得改变其原有层次和类别。</w:t>
      </w:r>
    </w:p>
    <w:p>
      <w:pPr>
        <w:spacing w:before="166" w:line="180" w:lineRule="auto"/>
        <w:ind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第二十六条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4"/>
          <w:sz w:val="24"/>
          <w:szCs w:val="24"/>
        </w:rPr>
        <w:t>学生转学的办理办法：</w:t>
      </w:r>
    </w:p>
    <w:p>
      <w:pPr>
        <w:spacing w:before="134" w:line="283" w:lineRule="auto"/>
        <w:ind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学生转学由学生本人提出申请，说明理由，经所在学校和拟转入学校同意，由</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转入学校负责审核转学条件及相关证明，符合本校培养要求且学校有培养能力的，</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1"/>
          <w:sz w:val="24"/>
          <w:szCs w:val="24"/>
        </w:rPr>
        <w:t>经学校校长办公会或者专题会议研究决定，可以转入或者转出。转学手续完成后，</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1"/>
          <w:sz w:val="24"/>
          <w:szCs w:val="24"/>
        </w:rPr>
        <w:t>学校教务处对转学情况及时进行公示，并在转学完成后</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
          <w:sz w:val="24"/>
          <w:szCs w:val="24"/>
        </w:rPr>
        <w:t>个月内，由转入学校报所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在地省级教育行政部门备案，双方学校留存相关转学材料的复印件。</w:t>
      </w:r>
    </w:p>
    <w:p>
      <w:pPr>
        <w:spacing w:before="164" w:line="305" w:lineRule="auto"/>
        <w:ind w:right="96"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1、跨省转学的，</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2"/>
          <w:sz w:val="24"/>
          <w:szCs w:val="24"/>
        </w:rPr>
        <w:t>须经两校同意，</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2"/>
          <w:sz w:val="24"/>
          <w:szCs w:val="24"/>
        </w:rPr>
        <w:t>由转出学校所在地省级教育行政部门商转入学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9"/>
          <w:sz w:val="24"/>
          <w:szCs w:val="24"/>
        </w:rPr>
        <w:t>校所在地省级教育行政部门，</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9"/>
          <w:sz w:val="24"/>
          <w:szCs w:val="24"/>
        </w:rPr>
        <w:t>按转学条件确认后办理转学手续，。须转户口的由转入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地省级教育行政部门将有关文件抄送转入学校所在地的公安机关。</w:t>
      </w:r>
    </w:p>
    <w:p>
      <w:pPr>
        <w:spacing w:before="3" w:line="305" w:lineRule="auto"/>
        <w:ind w:right="9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2、学生因学校培养条件改变等非本人原因需要转学的，由学生本人提出申请、</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学校出具证明、教务处负责与湖南省教育厅高等教育处协调，由湖南省教育厅高等</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教育处协调转学到同层次学校。</w:t>
      </w:r>
    </w:p>
    <w:p>
      <w:pPr>
        <w:spacing w:before="4" w:line="305" w:lineRule="auto"/>
        <w:ind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3、本校学生要求转学的，</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1"/>
          <w:sz w:val="24"/>
          <w:szCs w:val="24"/>
        </w:rPr>
        <w:t>须由学生本人申请，</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所在学院同意、教务处审核、经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学校校长办公会或者专题会议研究决定，同意转出，待拟转入学校同意后，由转入</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学校报湖南省教育厅高等教育处备案。</w:t>
      </w:r>
    </w:p>
    <w:p>
      <w:pPr>
        <w:spacing w:before="318" w:line="180" w:lineRule="auto"/>
        <w:ind w:firstLine="4249"/>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115</w:t>
      </w:r>
    </w:p>
    <w:p>
      <w:pPr>
        <w:sectPr>
          <w:footerReference r:id="rId119" w:type="default"/>
          <w:pgSz w:w="11905" w:h="16840"/>
          <w:pgMar w:top="1431" w:right="1490" w:bottom="400" w:left="1593" w:header="0" w:footer="0" w:gutter="0"/>
          <w:cols w:space="720" w:num="1"/>
        </w:sectPr>
      </w:pPr>
    </w:p>
    <w:p>
      <w:pPr>
        <w:spacing w:before="414" w:line="301" w:lineRule="auto"/>
        <w:ind w:left="2" w:right="12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4、外校学生要求转入本校者，</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持转出学校同意转学的相关材料，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经我校相关学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院院务会同意、教务处审核、经学校校长办公会或者专题会议研究决定，报湖南省</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教育厅高等教育处备案。</w:t>
      </w:r>
    </w:p>
    <w:p>
      <w:pPr>
        <w:spacing w:before="20" w:line="305" w:lineRule="auto"/>
        <w:ind w:left="2" w:right="12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5、学生转学的手续，</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一般在每学期末申请办理，</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学校在规定时间内上报湖南省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教育厅高等教育处备案。</w:t>
      </w:r>
    </w:p>
    <w:p>
      <w:pPr>
        <w:spacing w:before="2" w:line="248" w:lineRule="auto"/>
        <w:ind w:left="2" w:right="147"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具体按《转发教育部办公厅关于进一步规范普通高等学校转学工作的通知》（湘</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教通[2015]</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294</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号）文件的有关规定办理。</w:t>
      </w:r>
    </w:p>
    <w:p>
      <w:pPr>
        <w:spacing w:before="151" w:line="291" w:lineRule="auto"/>
        <w:ind w:left="2"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第二十七条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学生转专业后，须修满转入专业培养方案所规定的全部课程，取得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规定的学分，方可毕业。学生转专业前所修的课程成绩和学分将如实记载在成绩册中，</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10"/>
          <w:sz w:val="24"/>
          <w:szCs w:val="24"/>
        </w:rPr>
        <w:t>接收学院应根据本专业人才培养方案的规定，对学生原专业所修课程的学分进行认定，</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9"/>
          <w:sz w:val="24"/>
          <w:szCs w:val="24"/>
        </w:rPr>
        <w:t>如学生在原专业所修课程要求低于转入专业或原专业未修的课程，必须重修。</w:t>
      </w:r>
    </w:p>
    <w:p>
      <w:pPr>
        <w:spacing w:before="7" w:line="248" w:lineRule="auto"/>
        <w:ind w:right="13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转专业的学生须按转入专业收费标准足额交纳学杂费，学生所在学院应及时做</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好转专业学生的学籍档案及有关材料的交接工作。</w:t>
      </w:r>
    </w:p>
    <w:p>
      <w:pPr>
        <w:spacing w:before="152" w:line="180" w:lineRule="auto"/>
        <w:ind w:firstLine="32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第六章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3"/>
          <w:sz w:val="24"/>
          <w:szCs w:val="24"/>
        </w:rPr>
        <w:t>休学与复学</w:t>
      </w:r>
    </w:p>
    <w:p>
      <w:pPr>
        <w:spacing w:before="125" w:line="244"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第二十八条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2"/>
          <w:sz w:val="24"/>
          <w:szCs w:val="24"/>
        </w:rPr>
        <w:t>学生可以分阶段在学校规定的最长学习年限（含休学和保留学籍）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内完成学业。学生申请休学或者学校认为应当休学的，经批准，可以休学。休学一</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3"/>
          <w:sz w:val="24"/>
          <w:szCs w:val="24"/>
        </w:rPr>
        <w:t>般不得超过</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次，休学期限不得超过</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w:t>
      </w:r>
    </w:p>
    <w:p>
      <w:pPr>
        <w:spacing w:before="18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第二十九条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3"/>
          <w:sz w:val="24"/>
          <w:szCs w:val="24"/>
        </w:rPr>
        <w:t>学生有下列情况之一者，应予休学或者可以休学：</w:t>
      </w:r>
    </w:p>
    <w:p>
      <w:pPr>
        <w:spacing w:before="134"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1、经学校指定医院诊断证明，</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w w:val="95"/>
          <w:sz w:val="24"/>
          <w:szCs w:val="24"/>
        </w:rPr>
        <w:t>因病停课治疗、休养占一学期总学时三分之一以上者；</w:t>
      </w:r>
    </w:p>
    <w:p>
      <w:pPr>
        <w:spacing w:before="160"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2、根据考勤，</w:t>
      </w:r>
      <w:r>
        <w:rPr>
          <w:rFonts w:ascii="方正书宋简体" w:hAnsi="方正书宋简体" w:eastAsia="方正书宋简体" w:cs="方正书宋简体"/>
          <w:spacing w:val="104"/>
          <w:sz w:val="24"/>
          <w:szCs w:val="24"/>
        </w:rPr>
        <w:t xml:space="preserve"> </w:t>
      </w:r>
      <w:r>
        <w:rPr>
          <w:rFonts w:ascii="方正书宋简体" w:hAnsi="方正书宋简体" w:eastAsia="方正书宋简体" w:cs="方正书宋简体"/>
          <w:spacing w:val="-11"/>
          <w:w w:val="98"/>
          <w:sz w:val="24"/>
          <w:szCs w:val="24"/>
        </w:rPr>
        <w:t>一学期请病假、事假缺课累计超过本学期总学时的三分之一以上者；</w:t>
      </w:r>
    </w:p>
    <w:p>
      <w:pPr>
        <w:spacing w:before="163"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3、因不能坚持正常学习，本人申请或学校认为必须休学者。</w:t>
      </w:r>
    </w:p>
    <w:p>
      <w:pPr>
        <w:spacing w:before="180"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4、申请创业并获得批准的学生。</w:t>
      </w:r>
    </w:p>
    <w:p>
      <w:pPr>
        <w:spacing w:before="180" w:line="301" w:lineRule="auto"/>
        <w:ind w:left="3" w:right="12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学生本人申请休学的，由学生书面申请（因病休学的需附学校指定医院的证明</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8"/>
          <w:sz w:val="24"/>
          <w:szCs w:val="24"/>
        </w:rPr>
        <w:t>等材料</w:t>
      </w:r>
      <w:r>
        <w:rPr>
          <w:rFonts w:ascii="方正书宋简体" w:hAnsi="方正书宋简体" w:eastAsia="方正书宋简体" w:cs="方正书宋简体"/>
          <w:spacing w:val="-97"/>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8"/>
          <w:sz w:val="24"/>
          <w:szCs w:val="24"/>
        </w:rPr>
        <w:t>学生所在学院教务办公室注明休学起止时间、缺课情况，</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8"/>
          <w:sz w:val="24"/>
          <w:szCs w:val="24"/>
        </w:rPr>
        <w:t>主管教学副院长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签署意见后，报教务处审批。</w:t>
      </w:r>
    </w:p>
    <w:p>
      <w:pPr>
        <w:spacing w:before="7" w:line="199"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第三十条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3"/>
          <w:sz w:val="24"/>
          <w:szCs w:val="24"/>
        </w:rPr>
        <w:t>休学的有关问题，按下列规定办理：</w:t>
      </w:r>
    </w:p>
    <w:p>
      <w:pPr>
        <w:spacing w:before="103"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1、须在一周内到学校教务处等相关部门办理休学离校手续。</w:t>
      </w:r>
    </w:p>
    <w:p>
      <w:pPr>
        <w:spacing w:before="180"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2、因伤、病休学的学生，其医疗费用按学校医疗管理有关规定办理。</w:t>
      </w:r>
    </w:p>
    <w:p>
      <w:pPr>
        <w:spacing w:before="179"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3、学生休学期间，不得留住学校，不得随班听课和参加课程考核。</w:t>
      </w:r>
    </w:p>
    <w:p>
      <w:pPr>
        <w:spacing w:before="168" w:line="273" w:lineRule="auto"/>
        <w:ind w:right="13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第三十一条    </w:t>
      </w:r>
      <w:r>
        <w:rPr>
          <w:rFonts w:ascii="方正书宋简体" w:hAnsi="方正书宋简体" w:eastAsia="方正书宋简体" w:cs="方正书宋简体"/>
          <w:spacing w:val="2"/>
          <w:sz w:val="24"/>
          <w:szCs w:val="24"/>
        </w:rPr>
        <w:t xml:space="preserve">新生或者在校生应征入伍参加中国人民解放军（含中国人民武装 </w:t>
      </w:r>
      <w:r>
        <w:rPr>
          <w:rFonts w:ascii="方正书宋简体" w:hAnsi="方正书宋简体" w:eastAsia="方正书宋简体" w:cs="方正书宋简体"/>
          <w:spacing w:val="-6"/>
          <w:sz w:val="24"/>
          <w:szCs w:val="24"/>
        </w:rPr>
        <w:t>警察部队</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6"/>
          <w:sz w:val="24"/>
          <w:szCs w:val="24"/>
        </w:rPr>
        <w:t>学校将保留其入学资格或者保留学籍至退役后</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6"/>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年。</w:t>
      </w:r>
    </w:p>
    <w:p>
      <w:pPr>
        <w:spacing w:before="340" w:line="180" w:lineRule="auto"/>
        <w:ind w:firstLine="4251"/>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116</w:t>
      </w:r>
    </w:p>
    <w:p>
      <w:pPr>
        <w:sectPr>
          <w:footerReference r:id="rId120" w:type="default"/>
          <w:pgSz w:w="11905" w:h="16840"/>
          <w:pgMar w:top="1431" w:right="1457" w:bottom="400" w:left="1590" w:header="0" w:footer="0" w:gutter="0"/>
          <w:cols w:space="720" w:num="1"/>
        </w:sectPr>
      </w:pPr>
    </w:p>
    <w:p>
      <w:pPr>
        <w:spacing w:before="415" w:line="235" w:lineRule="auto"/>
        <w:ind w:left="6" w:right="79"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学生因某种原因必须中途停学，但又不符合休学条件的，经本人申请，学院同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意、学校批准，可保留学籍一年。</w:t>
      </w:r>
    </w:p>
    <w:p>
      <w:pPr>
        <w:spacing w:before="201"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在校生休学创业的，学校将保留其学籍至规定最长修业年限后延长</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年。</w:t>
      </w:r>
    </w:p>
    <w:p>
      <w:pPr>
        <w:spacing w:before="180" w:line="305" w:lineRule="auto"/>
        <w:ind w:left="8" w:right="79"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学生参加学校组织的跨校联合培养项目，在联合培养学校学习期间，学校同时</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为其办理保留学籍。</w:t>
      </w:r>
    </w:p>
    <w:p>
      <w:pPr>
        <w:spacing w:before="1" w:line="234" w:lineRule="auto"/>
        <w:ind w:left="3" w:right="10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学生保留学籍期间，按照学校有关规定办理相关手续，服从实际所在的部队、</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4"/>
          <w:sz w:val="24"/>
          <w:szCs w:val="24"/>
        </w:rPr>
        <w:t>学校等组织的管理。</w:t>
      </w:r>
    </w:p>
    <w:p>
      <w:pPr>
        <w:spacing w:before="191" w:line="285" w:lineRule="auto"/>
        <w:ind w:left="3"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第三十二条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2"/>
          <w:sz w:val="24"/>
          <w:szCs w:val="24"/>
        </w:rPr>
        <w:t>学生休学期间，</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2"/>
          <w:sz w:val="24"/>
          <w:szCs w:val="24"/>
        </w:rPr>
        <w:t>学校为其保留学籍，</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2"/>
          <w:sz w:val="24"/>
          <w:szCs w:val="24"/>
        </w:rPr>
        <w:t>但不享受在校学习学生待遇，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学校不对学生休学期间发生的事故负责。除因疾病休学而保留学籍的学生和新生保</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留入学资格的学生不享受在校生待遇。</w:t>
      </w:r>
    </w:p>
    <w:p>
      <w:pPr>
        <w:spacing w:before="1" w:line="273" w:lineRule="auto"/>
        <w:ind w:left="7" w:right="78"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学生休学期满前应当在学校规定的期限内提出复学申请，经学校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复查合格，方可复学并按下列规定办理：</w:t>
      </w:r>
    </w:p>
    <w:p>
      <w:pPr>
        <w:spacing w:before="21" w:line="301" w:lineRule="auto"/>
        <w:ind w:right="77"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1、因伤、病休学的学生，</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2"/>
          <w:sz w:val="24"/>
          <w:szCs w:val="24"/>
        </w:rPr>
        <w:t>申请复学时必须由学校指定医院诊断结果，</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证明恢复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健康，并经学校医院复查合格，方可申请复学；因其他原因休学复学者，须提供必</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要的证明，由所在学院审核，报教务处批准后办理复学手续。</w:t>
      </w:r>
    </w:p>
    <w:p>
      <w:pPr>
        <w:spacing w:before="19" w:line="294" w:lineRule="auto"/>
        <w:ind w:left="3" w:right="8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2、保留学籍学生在期满前一个月（或开学前）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向所在学院申请复学，经所在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学院审核同意后，到教务处办理复学手续。</w:t>
      </w:r>
    </w:p>
    <w:p>
      <w:pPr>
        <w:spacing w:before="34"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3、学生在休学、保留学籍期间如有严重违法乱纪的，学校将取消其学籍。</w:t>
      </w:r>
    </w:p>
    <w:p>
      <w:pPr>
        <w:spacing w:before="181" w:line="234" w:lineRule="auto"/>
        <w:ind w:left="9" w:right="78"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4、休学学生复学后应编入原相应专业的下一年级学习，</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学费按编入专业年级收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费标准缴纳。</w:t>
      </w:r>
    </w:p>
    <w:p>
      <w:pPr>
        <w:spacing w:before="191" w:line="180" w:lineRule="auto"/>
        <w:ind w:firstLine="25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第七章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学业警示、转年级与退学</w:t>
      </w:r>
    </w:p>
    <w:p>
      <w:pPr>
        <w:spacing w:before="126" w:line="285" w:lineRule="auto"/>
        <w:ind w:right="7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学生在读期间一个学期未获得人才培养方案中规定修读学分数的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40%，予以学业警示。由学院审核签发“学业警示通知书”，通知学生及家长，</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8"/>
          <w:sz w:val="24"/>
          <w:szCs w:val="24"/>
        </w:rPr>
        <w:t>并报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教务处备案。</w:t>
      </w:r>
    </w:p>
    <w:p>
      <w:pPr>
        <w:spacing w:before="4" w:line="285"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第三十五条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2"/>
          <w:sz w:val="24"/>
          <w:szCs w:val="24"/>
        </w:rPr>
        <w:t>学生在学年结束，</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2"/>
          <w:sz w:val="24"/>
          <w:szCs w:val="24"/>
        </w:rPr>
        <w:t>未取得规定修读学分数的</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sz w:val="24"/>
          <w:szCs w:val="24"/>
        </w:rPr>
        <w:t>60%，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2"/>
          <w:sz w:val="24"/>
          <w:szCs w:val="24"/>
        </w:rPr>
        <w:t>予以学业警示，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经学院审核后报教务处行文，转入下一年级学习，书面通知学生及家长，并按所在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专业年级收费标准缴纳学费。</w:t>
      </w:r>
    </w:p>
    <w:p>
      <w:pPr>
        <w:spacing w:before="7" w:line="197" w:lineRule="auto"/>
        <w:ind w:firstLine="451"/>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学生编入下一年级学习一年后，</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0"/>
          <w:sz w:val="24"/>
          <w:szCs w:val="24"/>
        </w:rPr>
        <w:t>仍未能取得规定修读学分数的</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0"/>
          <w:sz w:val="24"/>
          <w:szCs w:val="24"/>
        </w:rPr>
        <w:t>60%，作退学处理。</w:t>
      </w:r>
    </w:p>
    <w:p>
      <w:pPr>
        <w:spacing w:before="145" w:line="286" w:lineRule="auto"/>
        <w:ind w:left="2" w:right="7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学生因学习困难、身体健康等原因，本人书面申请，经学院主管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教学副院长同意，教务处审批，可编入相同专业下一年级学习。如遇到没有连续招</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生的专业，则转到学制相同的相近专业下一年级学习。</w:t>
      </w:r>
    </w:p>
    <w:p>
      <w:pPr>
        <w:spacing w:before="329" w:line="180" w:lineRule="auto"/>
        <w:ind w:firstLine="4251"/>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117</w:t>
      </w:r>
    </w:p>
    <w:p>
      <w:pPr>
        <w:sectPr>
          <w:footerReference r:id="rId121" w:type="default"/>
          <w:pgSz w:w="11905" w:h="16840"/>
          <w:pgMar w:top="1431" w:right="1509" w:bottom="400" w:left="1590" w:header="0" w:footer="0" w:gutter="0"/>
          <w:cols w:space="720" w:num="1"/>
        </w:sectPr>
      </w:pPr>
    </w:p>
    <w:p>
      <w:pPr>
        <w:spacing w:before="4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第三十七条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3"/>
          <w:sz w:val="24"/>
          <w:szCs w:val="24"/>
        </w:rPr>
        <w:t>学校实行毕业论文（设计）准入制度。</w:t>
      </w:r>
    </w:p>
    <w:p>
      <w:pPr>
        <w:spacing w:before="139" w:line="303" w:lineRule="auto"/>
        <w:ind w:left="2" w:right="10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如果毕业论文（设计）</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开始时，学生不及格课程累计达到</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15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学分及以上的，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不能参加毕业论文（设计）</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8"/>
          <w:sz w:val="24"/>
          <w:szCs w:val="24"/>
        </w:rPr>
        <w:t>环节教学活动。</w:t>
      </w:r>
    </w:p>
    <w:p>
      <w:pPr>
        <w:spacing w:before="6" w:line="257" w:lineRule="auto"/>
        <w:ind w:right="90"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因欠缺学分不能进入毕业论文（设计）环节的学生，学院应当书面通知本人，</w:t>
      </w:r>
      <w:r>
        <w:rPr>
          <w:rFonts w:ascii="方正书宋简体" w:hAnsi="方正书宋简体" w:eastAsia="方正书宋简体" w:cs="方正书宋简体"/>
          <w:spacing w:val="9"/>
          <w:w w:val="102"/>
          <w:sz w:val="24"/>
          <w:szCs w:val="24"/>
        </w:rPr>
        <w:t xml:space="preserve">  </w:t>
      </w:r>
      <w:r>
        <w:rPr>
          <w:rFonts w:ascii="方正书宋简体" w:hAnsi="方正书宋简体" w:eastAsia="方正书宋简体" w:cs="方正书宋简体"/>
          <w:spacing w:val="2"/>
          <w:sz w:val="24"/>
          <w:szCs w:val="24"/>
        </w:rPr>
        <w:t>并报教务处审定，将学生编入下一年级，修读应修课程达到规定要求，方可参加毕</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业论文（设计）环节教学活动。</w:t>
      </w:r>
    </w:p>
    <w:p>
      <w:pPr>
        <w:spacing w:before="193"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第三十八条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3"/>
          <w:sz w:val="24"/>
          <w:szCs w:val="24"/>
        </w:rPr>
        <w:t>学生有下列情况之一，应予退学：</w:t>
      </w:r>
    </w:p>
    <w:p>
      <w:pPr>
        <w:spacing w:before="132"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1、在校学习时间超过学校规定学制两年（含休学、保留学籍时间）未完成学业的；</w:t>
      </w:r>
    </w:p>
    <w:p>
      <w:pPr>
        <w:spacing w:before="160"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2、休、停学期满，</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1"/>
          <w:w w:val="96"/>
          <w:sz w:val="24"/>
          <w:szCs w:val="24"/>
        </w:rPr>
        <w:t>在学校规定期限内未提出复学申请或者申请复学经复查不合格的；</w:t>
      </w:r>
    </w:p>
    <w:p>
      <w:pPr>
        <w:spacing w:before="168" w:line="247" w:lineRule="auto"/>
        <w:ind w:right="92"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3、经学校指定医院诊断，</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患有疾病或意外伤残无法继续在校学习或严重影响他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人学习和生活的；</w:t>
      </w:r>
    </w:p>
    <w:p>
      <w:pPr>
        <w:spacing w:before="160"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4、未请假离校连续两周未参加学校规定的教学活动的；</w:t>
      </w:r>
    </w:p>
    <w:p>
      <w:pPr>
        <w:spacing w:before="167" w:line="247" w:lineRule="auto"/>
        <w:ind w:left="1" w:right="102"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5、注册在读期间，</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0"/>
          <w:sz w:val="24"/>
          <w:szCs w:val="24"/>
        </w:rPr>
        <w:t>一学年取得的学分数小于</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28</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0"/>
          <w:sz w:val="24"/>
          <w:szCs w:val="24"/>
        </w:rPr>
        <w:t>学分的</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（按标准学习年限的进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度，因提前修得学分，导致某一学年取得的学分数小于</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28</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4"/>
          <w:sz w:val="24"/>
          <w:szCs w:val="24"/>
        </w:rPr>
        <w:t>学分的除外</w:t>
      </w:r>
      <w:r>
        <w:rPr>
          <w:rFonts w:ascii="方正书宋简体" w:hAnsi="方正书宋简体" w:eastAsia="方正书宋简体" w:cs="方正书宋简体"/>
          <w:spacing w:val="-3"/>
          <w:sz w:val="24"/>
          <w:szCs w:val="24"/>
        </w:rPr>
        <w:t>）；</w:t>
      </w:r>
    </w:p>
    <w:p>
      <w:pPr>
        <w:spacing w:before="161"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6、超过学校规定期限未注册且无正当事由的；</w:t>
      </w:r>
    </w:p>
    <w:p>
      <w:pPr>
        <w:spacing w:before="164"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7、本人申请退学的。</w:t>
      </w:r>
    </w:p>
    <w:p>
      <w:pPr>
        <w:spacing w:before="184"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按以上规定的退学处理，对学生不是一种处分。</w:t>
      </w:r>
    </w:p>
    <w:p>
      <w:pPr>
        <w:spacing w:before="161" w:line="286" w:lineRule="auto"/>
        <w:ind w:left="2" w:right="9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根据第三十八条第五款应予退学的学生，如平时表现良好，未受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任何处分（或受到记过及以下处分后，</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9"/>
          <w:sz w:val="24"/>
          <w:szCs w:val="24"/>
        </w:rPr>
        <w:t>经努力取得学校及以上奖励</w:t>
      </w:r>
      <w:r>
        <w:rPr>
          <w:rFonts w:ascii="方正书宋简体" w:hAnsi="方正书宋简体" w:eastAsia="方正书宋简体" w:cs="方正书宋简体"/>
          <w:spacing w:val="-77"/>
          <w:sz w:val="24"/>
          <w:szCs w:val="24"/>
        </w:rPr>
        <w:t>），</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可申请试读一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年，试读按以下规定办理。</w:t>
      </w:r>
    </w:p>
    <w:p>
      <w:pPr>
        <w:spacing w:before="11" w:line="306" w:lineRule="auto"/>
        <w:ind w:right="92"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1、申请试读须学生本人申请，</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11"/>
          <w:w w:val="96"/>
          <w:sz w:val="24"/>
          <w:szCs w:val="24"/>
        </w:rPr>
        <w:t>家长签署意见，</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6"/>
          <w:sz w:val="24"/>
          <w:szCs w:val="24"/>
        </w:rPr>
        <w:t>学院、学校审查同意，</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并签署“试</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读协议”。</w:t>
      </w:r>
    </w:p>
    <w:p>
      <w:pPr>
        <w:spacing w:before="2" w:line="233" w:lineRule="auto"/>
        <w:ind w:left="5" w:right="92"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2、试读生必须编入下一年级学习，</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试读时间限定为一年，</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0"/>
          <w:sz w:val="24"/>
          <w:szCs w:val="24"/>
        </w:rPr>
        <w:t>并按当年收费标准缴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纳学费。</w:t>
      </w:r>
    </w:p>
    <w:p>
      <w:pPr>
        <w:spacing w:before="200"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3、试读期间获得</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11"/>
          <w:w w:val="97"/>
          <w:sz w:val="24"/>
          <w:szCs w:val="24"/>
        </w:rPr>
        <w:t>28</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7"/>
          <w:sz w:val="24"/>
          <w:szCs w:val="24"/>
        </w:rPr>
        <w:t>学分以上，</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w w:val="97"/>
          <w:sz w:val="24"/>
          <w:szCs w:val="24"/>
        </w:rPr>
        <w:t>可继续学习；</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1"/>
          <w:w w:val="97"/>
          <w:sz w:val="24"/>
          <w:szCs w:val="24"/>
        </w:rPr>
        <w:t>否则终止试读协议，</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w w:val="97"/>
          <w:sz w:val="24"/>
          <w:szCs w:val="24"/>
        </w:rPr>
        <w:t>按退学处理。</w:t>
      </w:r>
    </w:p>
    <w:p>
      <w:pPr>
        <w:spacing w:before="16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4、试读期间，违反校纪校规受记过及以上处分者，取消试读，予以退学。</w:t>
      </w:r>
    </w:p>
    <w:p>
      <w:pPr>
        <w:spacing w:before="160" w:line="293" w:lineRule="auto"/>
        <w:ind w:right="1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学院每学期开学后四周内，应进行学生学籍清理，并将达到学业警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示告诫及退学要求的情况报教务处。凡退学的学生，需由学生所在学院提出报告并</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6"/>
          <w:sz w:val="24"/>
          <w:szCs w:val="24"/>
        </w:rPr>
        <w:t>附有关材料，</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6"/>
          <w:sz w:val="24"/>
          <w:szCs w:val="24"/>
        </w:rPr>
        <w:t>院长签署意见，</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6"/>
          <w:sz w:val="24"/>
          <w:szCs w:val="24"/>
        </w:rPr>
        <w:t>经教务处审核，</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6"/>
          <w:sz w:val="24"/>
          <w:szCs w:val="24"/>
        </w:rPr>
        <w:t>报校长会议研究批准。对退学的学生，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由学校出具退学决定书并送交本人，无法送达本人的在校内公告，同时报湖南省教</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育厅高等教育处备案。</w:t>
      </w:r>
    </w:p>
    <w:p>
      <w:pPr>
        <w:spacing w:before="336" w:line="180" w:lineRule="auto"/>
        <w:ind w:firstLine="4251"/>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118</w:t>
      </w:r>
    </w:p>
    <w:p>
      <w:pPr>
        <w:sectPr>
          <w:footerReference r:id="rId122" w:type="default"/>
          <w:pgSz w:w="11905" w:h="16840"/>
          <w:pgMar w:top="1431" w:right="1494" w:bottom="400" w:left="1590" w:header="0" w:footer="0" w:gutter="0"/>
          <w:cols w:space="720" w:num="1"/>
        </w:sectPr>
      </w:pPr>
    </w:p>
    <w:p>
      <w:pPr>
        <w:spacing w:before="4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第四十一条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学生退学的善后事宜，按下列规定办理：</w:t>
      </w:r>
    </w:p>
    <w:p>
      <w:pPr>
        <w:spacing w:before="140" w:line="305" w:lineRule="auto"/>
        <w:ind w:right="12"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1、退学的学生，必须在退学通知送达或公告之日起一周内办理退学离校手续，</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学校负责将其档案退回其家庭所在地、户口按照国家相关规定迁回原户籍地或者家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庭户籍所在地。</w:t>
      </w:r>
    </w:p>
    <w:p>
      <w:pPr>
        <w:spacing w:before="1" w:line="202"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退回家庭户籍所在地。</w:t>
      </w:r>
    </w:p>
    <w:p>
      <w:pPr>
        <w:spacing w:before="145" w:line="248" w:lineRule="auto"/>
        <w:ind w:left="3" w:right="1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2、学生学满一学年以上（含一学年）</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8"/>
          <w:sz w:val="24"/>
          <w:szCs w:val="24"/>
        </w:rPr>
        <w:t>并获得相应学分但未达到毕（结）</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8"/>
          <w:sz w:val="24"/>
          <w:szCs w:val="24"/>
        </w:rPr>
        <w:t>业要求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者，学校发给肄业证书；学习未满一年，发给学习证明。</w:t>
      </w:r>
    </w:p>
    <w:p>
      <w:pPr>
        <w:spacing w:before="165" w:line="305" w:lineRule="auto"/>
        <w:ind w:right="13"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3、退学的学生，</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1"/>
          <w:w w:val="97"/>
          <w:sz w:val="24"/>
          <w:szCs w:val="24"/>
        </w:rPr>
        <w:t>无故超过规定期限两周不办理手续者，</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1"/>
          <w:w w:val="97"/>
          <w:sz w:val="24"/>
          <w:szCs w:val="24"/>
        </w:rPr>
        <w:t>自动取消其学籍，</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7"/>
          <w:sz w:val="24"/>
          <w:szCs w:val="24"/>
        </w:rPr>
        <w:t>不出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具任何证明。</w:t>
      </w:r>
    </w:p>
    <w:p>
      <w:pPr>
        <w:spacing w:before="2" w:line="233" w:lineRule="auto"/>
        <w:ind w:left="5" w:right="16"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4、经确诊为患有严重疾病（包括意外致残）</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的退学学生，由家长或抚养人负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7"/>
          <w:sz w:val="24"/>
          <w:szCs w:val="24"/>
        </w:rPr>
        <w:t>责领回。</w:t>
      </w:r>
    </w:p>
    <w:p>
      <w:pPr>
        <w:spacing w:before="192" w:line="244" w:lineRule="auto"/>
        <w:ind w:right="1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
          <w:sz w:val="24"/>
          <w:szCs w:val="24"/>
        </w:rPr>
        <w:t>学业警示具体参照《吉首大学本科生学业预警管理办法》执行。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学生如对退学处理有异议，可向学校学生申诉处理委员会提出书面申诉，申诉程序</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按照《吉首大学学生申诉管理规定》有关规定办理。</w:t>
      </w:r>
    </w:p>
    <w:p>
      <w:pPr>
        <w:spacing w:before="189" w:line="180" w:lineRule="auto"/>
        <w:ind w:firstLine="293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第八章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3"/>
          <w:sz w:val="24"/>
          <w:szCs w:val="24"/>
        </w:rPr>
        <w:t>毕业、结业与肄业</w:t>
      </w:r>
    </w:p>
    <w:p>
      <w:pPr>
        <w:spacing w:before="125" w:line="272" w:lineRule="auto"/>
        <w:ind w:left="2" w:right="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0"/>
          <w:sz w:val="24"/>
          <w:szCs w:val="24"/>
        </w:rPr>
        <w:t>第四十三条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0"/>
          <w:sz w:val="24"/>
          <w:szCs w:val="24"/>
        </w:rPr>
        <w:t>学生在规定的修业年限内，</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0"/>
          <w:sz w:val="24"/>
          <w:szCs w:val="24"/>
        </w:rPr>
        <w:t>修完本科人才培养方案规定的内容，</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0"/>
          <w:sz w:val="24"/>
          <w:szCs w:val="24"/>
        </w:rPr>
        <w:t>取得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规定的学分，德、智、体、美等方面达到毕业规定要求，准予毕业，并颁发学历证书。</w:t>
      </w:r>
    </w:p>
    <w:p>
      <w:pPr>
        <w:spacing w:before="15" w:line="278" w:lineRule="auto"/>
        <w:ind w:right="1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学生在学校规定年限内，修完培养方案规定内容，因少数课程成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w w:val="99"/>
          <w:sz w:val="24"/>
          <w:szCs w:val="24"/>
        </w:rPr>
        <w:t>绩考核不及格（1—3</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12"/>
          <w:w w:val="99"/>
          <w:sz w:val="24"/>
          <w:szCs w:val="24"/>
        </w:rPr>
        <w:t>门）</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2"/>
          <w:w w:val="99"/>
          <w:sz w:val="24"/>
          <w:szCs w:val="24"/>
        </w:rPr>
        <w:t>或毕业论文（设计）</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2"/>
          <w:w w:val="99"/>
          <w:sz w:val="24"/>
          <w:szCs w:val="24"/>
        </w:rPr>
        <w:t>未达到毕业要求，</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w w:val="99"/>
          <w:sz w:val="24"/>
          <w:szCs w:val="24"/>
        </w:rPr>
        <w:t>未取得规定的毕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业学分，准予结业，学生提出申请，由学校发给结业证书。作结业处理的学生，由</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学生提出申请，允许在离校后一年内返校随有关年级对毕业时不及格课程申请毕业</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重修及重考或补作毕业论文、设计及答辩，课程合格获得规定学分者，准予换发毕</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业证书。逾期不返校重修或重考后仍未达到毕业要求者，不再办理换证手续。结业</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证书换发毕业证书时，毕业证书的毕业时间按换证实际日期填写。</w:t>
      </w:r>
    </w:p>
    <w:p>
      <w:pPr>
        <w:spacing w:before="189" w:line="285" w:lineRule="auto"/>
        <w:ind w:left="2" w:right="1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对获得毕业证书且符合《吉首大学学士学位授予工作细则》规定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的本科生，经本人申请、学院审核，报学校学士学位评定委员会审定通过，可授予</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相应学士学位并颁发学士学位证书。</w:t>
      </w:r>
    </w:p>
    <w:p>
      <w:pPr>
        <w:spacing w:before="3" w:line="20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第四十六条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对退学的学生，学校发给肄业证或写实性学习证明。</w:t>
      </w:r>
    </w:p>
    <w:p>
      <w:pPr>
        <w:spacing w:before="84" w:line="286"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第四十七条</w:t>
      </w:r>
      <w:r>
        <w:rPr>
          <w:rFonts w:ascii="Microsoft JhengHei" w:hAnsi="Microsoft JhengHei" w:eastAsia="Microsoft JhengHei" w:cs="Microsoft JhengHei"/>
          <w:spacing w:val="13"/>
          <w:w w:val="101"/>
          <w:sz w:val="24"/>
          <w:szCs w:val="24"/>
        </w:rPr>
        <w:t xml:space="preserve">    </w:t>
      </w:r>
      <w:r>
        <w:rPr>
          <w:rFonts w:ascii="方正书宋简体" w:hAnsi="方正书宋简体" w:eastAsia="方正书宋简体" w:cs="方正书宋简体"/>
          <w:spacing w:val="-6"/>
          <w:sz w:val="24"/>
          <w:szCs w:val="24"/>
        </w:rPr>
        <w:t>学生提前修完人才培养方案规定全部课程，考核合格并取得相应学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分，经本人书面申请，学院审核，学校同意，并报教育厅批准，准予提前毕业，发给毕</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3"/>
          <w:sz w:val="24"/>
          <w:szCs w:val="24"/>
        </w:rPr>
        <w:t>业证书，符合《吉首大学学士学位授予工作细则》规定条件者，授予相应学士学位。</w:t>
      </w:r>
    </w:p>
    <w:p>
      <w:pPr>
        <w:spacing w:before="330" w:line="180" w:lineRule="auto"/>
        <w:ind w:firstLine="4251"/>
        <w:rPr>
          <w:rFonts w:ascii="Times New Roman" w:hAnsi="Times New Roman" w:eastAsia="Times New Roman" w:cs="Times New Roman"/>
          <w:sz w:val="18"/>
          <w:szCs w:val="18"/>
        </w:rPr>
      </w:pPr>
      <w:r>
        <w:rPr>
          <w:rFonts w:ascii="Times New Roman" w:hAnsi="Times New Roman" w:eastAsia="Times New Roman" w:cs="Times New Roman"/>
          <w:spacing w:val="-9"/>
          <w:w w:val="99"/>
          <w:sz w:val="18"/>
          <w:szCs w:val="18"/>
        </w:rPr>
        <w:t>119</w:t>
      </w:r>
    </w:p>
    <w:p>
      <w:pPr>
        <w:sectPr>
          <w:footerReference r:id="rId123" w:type="default"/>
          <w:pgSz w:w="11905" w:h="16840"/>
          <w:pgMar w:top="1431" w:right="1573" w:bottom="400" w:left="1590" w:header="0" w:footer="0" w:gutter="0"/>
          <w:cols w:space="720" w:num="1"/>
        </w:sectPr>
      </w:pPr>
    </w:p>
    <w:p>
      <w:pPr>
        <w:spacing w:before="404" w:line="180"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第九章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学业证书管理</w:t>
      </w:r>
    </w:p>
    <w:p>
      <w:pPr>
        <w:spacing w:before="122" w:line="273" w:lineRule="auto"/>
        <w:ind w:left="13" w:right="116" w:firstLine="47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学校严格按照招生时确定的办学类型和学习形式，以及学生招生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录取时填报的个人信息，填写、颁发学历证书、学位证书及其他学业证书。</w:t>
      </w:r>
    </w:p>
    <w:p>
      <w:pPr>
        <w:spacing w:before="24" w:line="267" w:lineRule="auto"/>
        <w:ind w:right="11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学生在校期间变更姓名、出生日期等证书需填写的个人信息的，必须有合理、</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充分的理由，并提供有效法定效力的相应证明文件。学校将对学生生源地省级教育</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行政部门及有关部门协助核查的材料进行审查。</w:t>
      </w:r>
    </w:p>
    <w:p>
      <w:pPr>
        <w:spacing w:before="151" w:line="273" w:lineRule="auto"/>
        <w:ind w:right="11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学校严格执行高等教育学历证书电子注册管理制度，每年按规定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对颁发的毕（结）业证书信息进行即时注册，注册结果可在教育部学信平台查询。</w:t>
      </w:r>
    </w:p>
    <w:p>
      <w:pPr>
        <w:spacing w:before="13" w:line="285" w:lineRule="auto"/>
        <w:ind w:left="2" w:right="11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第五十条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对完成本专业学业的同时辅修其他专业并达到该专业辅修要求者，</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取得规定的学分，办理相关手续后，学校发给辅修专业证书。辅修课程合格者，由</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学校出具辅修课程学习证明。</w:t>
      </w:r>
    </w:p>
    <w:p>
      <w:pPr>
        <w:spacing w:before="12" w:line="235" w:lineRule="auto"/>
        <w:ind w:right="11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跨学科门类辅修专业的学生，所修课程及取得的学分达到学士学位管理规定的</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要求，经学校学士学位评定委员会批准，发给辅修专业学士学位证书。</w:t>
      </w:r>
    </w:p>
    <w:p>
      <w:pPr>
        <w:spacing w:before="186" w:line="293"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第五十一条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7"/>
          <w:sz w:val="24"/>
          <w:szCs w:val="24"/>
        </w:rPr>
        <w:t>对违反国家招生规定取得入学资格或者学籍的，</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7"/>
          <w:sz w:val="24"/>
          <w:szCs w:val="24"/>
        </w:rPr>
        <w:t>学校取消其学籍，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不发学历证书、学位证书；已发的学历证书、</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学位证书，学校依据教育部文件《教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育部关于印发&lt;高等学校学生学籍学历电子注册办法&gt;的通知》</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6"/>
          <w:sz w:val="24"/>
          <w:szCs w:val="24"/>
        </w:rPr>
        <w:t>（教学【2014】11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予以撤销。对以作弊、剽窃、抄袭等学术不端行为或者其他不正当手段获得学历证</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书、学位证书的，学校依法予以撤销。</w:t>
      </w:r>
    </w:p>
    <w:p>
      <w:pPr>
        <w:spacing w:before="16" w:line="192" w:lineRule="auto"/>
        <w:ind w:firstLine="458"/>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被撤销的学历证书、学位证书已注册的，</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8"/>
          <w:sz w:val="24"/>
          <w:szCs w:val="24"/>
        </w:rPr>
        <w:t>学校予以注销并报湖南省教育厅宣布无效。</w:t>
      </w:r>
    </w:p>
    <w:p>
      <w:pPr>
        <w:spacing w:before="151" w:line="285" w:lineRule="auto"/>
        <w:ind w:right="113" w:firstLine="45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第五</w:t>
      </w:r>
      <w:r>
        <w:rPr>
          <w:rFonts w:ascii="Microsoft JhengHei" w:hAnsi="Microsoft JhengHei" w:eastAsia="Microsoft JhengHei" w:cs="Microsoft JhengHei"/>
          <w:spacing w:val="-8"/>
          <w:sz w:val="24"/>
          <w:szCs w:val="24"/>
        </w:rPr>
        <w:t>十二条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8"/>
          <w:sz w:val="24"/>
          <w:szCs w:val="24"/>
        </w:rPr>
        <w:t>毕业证书、学士学位证书及结业证书的发放，</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8"/>
          <w:sz w:val="24"/>
          <w:szCs w:val="24"/>
        </w:rPr>
        <w:t>每年进行一次。学历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证书和学位证书遗失或者损坏，经本人申请，</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学校核实后由学校学籍部门出具相应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的证明书。证明书与原证书具有同等效力。</w:t>
      </w:r>
    </w:p>
    <w:p>
      <w:pPr>
        <w:spacing w:line="202"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第十章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99" w:line="281" w:lineRule="auto"/>
        <w:ind w:left="2" w:right="11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第五十三条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4"/>
          <w:sz w:val="24"/>
          <w:szCs w:val="24"/>
        </w:rPr>
        <w:t>我校普通高等学历教育的专科、</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4"/>
          <w:sz w:val="24"/>
          <w:szCs w:val="24"/>
        </w:rPr>
        <w:t>国际交流学生的学籍管理参照本</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规定执行。</w:t>
      </w:r>
    </w:p>
    <w:p>
      <w:pPr>
        <w:spacing w:before="12"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第五十四条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本规定经校务会审定通过，并报湖南省教育厅备案。</w:t>
      </w:r>
    </w:p>
    <w:p>
      <w:pPr>
        <w:spacing w:before="109" w:line="450" w:lineRule="exact"/>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position w:val="12"/>
          <w:sz w:val="24"/>
          <w:szCs w:val="24"/>
        </w:rPr>
        <w:t>第五十五条</w:t>
      </w:r>
      <w:r>
        <w:rPr>
          <w:rFonts w:ascii="Microsoft JhengHei" w:hAnsi="Microsoft JhengHei" w:eastAsia="Microsoft JhengHei" w:cs="Microsoft JhengHei"/>
          <w:spacing w:val="6"/>
          <w:position w:val="12"/>
          <w:sz w:val="24"/>
          <w:szCs w:val="24"/>
        </w:rPr>
        <w:t xml:space="preserve">    </w:t>
      </w:r>
      <w:r>
        <w:rPr>
          <w:rFonts w:ascii="方正书宋简体" w:hAnsi="方正书宋简体" w:eastAsia="方正书宋简体" w:cs="方正书宋简体"/>
          <w:spacing w:val="-3"/>
          <w:position w:val="12"/>
          <w:sz w:val="24"/>
          <w:szCs w:val="24"/>
        </w:rPr>
        <w:t>本规定由吉首大学教务处负责解释。</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第五十六条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7"/>
          <w:sz w:val="24"/>
          <w:szCs w:val="24"/>
        </w:rPr>
        <w:t>本规定自</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2017</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年</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9</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7"/>
          <w:sz w:val="24"/>
          <w:szCs w:val="24"/>
        </w:rPr>
        <w:t>日起执行。</w:t>
      </w:r>
    </w:p>
    <w:p>
      <w:pPr>
        <w:spacing w:line="264" w:lineRule="auto"/>
        <w:rPr>
          <w:rFonts w:ascii="Malgun Gothic"/>
          <w:sz w:val="21"/>
        </w:rPr>
      </w:pPr>
    </w:p>
    <w:p>
      <w:pPr>
        <w:spacing w:line="265" w:lineRule="auto"/>
        <w:rPr>
          <w:rFonts w:ascii="Malgun Gothic"/>
          <w:sz w:val="21"/>
        </w:rPr>
      </w:pPr>
    </w:p>
    <w:p>
      <w:pPr>
        <w:spacing w:line="265" w:lineRule="auto"/>
        <w:rPr>
          <w:rFonts w:ascii="Malgun Gothic"/>
          <w:sz w:val="21"/>
        </w:rPr>
      </w:pPr>
    </w:p>
    <w:p>
      <w:pPr>
        <w:spacing w:line="265" w:lineRule="auto"/>
        <w:rPr>
          <w:rFonts w:ascii="Malgun Gothic"/>
          <w:sz w:val="21"/>
        </w:rPr>
      </w:pPr>
    </w:p>
    <w:p>
      <w:pPr>
        <w:spacing w:before="53"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w:t>
      </w:r>
    </w:p>
    <w:p>
      <w:pPr>
        <w:sectPr>
          <w:footerReference r:id="rId124" w:type="default"/>
          <w:pgSz w:w="11905" w:h="16840"/>
          <w:pgMar w:top="1431" w:right="1472" w:bottom="400" w:left="1590" w:header="0" w:footer="0" w:gutter="0"/>
          <w:cols w:space="720" w:num="1"/>
        </w:sectPr>
      </w:pPr>
    </w:p>
    <w:p>
      <w:pPr>
        <w:spacing w:before="349" w:line="180" w:lineRule="auto"/>
        <w:ind w:firstLine="21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吉首大学学士学位授予工作细则</w:t>
      </w:r>
    </w:p>
    <w:p>
      <w:pPr>
        <w:spacing w:line="295" w:lineRule="auto"/>
        <w:rPr>
          <w:rFonts w:ascii="Malgun Gothic"/>
          <w:sz w:val="21"/>
        </w:rPr>
      </w:pPr>
    </w:p>
    <w:p>
      <w:pPr>
        <w:spacing w:before="1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right="9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第一条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0"/>
          <w:sz w:val="24"/>
          <w:szCs w:val="24"/>
        </w:rPr>
        <w:t>根据《中华人民共和国学位条例》、</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0"/>
          <w:sz w:val="24"/>
          <w:szCs w:val="24"/>
        </w:rPr>
        <w:t>《中华人民共和国学位条例暂行实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施办法》和国务院学位委员会《关于授予成人高等教育本科毕业生学士学位暂行规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定》等规定，结合我校实际，特制定本工作细则。</w:t>
      </w:r>
    </w:p>
    <w:p>
      <w:pPr>
        <w:spacing w:before="202" w:line="282"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3"/>
          <w:sz w:val="24"/>
          <w:szCs w:val="24"/>
        </w:rPr>
        <w:t>我校按文学、理学、工学、管理学、经济学、法学、艺术学、教育学、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历史学、医学、农学等学科门类，</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6"/>
          <w:sz w:val="24"/>
          <w:szCs w:val="24"/>
        </w:rPr>
        <w:t>对拥有学士学位授予权的专业授予相应学士学位。</w:t>
      </w:r>
    </w:p>
    <w:p>
      <w:pPr>
        <w:spacing w:before="12" w:line="281" w:lineRule="auto"/>
        <w:ind w:left="5" w:right="17"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7"/>
          <w:sz w:val="24"/>
          <w:szCs w:val="24"/>
        </w:rPr>
        <w:t>凡遵守国家法律和学校法规，</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7"/>
          <w:sz w:val="24"/>
          <w:szCs w:val="24"/>
        </w:rPr>
        <w:t>并具有一定学术水平的我校本科毕业生，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可以按照本细则的规定授予相应的学士学位。</w:t>
      </w:r>
    </w:p>
    <w:p>
      <w:pPr>
        <w:spacing w:before="12" w:line="197" w:lineRule="auto"/>
        <w:ind w:firstLine="3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学位评定委员会</w:t>
      </w:r>
    </w:p>
    <w:p>
      <w:pPr>
        <w:spacing w:before="110" w:line="282" w:lineRule="auto"/>
        <w:ind w:left="4" w:right="96"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校学位评定委员会属于校学术委员会下设专门机构，办公室挂靠研究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生处，负责学士学位评定工作和日常工作。</w:t>
      </w:r>
    </w:p>
    <w:p>
      <w:pPr>
        <w:spacing w:before="22" w:line="315" w:lineRule="auto"/>
        <w:ind w:left="1" w:right="94"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校学位评定委员会由校学术委员会成员担任，</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设主任委员一名，副主任委员若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干名。主任委员、副主任委员由校长提名并由专门委员会全体委员表决通过或者由</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专门委员会全体委员直接选举产生。</w:t>
      </w:r>
    </w:p>
    <w:p>
      <w:pPr>
        <w:spacing w:before="1" w:line="265" w:lineRule="auto"/>
        <w:ind w:right="8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根据工作需要，</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10"/>
          <w:sz w:val="24"/>
          <w:szCs w:val="24"/>
        </w:rPr>
        <w:t>校学位评定委员会在各学院设立学位评定分委员会，协助校学位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评定委员会工作。分委员会主任、副主任由校学术委员会提名院（所、室）全体教职工</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3"/>
          <w:sz w:val="24"/>
          <w:szCs w:val="24"/>
        </w:rPr>
        <w:t>选举产生或直接由院（所、室）全体教职工选举产生，</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并报校学术委员会备案。</w:t>
      </w:r>
    </w:p>
    <w:p>
      <w:pPr>
        <w:spacing w:before="203" w:line="459" w:lineRule="exact"/>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position w:val="13"/>
          <w:sz w:val="24"/>
          <w:szCs w:val="24"/>
        </w:rPr>
        <w:t>第五条</w:t>
      </w:r>
      <w:r>
        <w:rPr>
          <w:rFonts w:ascii="Microsoft JhengHei" w:hAnsi="Microsoft JhengHei" w:eastAsia="Microsoft JhengHei" w:cs="Microsoft JhengHei"/>
          <w:spacing w:val="2"/>
          <w:w w:val="101"/>
          <w:position w:val="13"/>
          <w:sz w:val="24"/>
          <w:szCs w:val="24"/>
        </w:rPr>
        <w:t xml:space="preserve">    </w:t>
      </w:r>
      <w:r>
        <w:rPr>
          <w:rFonts w:ascii="方正书宋简体" w:hAnsi="方正书宋简体" w:eastAsia="方正书宋简体" w:cs="方正书宋简体"/>
          <w:spacing w:val="-4"/>
          <w:position w:val="13"/>
          <w:sz w:val="24"/>
          <w:szCs w:val="24"/>
        </w:rPr>
        <w:t>校学位评定委员会主要职责：</w:t>
      </w:r>
    </w:p>
    <w:p>
      <w:pPr>
        <w:spacing w:line="204"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1、审定和修改学士学位授予工作细则；</w:t>
      </w:r>
    </w:p>
    <w:p>
      <w:pPr>
        <w:spacing w:before="159"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2、审核通过授予学士学位学生名单；</w:t>
      </w:r>
    </w:p>
    <w:p>
      <w:pPr>
        <w:spacing w:before="174"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3、作出撤销违反规定而授予学士学位的决定；</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4、研究和决定校学位评定委员会人员变更事宜；</w:t>
      </w:r>
    </w:p>
    <w:p>
      <w:pPr>
        <w:spacing w:before="181"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5、研究和决定授予学士学位的有关重要事项。</w:t>
      </w:r>
    </w:p>
    <w:p>
      <w:pPr>
        <w:spacing w:before="17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第六条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5"/>
          <w:sz w:val="24"/>
          <w:szCs w:val="24"/>
        </w:rPr>
        <w:t>院学位评定分委员会主要职责：</w:t>
      </w:r>
    </w:p>
    <w:p>
      <w:pPr>
        <w:spacing w:before="150" w:line="253" w:lineRule="auto"/>
        <w:ind w:left="3" w:right="23"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l、逐个审查本学院本科毕业生学士学位授予资格和条件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4"/>
          <w:sz w:val="24"/>
          <w:szCs w:val="24"/>
        </w:rPr>
        <w:t>（包括在校期间表现、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0"/>
          <w:sz w:val="24"/>
          <w:szCs w:val="24"/>
        </w:rPr>
        <w:t>学业成绩等</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w:t>
      </w:r>
    </w:p>
    <w:p>
      <w:pPr>
        <w:spacing w:before="17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2、向校学位评定委员会提出拟授予学士学位和不授予学士学位的学生名单；</w:t>
      </w:r>
    </w:p>
    <w:p>
      <w:pPr>
        <w:spacing w:before="180"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3、协助校学位评定委员会做好学士学位授予工作。</w:t>
      </w:r>
    </w:p>
    <w:p>
      <w:pPr>
        <w:spacing w:line="305" w:lineRule="auto"/>
        <w:rPr>
          <w:rFonts w:ascii="Malgun Gothic"/>
          <w:sz w:val="21"/>
        </w:rPr>
      </w:pPr>
    </w:p>
    <w:p>
      <w:pPr>
        <w:spacing w:before="52"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121</w:t>
      </w:r>
    </w:p>
    <w:p>
      <w:pPr>
        <w:sectPr>
          <w:footerReference r:id="rId125" w:type="default"/>
          <w:pgSz w:w="11905" w:h="16840"/>
          <w:pgMar w:top="1431" w:right="1491" w:bottom="400" w:left="1590" w:header="0" w:footer="0" w:gutter="0"/>
          <w:cols w:space="720" w:num="1"/>
        </w:sectPr>
      </w:pPr>
    </w:p>
    <w:p>
      <w:pPr>
        <w:spacing w:before="414"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第七条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3"/>
          <w:sz w:val="24"/>
          <w:szCs w:val="24"/>
        </w:rPr>
        <w:t>校学位评定委员会办公室在校学术委员会领导下开展工作，</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3"/>
          <w:sz w:val="24"/>
          <w:szCs w:val="24"/>
        </w:rPr>
        <w:t>其主要职责：</w:t>
      </w:r>
    </w:p>
    <w:p>
      <w:pPr>
        <w:spacing w:before="147" w:line="193"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1、为校学位评定委员会会议召开准备材料，并做好会议组织和相关工作。</w:t>
      </w:r>
    </w:p>
    <w:p>
      <w:pPr>
        <w:spacing w:before="180"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2、负责收集、汇总和审核各学士学位评定分委员会报送的拟授予学士学位人员</w:t>
      </w:r>
    </w:p>
    <w:p>
      <w:pPr>
        <w:spacing w:before="185" w:line="285" w:lineRule="auto"/>
        <w:ind w:left="481" w:right="97" w:hanging="45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的材料，并将审核情况和有关材料整理后报校学位评定委员会审定。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3、负责学士学位证书颁发工作。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4、执行校学士学位评定委员的有关决议，受理学士学位授予工作有关事项。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5、收发上级学位主管部门的文件和通知，</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按上级学位主管部门要求及时报送材</w:t>
      </w:r>
    </w:p>
    <w:p>
      <w:pPr>
        <w:spacing w:before="181"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料。做好学士学位授予工作文字资料的整理和存档工作。</w:t>
      </w:r>
    </w:p>
    <w:p>
      <w:pPr>
        <w:spacing w:before="191"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6、做好校学位评定委员会交办的其他各项工作。</w:t>
      </w:r>
    </w:p>
    <w:p>
      <w:pPr>
        <w:spacing w:before="181" w:line="180" w:lineRule="auto"/>
        <w:ind w:firstLine="257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授予学士学位条件和要求</w:t>
      </w:r>
    </w:p>
    <w:p>
      <w:pPr>
        <w:spacing w:before="138"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第八条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3"/>
          <w:sz w:val="24"/>
          <w:szCs w:val="24"/>
        </w:rPr>
        <w:t>凡具备下列条件的全日制应届本科毕业生，可授予学士学位：</w:t>
      </w:r>
    </w:p>
    <w:p>
      <w:pPr>
        <w:spacing w:before="151"/>
        <w:ind w:left="1" w:right="18"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1、坚持党的四项基本原则，</w:t>
      </w:r>
      <w:r>
        <w:rPr>
          <w:rFonts w:ascii="方正书宋简体" w:hAnsi="方正书宋简体" w:eastAsia="方正书宋简体" w:cs="方正书宋简体"/>
          <w:spacing w:val="123"/>
          <w:sz w:val="24"/>
          <w:szCs w:val="24"/>
        </w:rPr>
        <w:t xml:space="preserve"> </w:t>
      </w:r>
      <w:r>
        <w:rPr>
          <w:rFonts w:ascii="方正书宋简体" w:hAnsi="方正书宋简体" w:eastAsia="方正书宋简体" w:cs="方正书宋简体"/>
          <w:spacing w:val="-12"/>
          <w:w w:val="99"/>
          <w:sz w:val="24"/>
          <w:szCs w:val="24"/>
        </w:rPr>
        <w:t>拥护社会主义制度，</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2"/>
          <w:w w:val="99"/>
          <w:sz w:val="24"/>
          <w:szCs w:val="24"/>
        </w:rPr>
        <w:t>愿意为社会主义建设事业服务，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遵纪守法，品行端正，诚实守信。</w:t>
      </w:r>
    </w:p>
    <w:p>
      <w:pPr>
        <w:spacing w:before="215"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2、完成本专业培养计划规定的各项内容，经审核准予毕业。</w:t>
      </w:r>
    </w:p>
    <w:p>
      <w:pPr>
        <w:spacing w:before="196" w:line="273" w:lineRule="auto"/>
        <w:ind w:left="4" w:right="95"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3、课程学习、毕业设计（论文）、重要实践教学环节的成绩表明已较好掌握本</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学科的基本理论、专业知识和基本技能，并具有从事科学研究工作或担负专门技术</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工作的初步能力，累计课程平均学分绩点在</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2.0</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及以上。</w:t>
      </w:r>
    </w:p>
    <w:p>
      <w:pPr>
        <w:spacing w:before="179" w:line="315" w:lineRule="auto"/>
        <w:ind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4、初步掌握至少一门外国语，</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根据学生类别及其专业按学校规定的外语教学要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求参加全国大学英语四级考试、高等学校英语应用能力考试，各类学生学士学位英</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4"/>
          <w:sz w:val="24"/>
          <w:szCs w:val="24"/>
        </w:rPr>
        <w:t>语成绩的合格分数要求如下：</w:t>
      </w:r>
    </w:p>
    <w:p>
      <w:pPr>
        <w:spacing w:before="3" w:line="310" w:lineRule="auto"/>
        <w:ind w:lef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各类学生根据学校规定的外语教学要求参加相应级别的全国统一考试。非艺术、</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
          <w:sz w:val="24"/>
          <w:szCs w:val="24"/>
        </w:rPr>
        <w:t>体育类学生，参加全国大学英语四级考试（CET4）成绩达到</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425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分以上的为合格；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艺术、体育类学生，参加全国英语能力考试或学校组织英语三级考试成绩合格。</w:t>
      </w:r>
    </w:p>
    <w:p>
      <w:pPr>
        <w:spacing w:before="21" w:line="316" w:lineRule="auto"/>
        <w:ind w:left="4" w:right="9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全国统考成绩未达上述要求的，以外语教学要求的最高级别课程的平均成绩与</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全国统考成绩（换算为百分制成绩）进行综合评定，计算公式是：</w:t>
      </w:r>
    </w:p>
    <w:p>
      <w:pPr>
        <w:spacing w:before="33" w:line="180" w:lineRule="auto"/>
        <w:ind w:firstLine="326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M=A×50%＋B×50%</w:t>
      </w:r>
    </w:p>
    <w:p>
      <w:pPr>
        <w:spacing w:before="160" w:line="315" w:lineRule="auto"/>
        <w:ind w:left="4" w:right="4"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公式中，</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M</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sz w:val="24"/>
          <w:szCs w:val="24"/>
        </w:rPr>
        <w:t>代表学生的学士学位英语成绩，</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A</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sz w:val="24"/>
          <w:szCs w:val="24"/>
        </w:rPr>
        <w:t>代表外语教学要求的最高级别课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程的平均成绩，</w:t>
      </w:r>
      <w:r>
        <w:rPr>
          <w:rFonts w:ascii="方正书宋简体" w:hAnsi="方正书宋简体" w:eastAsia="方正书宋简体" w:cs="方正书宋简体"/>
          <w:spacing w:val="83"/>
          <w:sz w:val="24"/>
          <w:szCs w:val="24"/>
        </w:rPr>
        <w:t xml:space="preserve"> </w:t>
      </w:r>
      <w:r>
        <w:rPr>
          <w:rFonts w:ascii="方正书宋简体" w:hAnsi="方正书宋简体" w:eastAsia="方正书宋简体" w:cs="方正书宋简体"/>
          <w:spacing w:val="-11"/>
          <w:sz w:val="24"/>
          <w:szCs w:val="24"/>
        </w:rPr>
        <w:t>B</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1"/>
          <w:sz w:val="24"/>
          <w:szCs w:val="24"/>
        </w:rPr>
        <w:t>代表历次全国统考中分数最高的一次成绩（换算为百分制成绩）</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w:t>
      </w:r>
    </w:p>
    <w:p>
      <w:pPr>
        <w:spacing w:before="1" w:line="202"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M≥60</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为合格。</w:t>
      </w:r>
    </w:p>
    <w:p>
      <w:pPr>
        <w:spacing w:before="148"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3"/>
          <w:sz w:val="24"/>
          <w:szCs w:val="24"/>
        </w:rPr>
        <w:t>凡应届本科毕业生，有下列情形之一者，不授予学士学位：</w:t>
      </w:r>
    </w:p>
    <w:p>
      <w:pPr>
        <w:spacing w:line="278" w:lineRule="auto"/>
        <w:rPr>
          <w:rFonts w:ascii="Malgun Gothic"/>
          <w:sz w:val="21"/>
        </w:rPr>
      </w:pPr>
    </w:p>
    <w:p>
      <w:pPr>
        <w:spacing w:before="53" w:line="180" w:lineRule="auto"/>
        <w:ind w:firstLine="42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122</w:t>
      </w:r>
    </w:p>
    <w:p>
      <w:pPr>
        <w:sectPr>
          <w:footerReference r:id="rId126" w:type="default"/>
          <w:pgSz w:w="11905" w:h="16840"/>
          <w:pgMar w:top="1431" w:right="1490" w:bottom="400" w:left="1588" w:header="0" w:footer="0" w:gutter="0"/>
          <w:cols w:space="720" w:num="1"/>
        </w:sectPr>
      </w:pPr>
    </w:p>
    <w:p>
      <w:pPr>
        <w:spacing w:before="429" w:line="252" w:lineRule="auto"/>
        <w:ind w:right="138"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1、在校期间，</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1"/>
          <w:w w:val="97"/>
          <w:sz w:val="24"/>
          <w:szCs w:val="24"/>
        </w:rPr>
        <w:t>凡严重违背四项基本原则，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7"/>
          <w:sz w:val="24"/>
          <w:szCs w:val="24"/>
        </w:rPr>
        <w:t>违反国家法令，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7"/>
          <w:sz w:val="24"/>
          <w:szCs w:val="24"/>
        </w:rPr>
        <w:t>品质恶劣而受到法纪</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惩处者；</w:t>
      </w:r>
    </w:p>
    <w:p>
      <w:pPr>
        <w:spacing w:before="174"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2、未获得毕业证书者；</w:t>
      </w:r>
    </w:p>
    <w:p>
      <w:pPr>
        <w:spacing w:before="174" w:line="193"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3、考试作弊者；</w:t>
      </w:r>
    </w:p>
    <w:p>
      <w:pPr>
        <w:spacing w:before="174"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4、累计课程平均学分绩点低于</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
          <w:sz w:val="24"/>
          <w:szCs w:val="24"/>
        </w:rPr>
        <w:t>2.0</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或平均成绩低于</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70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分者；</w:t>
      </w:r>
    </w:p>
    <w:p>
      <w:pPr>
        <w:spacing w:before="174"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5、学士学位外语成绩不合格者；</w:t>
      </w:r>
    </w:p>
    <w:p>
      <w:pPr>
        <w:spacing w:before="179"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6、因其他问题，校学位评定委员会审定不授予学士学位者。</w:t>
      </w:r>
    </w:p>
    <w:p>
      <w:pPr>
        <w:spacing w:before="182" w:line="297" w:lineRule="auto"/>
        <w:ind w:right="13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6"/>
          <w:sz w:val="24"/>
          <w:szCs w:val="24"/>
        </w:rPr>
        <w:t>学生因平均学分绩点和学位外语成绩未达到</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6"/>
          <w:sz w:val="24"/>
          <w:szCs w:val="24"/>
        </w:rPr>
        <w:t>而未获学士学位者，</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申请延缓毕业，向学校提出申请重修，在学校规定的学制年限内，如经过重修，平</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0"/>
          <w:sz w:val="24"/>
          <w:szCs w:val="24"/>
        </w:rPr>
        <w:t>均学分绩点达到</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0"/>
          <w:sz w:val="24"/>
          <w:szCs w:val="24"/>
        </w:rPr>
        <w:t>2.0，</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0"/>
          <w:sz w:val="24"/>
          <w:szCs w:val="24"/>
        </w:rPr>
        <w:t>可向学校提出毕业和授予学士学位的申请，</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经学士学位工作办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公室审核后，提交校学位评定委员会讨论审批，通过者可授予学士学位。</w:t>
      </w:r>
    </w:p>
    <w:p>
      <w:pPr>
        <w:spacing w:before="13" w:line="281" w:lineRule="auto"/>
        <w:ind w:left="4" w:right="181"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学生因考试作弊，如按期完成学业，并确有以下突出表现之一者，</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在完成学业后可向学校提出授予学士学位的申请。</w:t>
      </w:r>
    </w:p>
    <w:p>
      <w:pPr>
        <w:spacing w:before="14" w:line="199"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1、在校期间专业成绩排名达到本专业前</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20%者；</w:t>
      </w:r>
    </w:p>
    <w:p>
      <w:pPr>
        <w:spacing w:before="178" w:line="253" w:lineRule="auto"/>
        <w:ind w:left="2" w:right="13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2、在学校组织参加的省级及以上的学科专业、科技创新、艺术和体育竞赛中获</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得三等奖及以上奖项（以个人获奖证书或文件为依据）者；</w:t>
      </w:r>
    </w:p>
    <w:p>
      <w:pPr>
        <w:spacing w:before="174" w:line="193"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3、考取硕士研究生；</w:t>
      </w:r>
    </w:p>
    <w:p>
      <w:pPr>
        <w:spacing w:before="179"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4、经校学位评定委员会审定通过的其他相关情况。</w:t>
      </w:r>
    </w:p>
    <w:p>
      <w:pPr>
        <w:spacing w:before="192"/>
        <w:ind w:left="1" w:right="14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学生提出申请后，经学生所在学院学士学位评定分委员会同意，提交校学位评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定委员会讨论审核，通过者可授予学士学位。</w:t>
      </w:r>
    </w:p>
    <w:p>
      <w:pPr>
        <w:spacing w:before="205" w:line="281" w:lineRule="auto"/>
        <w:ind w:left="22" w:firstLine="467"/>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第十二条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8"/>
          <w:sz w:val="24"/>
          <w:szCs w:val="24"/>
        </w:rPr>
        <w:t>修读双学士学位，</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8"/>
          <w:sz w:val="24"/>
          <w:szCs w:val="24"/>
        </w:rPr>
        <w:t>达到</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8"/>
          <w:sz w:val="24"/>
          <w:szCs w:val="24"/>
        </w:rPr>
        <w:t>《吉首大学辅修专业与双学士学位管理办法》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的规定要求，参照本细则授予辅修专业学士学位。</w:t>
      </w:r>
    </w:p>
    <w:p>
      <w:pPr>
        <w:spacing w:before="13" w:line="281" w:lineRule="auto"/>
        <w:ind w:left="3" w:right="13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我校各类成人教育、高等教育自学考试的本科毕业生须达到以下条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件，可申请并授予相应学士学位：</w:t>
      </w:r>
    </w:p>
    <w:p>
      <w:pPr>
        <w:spacing w:before="20" w:line="193"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1、思想政治标准、业务标准达到本细则第八条规定要求；</w:t>
      </w:r>
    </w:p>
    <w:p>
      <w:pPr>
        <w:spacing w:before="178" w:line="315" w:lineRule="auto"/>
        <w:ind w:left="6" w:right="4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2、须参加湖南省学位办组织的成人学士学位外语统一考试、PETS3</w:t>
      </w:r>
      <w:r>
        <w:rPr>
          <w:rFonts w:ascii="方正书宋简体" w:hAnsi="方正书宋简体" w:eastAsia="方正书宋简体" w:cs="方正书宋简体"/>
          <w:spacing w:val="112"/>
          <w:sz w:val="24"/>
          <w:szCs w:val="24"/>
        </w:rPr>
        <w:t xml:space="preserve"> </w:t>
      </w:r>
      <w:r>
        <w:rPr>
          <w:rFonts w:ascii="方正书宋简体" w:hAnsi="方正书宋简体" w:eastAsia="方正书宋简体" w:cs="方正书宋简体"/>
          <w:spacing w:val="-11"/>
          <w:w w:val="98"/>
          <w:sz w:val="24"/>
          <w:szCs w:val="24"/>
        </w:rPr>
        <w:t>及以上等级考试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或者</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8"/>
          <w:sz w:val="24"/>
          <w:szCs w:val="24"/>
        </w:rPr>
        <w:t>CET4</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18"/>
          <w:sz w:val="24"/>
          <w:szCs w:val="24"/>
        </w:rPr>
        <w:t>及以上等级考试并合格（成人教育毕业生毕业后一年内参加考试成绩有效）</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8"/>
          <w:sz w:val="24"/>
          <w:szCs w:val="24"/>
        </w:rPr>
        <w:t>。</w:t>
      </w:r>
    </w:p>
    <w:p>
      <w:pPr>
        <w:spacing w:before="2" w:line="224" w:lineRule="auto"/>
        <w:ind w:left="2934" w:right="377" w:hanging="2446"/>
        <w:rPr>
          <w:rFonts w:ascii="Microsoft JhengHei" w:hAnsi="Microsoft JhengHei" w:eastAsia="Microsoft JhengHei" w:cs="Microsoft JhengHei"/>
          <w:sz w:val="24"/>
          <w:szCs w:val="24"/>
        </w:rPr>
      </w:pPr>
      <w:r>
        <w:rPr>
          <w:rFonts w:ascii="方正书宋简体" w:hAnsi="方正书宋简体" w:eastAsia="方正书宋简体" w:cs="方正书宋简体"/>
          <w:spacing w:val="-2"/>
          <w:sz w:val="24"/>
          <w:szCs w:val="24"/>
        </w:rPr>
        <w:t>3、专业主干课或学位课平均成绩、毕业论文（设计）成绩达到良好及以上。</w:t>
      </w:r>
      <w:r>
        <w:rPr>
          <w:rFonts w:ascii="方正书宋简体" w:hAnsi="方正书宋简体" w:eastAsia="方正书宋简体" w:cs="方正书宋简体"/>
          <w:spacing w:val="29"/>
          <w:sz w:val="24"/>
          <w:szCs w:val="24"/>
        </w:rPr>
        <w:t xml:space="preserve"> </w:t>
      </w: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学士学位授予程序</w:t>
      </w:r>
    </w:p>
    <w:p>
      <w:pPr>
        <w:spacing w:before="181"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普通全日制本科毕业生学士学位授予程序</w:t>
      </w:r>
    </w:p>
    <w:p>
      <w:pPr>
        <w:spacing w:line="279" w:lineRule="auto"/>
        <w:rPr>
          <w:rFonts w:ascii="Malgun Gothic"/>
          <w:sz w:val="21"/>
        </w:rPr>
      </w:pPr>
    </w:p>
    <w:p>
      <w:pPr>
        <w:spacing w:before="52" w:line="180" w:lineRule="auto"/>
        <w:ind w:firstLine="424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123</w:t>
      </w:r>
    </w:p>
    <w:p>
      <w:pPr>
        <w:sectPr>
          <w:footerReference r:id="rId127" w:type="default"/>
          <w:pgSz w:w="11905" w:h="16840"/>
          <w:pgMar w:top="1431" w:right="1448" w:bottom="400" w:left="1589" w:header="0" w:footer="0" w:gutter="0"/>
          <w:cols w:space="720" w:num="1"/>
        </w:sectPr>
      </w:pPr>
    </w:p>
    <w:p>
      <w:pPr>
        <w:spacing w:before="423"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1、学生本人提出申请，并按规定填报《吉首大学学士学位申请审批表》；</w:t>
      </w:r>
    </w:p>
    <w:p>
      <w:pPr>
        <w:spacing w:before="177" w:line="274" w:lineRule="auto"/>
        <w:ind w:right="77"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2、由所在学院学士学位评定分委员会对其政治思想表现、学业成绩和毕业生鉴</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定等材料进行初审，提出拟授予学士学位和不授予学士学位的学生名单，并上报校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学士学位工作办公室；</w:t>
      </w:r>
    </w:p>
    <w:p>
      <w:pPr>
        <w:spacing w:before="180" w:line="252" w:lineRule="auto"/>
        <w:ind w:left="3" w:right="7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3、校学士学位工作办公室对各学院本科毕业生学士学位授予名单汇总复核，</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报校学位评定委员会；</w:t>
      </w:r>
    </w:p>
    <w:p>
      <w:pPr>
        <w:spacing w:before="180" w:line="237" w:lineRule="auto"/>
        <w:ind w:left="10" w:right="79" w:firstLine="46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4、校学士学位评定委员按规定评审，</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确立学士学位授予名单，</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颁发学士学位证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书。</w:t>
      </w:r>
    </w:p>
    <w:p>
      <w:pPr>
        <w:spacing w:before="20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1"/>
          <w:sz w:val="24"/>
          <w:szCs w:val="24"/>
        </w:rPr>
        <w:t>成人本科教育学士学位授予程序</w:t>
      </w:r>
    </w:p>
    <w:p>
      <w:pPr>
        <w:spacing w:before="149" w:line="274" w:lineRule="auto"/>
        <w:ind w:left="2" w:right="79"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1、学生本人提出申请，</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7"/>
          <w:sz w:val="24"/>
          <w:szCs w:val="24"/>
        </w:rPr>
        <w:t>填报《吉首大学成人教育本科毕业生学士学位申请审批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表》，</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3"/>
          <w:sz w:val="24"/>
          <w:szCs w:val="24"/>
        </w:rPr>
        <w:t>成人教育主管部门按本条例第八条和第十三条规定初步审定，</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3"/>
          <w:sz w:val="24"/>
          <w:szCs w:val="24"/>
        </w:rPr>
        <w:t>并向校学士学位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工作办公室推荐；</w:t>
      </w:r>
    </w:p>
    <w:p>
      <w:pPr>
        <w:spacing w:before="178" w:line="253" w:lineRule="auto"/>
        <w:ind w:left="5" w:right="79"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2、校学士学位工作办公室按要求对其进行资格审查，</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并对申请者的政治思想表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现、学业情况等方面进行复审；</w:t>
      </w:r>
    </w:p>
    <w:p>
      <w:pPr>
        <w:spacing w:before="175"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3、组织专家对通过资格审查的申请者进行审核，并报校学位评定委员会；</w:t>
      </w:r>
    </w:p>
    <w:p>
      <w:pPr>
        <w:spacing w:before="179"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4、校学位评定委员会评审，确定学士学位授予者名单，颁发学士学位证书。</w:t>
      </w:r>
    </w:p>
    <w:p>
      <w:pPr>
        <w:spacing w:before="180"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第五章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9" w:line="281"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7"/>
          <w:sz w:val="24"/>
          <w:szCs w:val="24"/>
        </w:rPr>
        <w:t>第十六条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7"/>
          <w:sz w:val="24"/>
          <w:szCs w:val="24"/>
        </w:rPr>
        <w:t>本科毕业生学士学位授予工作，</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7"/>
          <w:sz w:val="24"/>
          <w:szCs w:val="24"/>
        </w:rPr>
        <w:t>要坚持标准，</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7"/>
          <w:sz w:val="24"/>
          <w:szCs w:val="24"/>
        </w:rPr>
        <w:t>严格要求，</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7"/>
          <w:sz w:val="24"/>
          <w:szCs w:val="24"/>
        </w:rPr>
        <w:t>公正合理，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保证质量。</w:t>
      </w:r>
    </w:p>
    <w:p>
      <w:pPr>
        <w:spacing w:before="12"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在学士学位授予过程中有作弊行为的，经查实和校学位评定委员会</w:t>
      </w:r>
    </w:p>
    <w:p>
      <w:pPr>
        <w:spacing w:before="129" w:line="180"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审议后，撤销所授予的学士学位。</w:t>
      </w:r>
    </w:p>
    <w:p>
      <w:pPr>
        <w:spacing w:before="177" w:line="282" w:lineRule="auto"/>
        <w:ind w:left="3" w:right="1"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第十八条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2"/>
          <w:sz w:val="24"/>
          <w:szCs w:val="24"/>
        </w:rPr>
        <w:t>学生学士学位证书需妥善保管，</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sz w:val="24"/>
          <w:szCs w:val="24"/>
        </w:rPr>
        <w:t>遗失或损坏不予补发，</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经本人申请，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学校核实后可出具相关证明书，证明书与原证书具有同等效力。</w:t>
      </w:r>
    </w:p>
    <w:p>
      <w:pPr>
        <w:spacing w:before="12" w:line="260" w:lineRule="auto"/>
        <w:ind w:left="489" w:right="139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第十九条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经校学位评定委员会授权，本细则由教务处负责解释。</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2"/>
          <w:sz w:val="24"/>
          <w:szCs w:val="24"/>
        </w:rPr>
        <w:t>第二十条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本细则自校学位评定委员会讨论通过之日起施行。</w:t>
      </w: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before="52"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124</w:t>
      </w:r>
    </w:p>
    <w:p>
      <w:pPr>
        <w:sectPr>
          <w:footerReference r:id="rId128" w:type="default"/>
          <w:pgSz w:w="11905" w:h="16840"/>
          <w:pgMar w:top="1431" w:right="1507" w:bottom="400" w:left="1590" w:header="0" w:footer="0" w:gutter="0"/>
          <w:cols w:space="720" w:num="1"/>
        </w:sectPr>
      </w:pPr>
    </w:p>
    <w:p>
      <w:pPr>
        <w:spacing w:before="349" w:line="180" w:lineRule="auto"/>
        <w:ind w:firstLine="213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吉首大学本科生转专业管理办法</w:t>
      </w:r>
    </w:p>
    <w:p>
      <w:pPr>
        <w:spacing w:line="315" w:lineRule="auto"/>
        <w:rPr>
          <w:rFonts w:ascii="Malgun Gothic"/>
          <w:sz w:val="21"/>
        </w:rPr>
      </w:pPr>
    </w:p>
    <w:p>
      <w:pPr>
        <w:spacing w:before="85" w:line="265" w:lineRule="auto"/>
        <w:ind w:left="1" w:right="98"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为进一步调动学生学习的自觉性与积极性，合理利用教学资源，加强对本科生</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转专业工作的规范管理，根据教育部、湖南省教育厅有关精神及《吉首大学本科生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学籍管理规定》，特制定本办法。</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一、转专业的基本原则</w:t>
      </w:r>
    </w:p>
    <w:p>
      <w:pPr>
        <w:spacing w:before="149" w:line="274" w:lineRule="auto"/>
        <w:ind w:right="87"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1、适度控制原则。学生转专业工作应以符合各专业现有办学条件和保证各专业正常</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1"/>
          <w:sz w:val="24"/>
          <w:szCs w:val="24"/>
        </w:rPr>
        <w:t>教学秩序为前提，适度控制转专业的比例，各专业转出或接收转入学生的数量控制在该</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3"/>
          <w:sz w:val="24"/>
          <w:szCs w:val="24"/>
        </w:rPr>
        <w:t>专业该年级学生总数的</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3"/>
          <w:sz w:val="24"/>
          <w:szCs w:val="24"/>
        </w:rPr>
        <w:t>10%以内，班级人数偏少的专业接收转专业的比例适当放宽。</w:t>
      </w:r>
    </w:p>
    <w:p>
      <w:pPr>
        <w:spacing w:before="173" w:line="304" w:lineRule="auto"/>
        <w:ind w:left="1" w:right="9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2、个人自愿原则。开展学生转专业工作，目的是因材施教，尊重学生的志向、</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
          <w:sz w:val="24"/>
          <w:szCs w:val="24"/>
        </w:rPr>
        <w:t>爱好，充分发挥学生的个性、专长，进一步调动学生学习的主动性和积极性。</w:t>
      </w:r>
    </w:p>
    <w:p>
      <w:pPr>
        <w:spacing w:before="36"/>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3、公正、公平、公开和规范性原则。学生转专业是一项政策性很强的工作，必须严</w:t>
      </w:r>
      <w:r>
        <w:rPr>
          <w:rFonts w:ascii="方正书宋简体" w:hAnsi="方正书宋简体" w:eastAsia="方正书宋简体" w:cs="方正书宋简体"/>
          <w:spacing w:val="38"/>
          <w:w w:val="102"/>
          <w:sz w:val="24"/>
          <w:szCs w:val="24"/>
        </w:rPr>
        <w:t xml:space="preserve">  </w:t>
      </w:r>
      <w:r>
        <w:rPr>
          <w:rFonts w:ascii="方正书宋简体" w:hAnsi="方正书宋简体" w:eastAsia="方正书宋简体" w:cs="方正书宋简体"/>
          <w:spacing w:val="-23"/>
          <w:w w:val="98"/>
          <w:sz w:val="24"/>
          <w:szCs w:val="24"/>
        </w:rPr>
        <w:t>格遵守学校有关规定，</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23"/>
          <w:w w:val="98"/>
          <w:sz w:val="24"/>
          <w:szCs w:val="24"/>
        </w:rPr>
        <w:t>按照公正、公平、公开的原则组织转入专业的选拔考核，</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3"/>
          <w:w w:val="98"/>
          <w:sz w:val="24"/>
          <w:szCs w:val="24"/>
        </w:rPr>
        <w:t>择优录取。</w:t>
      </w:r>
    </w:p>
    <w:p>
      <w:pPr>
        <w:spacing w:before="204"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二、转专业的条件</w:t>
      </w:r>
    </w:p>
    <w:p>
      <w:pPr>
        <w:spacing w:before="150"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（一）学生转专业的申请条件</w:t>
      </w:r>
    </w:p>
    <w:p>
      <w:pPr>
        <w:spacing w:before="193"/>
        <w:ind w:left="4" w:right="99"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1、全日制本科一、二年级在读学生，</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1"/>
          <w:w w:val="98"/>
          <w:sz w:val="24"/>
          <w:szCs w:val="24"/>
        </w:rPr>
        <w:t>身心健康，</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符合转入专业（专业方向）</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1"/>
          <w:w w:val="98"/>
          <w:sz w:val="24"/>
          <w:szCs w:val="24"/>
        </w:rPr>
        <w:t>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身体条件的要求，在校期间未受过任何纪律处分。</w:t>
      </w:r>
    </w:p>
    <w:p>
      <w:pPr>
        <w:spacing w:before="202" w:line="307" w:lineRule="auto"/>
        <w:ind w:right="9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2、品学优良，</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学习成绩位于专业排名前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20%；</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0"/>
          <w:sz w:val="24"/>
          <w:szCs w:val="24"/>
        </w:rPr>
        <w:t>新生转专业高考成绩不低于拟转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入专业当年同一生源地最低录取分数。</w:t>
      </w:r>
    </w:p>
    <w:p>
      <w:pPr>
        <w:spacing w:before="38"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3、少数学生确有兴趣和专长，转专业更能发挥其专长者。</w:t>
      </w:r>
    </w:p>
    <w:p>
      <w:pPr>
        <w:spacing w:before="194" w:line="315" w:lineRule="auto"/>
        <w:ind w:left="6" w:right="99" w:firstLine="47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4、学生入学后发现某种疾病或生理缺陷，</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经学校指定的医疗单位检查，</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证明不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能在原专业学习，但尚能在本校其它专业学习者。</w:t>
      </w:r>
    </w:p>
    <w:p>
      <w:pPr>
        <w:spacing w:before="1" w:line="202"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5、经学校组织认定，学生确有某种特殊困难，转专业更有利于继续学习者。</w:t>
      </w:r>
    </w:p>
    <w:p>
      <w:pPr>
        <w:spacing w:before="160" w:line="315" w:lineRule="auto"/>
        <w:ind w:left="30" w:right="99" w:firstLine="45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6、学生保留学籍或休学期满复学，</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如下一年级无原所学专业的对应年级者，</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申请转入相近专业。</w:t>
      </w:r>
    </w:p>
    <w:p>
      <w:pPr>
        <w:spacing w:before="2" w:line="315" w:lineRule="auto"/>
        <w:ind w:right="9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7、因休学创业或退役后复学的学生，</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6"/>
          <w:sz w:val="24"/>
          <w:szCs w:val="24"/>
        </w:rPr>
        <w:t>因自身情况需要转专业并且符合教育部规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定转专业时限的，可优先考虑转专业。</w:t>
      </w:r>
    </w:p>
    <w:p>
      <w:pPr>
        <w:spacing w:line="204"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（二）学生转专业限制条件</w:t>
      </w:r>
    </w:p>
    <w:p>
      <w:pPr>
        <w:spacing w:before="159" w:line="180"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1、本科三年级（含三年级）以上，专科二年级（含二年级）以上。</w:t>
      </w:r>
    </w:p>
    <w:p>
      <w:pPr>
        <w:spacing w:before="194"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2、经转学进入我校学习者，或已有一次转专业经历者。</w:t>
      </w:r>
    </w:p>
    <w:p>
      <w:pPr>
        <w:spacing w:line="307" w:lineRule="auto"/>
        <w:rPr>
          <w:rFonts w:ascii="Malgun Gothic"/>
          <w:sz w:val="21"/>
        </w:rPr>
      </w:pPr>
    </w:p>
    <w:p>
      <w:pPr>
        <w:spacing w:before="51" w:line="180" w:lineRule="auto"/>
        <w:ind w:firstLine="4247"/>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125</w:t>
      </w:r>
    </w:p>
    <w:p>
      <w:pPr>
        <w:sectPr>
          <w:footerReference r:id="rId129" w:type="default"/>
          <w:pgSz w:w="11905" w:h="16840"/>
          <w:pgMar w:top="1431" w:right="1487" w:bottom="400" w:left="1591" w:header="0" w:footer="0" w:gutter="0"/>
          <w:cols w:space="720" w:num="1"/>
        </w:sectPr>
      </w:pPr>
    </w:p>
    <w:p>
      <w:pPr>
        <w:spacing w:before="429"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3、招生录取时确定为定向生或委托培养者。</w:t>
      </w:r>
    </w:p>
    <w:p>
      <w:pPr>
        <w:spacing w:before="190" w:line="315" w:lineRule="auto"/>
        <w:ind w:left="3" w:right="3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4、招生录取时有特殊要求或以特殊形式招生录取者（如普通专科升入本科、单</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9"/>
          <w:sz w:val="24"/>
          <w:szCs w:val="24"/>
        </w:rPr>
        <w:t>独招生、对口升学的学生等）。</w:t>
      </w:r>
    </w:p>
    <w:p>
      <w:pPr>
        <w:spacing w:before="1" w:line="204"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5、文科类、理工类、艺体类学生跨类别转专业者。</w:t>
      </w:r>
    </w:p>
    <w:p>
      <w:pPr>
        <w:spacing w:before="160"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6、在校期间考试作弊或因学籍成绩问题予以退学处理者。</w:t>
      </w:r>
    </w:p>
    <w:p>
      <w:pPr>
        <w:spacing w:before="194"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7、无正当理由者。</w:t>
      </w:r>
    </w:p>
    <w:p>
      <w:pPr>
        <w:spacing w:before="178"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三、组织机构及其职责</w:t>
      </w:r>
    </w:p>
    <w:p>
      <w:pPr>
        <w:spacing w:before="151" w:line="315" w:lineRule="auto"/>
        <w:ind w:left="1" w:right="4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学校和各学院分别成立本科生转专业工作领导小组，负责本科生转专业工作的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组织协调工作。</w:t>
      </w:r>
    </w:p>
    <w:p>
      <w:pPr>
        <w:spacing w:before="2" w:line="315" w:lineRule="auto"/>
        <w:ind w:right="37"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1、学校转专业工作领导小组由分管教学工作的校领导，</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以及教务处、学生工作</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部、纪检监察处等部门负责人组成。领导小组下设办公室，挂靠教务处。具体职责</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为：制定转专业管理办法，确定工作日程，审批学院工作方案，组织全校性转专业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选拔考核，审批学院拟接收学生名单等。</w:t>
      </w:r>
    </w:p>
    <w:p>
      <w:pPr>
        <w:spacing w:before="4" w:line="312" w:lineRule="auto"/>
        <w:ind w:right="3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2、各学院转专业工作领导小组由院长、分管教学、学生工作的院领导，</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7"/>
          <w:sz w:val="24"/>
          <w:szCs w:val="24"/>
        </w:rPr>
        <w:t>以及学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院教务办、学工办负责人和相关专业负责人等组成。具体职责为：制定本学院转专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业计划、接收条件、考核内容、考核方式等工作方案；接受学生咨询与报名；组织</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考核以及提出拟接收学生名单等。并报教务处备案。</w:t>
      </w:r>
    </w:p>
    <w:p>
      <w:pPr>
        <w:spacing w:before="3" w:line="202"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四、转专业的办理程序</w:t>
      </w:r>
    </w:p>
    <w:p>
      <w:pPr>
        <w:spacing w:before="113"/>
        <w:ind w:left="4" w:right="8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学生转专业的申请、考核和审批工作集中在每年</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4"/>
          <w:sz w:val="24"/>
          <w:szCs w:val="24"/>
        </w:rPr>
        <w:t>11</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4"/>
          <w:sz w:val="24"/>
          <w:szCs w:val="24"/>
        </w:rPr>
        <w:t>月下旬到</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4"/>
          <w:sz w:val="24"/>
          <w:szCs w:val="24"/>
        </w:rPr>
        <w:t>12</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4"/>
          <w:sz w:val="24"/>
          <w:szCs w:val="24"/>
        </w:rPr>
        <w:t>月中旬进行，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次年开学第一周办理转专业手续。具体工作程序如下：</w:t>
      </w:r>
    </w:p>
    <w:p>
      <w:pPr>
        <w:spacing w:before="211" w:line="312" w:lineRule="auto"/>
        <w:ind w:left="2" w:right="30"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公布拟接收转专业学生的专业、计划和方案。第十五周，各学院根据本院教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学资源情况和学校规定，</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4"/>
          <w:sz w:val="24"/>
          <w:szCs w:val="24"/>
        </w:rPr>
        <w:t>提出拟接收转专业学生的专业、学生数以及接收条件、考核内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容、考核方式、考核时间等转专业工作方案，报送教务处汇总，并向学生公布。</w:t>
      </w:r>
    </w:p>
    <w:p>
      <w:pPr>
        <w:spacing w:before="18" w:line="19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（二）学生转专业申请和审核</w:t>
      </w:r>
    </w:p>
    <w:p>
      <w:pPr>
        <w:spacing w:before="180" w:line="284" w:lineRule="auto"/>
        <w:ind w:right="26"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1、第十六周，</w:t>
      </w:r>
      <w:r>
        <w:rPr>
          <w:rFonts w:ascii="方正书宋简体" w:hAnsi="方正书宋简体" w:eastAsia="方正书宋简体" w:cs="方正书宋简体"/>
          <w:spacing w:val="87"/>
          <w:sz w:val="24"/>
          <w:szCs w:val="24"/>
        </w:rPr>
        <w:t xml:space="preserve"> </w:t>
      </w:r>
      <w:r>
        <w:rPr>
          <w:rFonts w:ascii="方正书宋简体" w:hAnsi="方正书宋简体" w:eastAsia="方正书宋简体" w:cs="方正书宋简体"/>
          <w:spacing w:val="-11"/>
          <w:w w:val="97"/>
          <w:sz w:val="24"/>
          <w:szCs w:val="24"/>
        </w:rPr>
        <w:t>符合转专业条件的学生根据自己的实际情况和公布的各专业接收数额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向所在学院提出书面申请。所在学院根据相关规定和要求对申请转出学生提交的材料进</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行审核，并提出是否同意转专业的意见，审核结果在全院范围内进行公示，公示期不少</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3"/>
          <w:sz w:val="24"/>
          <w:szCs w:val="24"/>
        </w:rPr>
        <w:t>于三天。经公示无异议后，学院将同意转出的学生名单及相关申请材料转送转入学院。</w:t>
      </w:r>
    </w:p>
    <w:p>
      <w:pPr>
        <w:spacing w:before="179" w:line="327" w:lineRule="auto"/>
        <w:ind w:left="21" w:firstLine="46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2、第十七周，接收学院对申请转入学生（指已通过所在学院同意转出的学生）</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的申请材料进行审核，并按照该学院制定的转专业工作方案，组织考核工作，按择</w:t>
      </w:r>
    </w:p>
    <w:p>
      <w:pPr>
        <w:spacing w:before="290"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126</w:t>
      </w:r>
    </w:p>
    <w:p>
      <w:pPr>
        <w:sectPr>
          <w:footerReference r:id="rId130" w:type="default"/>
          <w:pgSz w:w="11905" w:h="16840"/>
          <w:pgMar w:top="1431" w:right="1548" w:bottom="400" w:left="1590" w:header="0" w:footer="0" w:gutter="0"/>
          <w:cols w:space="720" w:num="1"/>
        </w:sectPr>
      </w:pPr>
    </w:p>
    <w:p>
      <w:pPr>
        <w:spacing w:before="428" w:line="315" w:lineRule="auto"/>
        <w:ind w:left="30" w:right="90"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优录取的原则，确定拟转专业学生的名单，并在一定范围内进行公示，公示期不少</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于三天。经公示无异议后，学院将拟接收学生名单以及学生填报的《学生转专业申</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请审批表》报送教务处。</w:t>
      </w:r>
    </w:p>
    <w:p>
      <w:pPr>
        <w:spacing w:before="3" w:line="264" w:lineRule="auto"/>
        <w:ind w:left="32" w:right="90"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3"/>
          <w:sz w:val="24"/>
          <w:szCs w:val="24"/>
        </w:rPr>
        <w:t>教务处审查，</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学校审批。第十八周后，</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教务处根据拟接收转专业学生的专</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业、人数及学生填报志愿情况，集中审议全校学生转专业申请，确定学校转专业的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学生名单，报主管校长审批确认后在全校范围内予以公示。</w:t>
      </w:r>
    </w:p>
    <w:p>
      <w:pPr>
        <w:spacing w:before="217" w:line="315" w:lineRule="auto"/>
        <w:ind w:left="43" w:right="90" w:firstLine="33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（四）</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9"/>
          <w:sz w:val="24"/>
          <w:szCs w:val="24"/>
        </w:rPr>
        <w:t>办理转专业手续。经学校同意转专业的学生，</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由教务处通知学生所在学院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和接收学院，在下一学期开学第一周到教务处办理转专业手续。</w:t>
      </w:r>
    </w:p>
    <w:p>
      <w:pPr>
        <w:spacing w:before="1" w:line="237" w:lineRule="auto"/>
        <w:ind w:left="36" w:right="9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（五）</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按此规定学生在校学习期间只能转专业一次，</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二年级学生跨门类转专业应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跟下一级学习。</w:t>
      </w:r>
    </w:p>
    <w:p>
      <w:pPr>
        <w:spacing w:before="209" w:line="180" w:lineRule="auto"/>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五、转专业的教学管理</w:t>
      </w:r>
    </w:p>
    <w:p>
      <w:pPr>
        <w:spacing w:before="149" w:line="316" w:lineRule="auto"/>
        <w:ind w:left="35" w:right="92"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1、在学校批准转入另一个专业前，</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7"/>
          <w:sz w:val="24"/>
          <w:szCs w:val="24"/>
        </w:rPr>
        <w:t>申请转专业的学生应参加原专业的学习及其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一切活动。无故旷课、旷考或有其他违纪行为者，除按学籍管理有关规定处理外，</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3"/>
          <w:sz w:val="24"/>
          <w:szCs w:val="24"/>
        </w:rPr>
        <w:t>同时取消其转专业资格。</w:t>
      </w:r>
    </w:p>
    <w:p>
      <w:pPr>
        <w:spacing w:before="2" w:line="273" w:lineRule="auto"/>
        <w:ind w:left="34" w:right="8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2、经批准进入新专业学习的学生，于批准后的当前学期进入新专业就读。转入新</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7"/>
          <w:sz w:val="24"/>
          <w:szCs w:val="24"/>
        </w:rPr>
        <w:t>专业学习的学生，</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7"/>
          <w:sz w:val="24"/>
          <w:szCs w:val="24"/>
        </w:rPr>
        <w:t>原进校时编定的学号不变，</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7"/>
          <w:sz w:val="24"/>
          <w:szCs w:val="24"/>
        </w:rPr>
        <w:t>学生证等证件应作变更。转入新专业学习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的学生，</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7"/>
          <w:sz w:val="24"/>
          <w:szCs w:val="24"/>
        </w:rPr>
        <w:t>已领的教材不再退回学校，</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7"/>
          <w:sz w:val="24"/>
          <w:szCs w:val="24"/>
        </w:rPr>
        <w:t>刚进入新专业学习的第一学期的教材原则上由学生</w:t>
      </w:r>
    </w:p>
    <w:p>
      <w:pPr>
        <w:spacing w:before="178"/>
        <w:ind w:left="37" w:right="82" w:firstLine="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9"/>
          <w:sz w:val="24"/>
          <w:szCs w:val="24"/>
        </w:rPr>
        <w:t>自行解决。转入新专业学习的学生，</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9"/>
          <w:sz w:val="24"/>
          <w:szCs w:val="24"/>
        </w:rPr>
        <w:t>按转入专业调整宿舍。转入新专业学习的学生，</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9"/>
          <w:sz w:val="24"/>
          <w:szCs w:val="24"/>
        </w:rPr>
        <w:t>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涉及党、团组织关系的变化，学生本人应及时到相关部门办理组织关系转移手续。</w:t>
      </w:r>
    </w:p>
    <w:p>
      <w:pPr>
        <w:spacing w:before="216" w:line="314" w:lineRule="auto"/>
        <w:ind w:left="34"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3、学生转专业后，</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严格按照转入专业的培养方案审核毕业资格。在原专业获得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的课程学分按如下规定认定：原专业课程符合转入专业对应课程要求的，经转入学</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院和教务处确认后，其成绩学分直接载入该生在转入专业上的学籍档案；不符合要</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求的，可作为相应选修课成绩记入该生在转入专业上的学籍档案。对尚未修读、但</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转入专业已经开设完毕的课程，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6"/>
          <w:sz w:val="24"/>
          <w:szCs w:val="24"/>
        </w:rPr>
        <w:t>学生应随该专业低年级学生选修相应课程获得学分。</w:t>
      </w:r>
    </w:p>
    <w:p>
      <w:pPr>
        <w:spacing w:before="8"/>
        <w:ind w:left="36" w:right="105"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4、转出和接收学院应及时做好转入学生的学籍资料的接交、建档、完善工作，</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确保转入学生学籍资料的完整性、真实性和规范性。</w:t>
      </w:r>
    </w:p>
    <w:p>
      <w:pPr>
        <w:spacing w:before="216"/>
        <w:ind w:left="37" w:right="9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5、学校教务处按照规定办理转专业手续结束后，</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在学信网上报湖南省教育厅主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管部门审批，获批后学籍异动自动生成。</w:t>
      </w:r>
    </w:p>
    <w:p>
      <w:pPr>
        <w:spacing w:before="204" w:line="180" w:lineRule="auto"/>
        <w:ind w:firstLine="524"/>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六、</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3"/>
          <w:sz w:val="24"/>
          <w:szCs w:val="24"/>
        </w:rPr>
        <w:t>本办法由教务处负责解释。</w:t>
      </w:r>
    </w:p>
    <w:p>
      <w:pPr>
        <w:spacing w:before="150" w:line="180" w:lineRule="auto"/>
        <w:ind w:firstLine="52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附件：吉首大学学生转专业申请审批表</w:t>
      </w:r>
    </w:p>
    <w:p>
      <w:pPr>
        <w:spacing w:line="306" w:lineRule="auto"/>
        <w:rPr>
          <w:rFonts w:ascii="Malgun Gothic"/>
          <w:sz w:val="21"/>
        </w:rPr>
      </w:pPr>
    </w:p>
    <w:p>
      <w:pPr>
        <w:spacing w:before="53" w:line="180" w:lineRule="auto"/>
        <w:ind w:firstLine="4281"/>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127</w:t>
      </w:r>
    </w:p>
    <w:p>
      <w:pPr>
        <w:sectPr>
          <w:footerReference r:id="rId131" w:type="default"/>
          <w:pgSz w:w="11905" w:h="16840"/>
          <w:pgMar w:top="1431" w:right="1494" w:bottom="400" w:left="1557" w:header="0" w:footer="0" w:gutter="0"/>
          <w:cols w:space="720" w:num="1"/>
        </w:sectPr>
      </w:pPr>
    </w:p>
    <w:p>
      <w:pPr>
        <w:spacing w:before="349" w:line="161" w:lineRule="auto"/>
        <w:ind w:firstLine="214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吉首大学学生转专业申请审批表</w:t>
      </w:r>
    </w:p>
    <w:tbl>
      <w:tblPr>
        <w:tblStyle w:val="4"/>
        <w:tblW w:w="87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1"/>
        <w:gridCol w:w="296"/>
        <w:gridCol w:w="1018"/>
        <w:gridCol w:w="336"/>
        <w:gridCol w:w="735"/>
        <w:gridCol w:w="20"/>
        <w:gridCol w:w="1037"/>
        <w:gridCol w:w="54"/>
        <w:gridCol w:w="808"/>
        <w:gridCol w:w="281"/>
        <w:gridCol w:w="415"/>
        <w:gridCol w:w="703"/>
        <w:gridCol w:w="505"/>
        <w:gridCol w:w="585"/>
        <w:gridCol w:w="1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801" w:type="dxa"/>
            <w:vAlign w:val="top"/>
          </w:tcPr>
          <w:p>
            <w:pPr>
              <w:spacing w:before="124"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1650" w:type="dxa"/>
            <w:gridSpan w:val="3"/>
            <w:vAlign w:val="top"/>
          </w:tcPr>
          <w:p>
            <w:pPr>
              <w:rPr>
                <w:rFonts w:ascii="Malgun Gothic"/>
                <w:sz w:val="21"/>
              </w:rPr>
            </w:pPr>
          </w:p>
        </w:tc>
        <w:tc>
          <w:tcPr>
            <w:tcW w:w="735" w:type="dxa"/>
            <w:vAlign w:val="top"/>
          </w:tcPr>
          <w:p>
            <w:pPr>
              <w:spacing w:before="123"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057" w:type="dxa"/>
            <w:gridSpan w:val="2"/>
            <w:vAlign w:val="top"/>
          </w:tcPr>
          <w:p>
            <w:pPr>
              <w:rPr>
                <w:rFonts w:ascii="Malgun Gothic"/>
                <w:sz w:val="21"/>
              </w:rPr>
            </w:pPr>
          </w:p>
        </w:tc>
        <w:tc>
          <w:tcPr>
            <w:tcW w:w="862" w:type="dxa"/>
            <w:gridSpan w:val="2"/>
            <w:vAlign w:val="top"/>
          </w:tcPr>
          <w:p>
            <w:pPr>
              <w:spacing w:before="120"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性别</w:t>
            </w:r>
          </w:p>
        </w:tc>
        <w:tc>
          <w:tcPr>
            <w:tcW w:w="696" w:type="dxa"/>
            <w:gridSpan w:val="2"/>
            <w:vAlign w:val="top"/>
          </w:tcPr>
          <w:p>
            <w:pPr>
              <w:rPr>
                <w:rFonts w:ascii="Malgun Gothic"/>
                <w:sz w:val="21"/>
              </w:rPr>
            </w:pPr>
          </w:p>
        </w:tc>
        <w:tc>
          <w:tcPr>
            <w:tcW w:w="1208" w:type="dxa"/>
            <w:gridSpan w:val="2"/>
            <w:vAlign w:val="top"/>
          </w:tcPr>
          <w:p>
            <w:pPr>
              <w:spacing w:before="122" w:line="180" w:lineRule="auto"/>
              <w:ind w:firstLine="1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入学年月</w:t>
            </w:r>
          </w:p>
        </w:tc>
        <w:tc>
          <w:tcPr>
            <w:tcW w:w="1725" w:type="dxa"/>
            <w:gridSpan w:val="2"/>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2451" w:type="dxa"/>
            <w:gridSpan w:val="4"/>
            <w:vAlign w:val="top"/>
          </w:tcPr>
          <w:p>
            <w:pPr>
              <w:spacing w:before="101"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学生所在学院及专业</w:t>
            </w:r>
          </w:p>
        </w:tc>
        <w:tc>
          <w:tcPr>
            <w:tcW w:w="3350" w:type="dxa"/>
            <w:gridSpan w:val="7"/>
            <w:vAlign w:val="top"/>
          </w:tcPr>
          <w:p>
            <w:pPr>
              <w:rPr>
                <w:rFonts w:ascii="Malgun Gothic"/>
                <w:sz w:val="21"/>
              </w:rPr>
            </w:pPr>
          </w:p>
        </w:tc>
        <w:tc>
          <w:tcPr>
            <w:tcW w:w="1208" w:type="dxa"/>
            <w:gridSpan w:val="2"/>
            <w:vAlign w:val="top"/>
          </w:tcPr>
          <w:p>
            <w:pPr>
              <w:spacing w:before="103" w:line="180" w:lineRule="auto"/>
              <w:ind w:firstLine="3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725" w:type="dxa"/>
            <w:gridSpan w:val="2"/>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451" w:type="dxa"/>
            <w:gridSpan w:val="4"/>
            <w:vAlign w:val="top"/>
          </w:tcPr>
          <w:p>
            <w:pPr>
              <w:spacing w:before="115" w:line="180" w:lineRule="auto"/>
              <w:ind w:firstLine="30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申请转入学院及专业</w:t>
            </w:r>
          </w:p>
        </w:tc>
        <w:tc>
          <w:tcPr>
            <w:tcW w:w="3350" w:type="dxa"/>
            <w:gridSpan w:val="7"/>
            <w:vAlign w:val="top"/>
          </w:tcPr>
          <w:p>
            <w:pPr>
              <w:rPr>
                <w:rFonts w:ascii="Malgun Gothic"/>
                <w:sz w:val="21"/>
              </w:rPr>
            </w:pPr>
          </w:p>
        </w:tc>
        <w:tc>
          <w:tcPr>
            <w:tcW w:w="1208" w:type="dxa"/>
            <w:gridSpan w:val="2"/>
            <w:vAlign w:val="top"/>
          </w:tcPr>
          <w:p>
            <w:pPr>
              <w:spacing w:before="118" w:line="180" w:lineRule="auto"/>
              <w:ind w:firstLine="3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725" w:type="dxa"/>
            <w:gridSpan w:val="2"/>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097" w:type="dxa"/>
            <w:gridSpan w:val="2"/>
            <w:vAlign w:val="top"/>
          </w:tcPr>
          <w:p>
            <w:pPr>
              <w:spacing w:before="95"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语文</w:t>
            </w:r>
          </w:p>
        </w:tc>
        <w:tc>
          <w:tcPr>
            <w:tcW w:w="1018" w:type="dxa"/>
            <w:vAlign w:val="top"/>
          </w:tcPr>
          <w:p>
            <w:pPr>
              <w:rPr>
                <w:rFonts w:ascii="Malgun Gothic"/>
                <w:sz w:val="21"/>
              </w:rPr>
            </w:pPr>
          </w:p>
        </w:tc>
        <w:tc>
          <w:tcPr>
            <w:tcW w:w="1091" w:type="dxa"/>
            <w:gridSpan w:val="3"/>
            <w:vAlign w:val="top"/>
          </w:tcPr>
          <w:p>
            <w:pPr>
              <w:spacing w:before="92" w:line="180" w:lineRule="auto"/>
              <w:ind w:firstLine="4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数学</w:t>
            </w:r>
          </w:p>
        </w:tc>
        <w:tc>
          <w:tcPr>
            <w:tcW w:w="1091" w:type="dxa"/>
            <w:gridSpan w:val="2"/>
            <w:vAlign w:val="top"/>
          </w:tcPr>
          <w:p>
            <w:pPr>
              <w:rPr>
                <w:rFonts w:ascii="Malgun Gothic"/>
                <w:sz w:val="21"/>
              </w:rPr>
            </w:pPr>
          </w:p>
        </w:tc>
        <w:tc>
          <w:tcPr>
            <w:tcW w:w="1089" w:type="dxa"/>
            <w:gridSpan w:val="2"/>
            <w:vAlign w:val="top"/>
          </w:tcPr>
          <w:p>
            <w:pPr>
              <w:spacing w:before="92" w:line="180" w:lineRule="auto"/>
              <w:ind w:firstLine="4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w:t>
            </w:r>
          </w:p>
        </w:tc>
        <w:tc>
          <w:tcPr>
            <w:tcW w:w="1118" w:type="dxa"/>
            <w:gridSpan w:val="2"/>
            <w:vAlign w:val="top"/>
          </w:tcPr>
          <w:p>
            <w:pPr>
              <w:rPr>
                <w:rFonts w:ascii="Malgun Gothic"/>
                <w:sz w:val="21"/>
              </w:rPr>
            </w:pPr>
          </w:p>
        </w:tc>
        <w:tc>
          <w:tcPr>
            <w:tcW w:w="1090" w:type="dxa"/>
            <w:gridSpan w:val="2"/>
            <w:vAlign w:val="top"/>
          </w:tcPr>
          <w:p>
            <w:pPr>
              <w:spacing w:before="90" w:line="180" w:lineRule="auto"/>
              <w:ind w:firstLine="2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总成绩</w:t>
            </w:r>
          </w:p>
        </w:tc>
        <w:tc>
          <w:tcPr>
            <w:tcW w:w="1140" w:type="dxa"/>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9" w:hRule="atLeast"/>
        </w:trPr>
        <w:tc>
          <w:tcPr>
            <w:tcW w:w="801" w:type="dxa"/>
            <w:textDirection w:val="tbRlV"/>
            <w:vAlign w:val="top"/>
          </w:tcPr>
          <w:p>
            <w:pPr>
              <w:spacing w:before="291" w:line="180" w:lineRule="auto"/>
              <w:ind w:firstLine="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申</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3"/>
                <w:sz w:val="21"/>
                <w:szCs w:val="21"/>
              </w:rPr>
              <w:t>请</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3"/>
                <w:sz w:val="21"/>
                <w:szCs w:val="21"/>
              </w:rPr>
              <w:t>理</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3"/>
                <w:sz w:val="21"/>
                <w:szCs w:val="21"/>
              </w:rPr>
              <w:t>由</w:t>
            </w:r>
          </w:p>
        </w:tc>
        <w:tc>
          <w:tcPr>
            <w:tcW w:w="5703" w:type="dxa"/>
            <w:gridSpan w:val="11"/>
            <w:tcBorders>
              <w:right w:val="nil"/>
            </w:tcBorders>
            <w:vAlign w:val="top"/>
          </w:tcPr>
          <w:p>
            <w:pPr>
              <w:spacing w:line="243" w:lineRule="auto"/>
              <w:rPr>
                <w:rFonts w:ascii="Malgun Gothic"/>
                <w:sz w:val="21"/>
              </w:rPr>
            </w:pPr>
          </w:p>
          <w:p>
            <w:pPr>
              <w:spacing w:line="244" w:lineRule="auto"/>
              <w:rPr>
                <w:rFonts w:ascii="Malgun Gothic"/>
                <w:sz w:val="21"/>
              </w:rPr>
            </w:pPr>
          </w:p>
          <w:p>
            <w:pPr>
              <w:spacing w:line="244" w:lineRule="auto"/>
              <w:rPr>
                <w:rFonts w:ascii="Malgun Gothic"/>
                <w:sz w:val="21"/>
              </w:rPr>
            </w:pPr>
          </w:p>
          <w:p>
            <w:pPr>
              <w:spacing w:before="75" w:line="180" w:lineRule="auto"/>
              <w:ind w:firstLine="4644"/>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学生签名：</w:t>
            </w:r>
          </w:p>
        </w:tc>
        <w:tc>
          <w:tcPr>
            <w:tcW w:w="2230" w:type="dxa"/>
            <w:gridSpan w:val="3"/>
            <w:tcBorders>
              <w:left w:val="nil"/>
            </w:tcBorders>
            <w:vAlign w:val="top"/>
          </w:tcPr>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3" w:lineRule="auto"/>
              <w:rPr>
                <w:rFonts w:ascii="Malgun Gothic"/>
                <w:sz w:val="21"/>
              </w:rPr>
            </w:pPr>
          </w:p>
          <w:p>
            <w:pPr>
              <w:spacing w:before="75" w:line="180" w:lineRule="auto"/>
              <w:ind w:firstLine="86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801" w:type="dxa"/>
            <w:vMerge w:val="restart"/>
            <w:tcBorders>
              <w:bottom w:val="nil"/>
            </w:tcBorders>
            <w:textDirection w:val="tbRlV"/>
            <w:vAlign w:val="top"/>
          </w:tcPr>
          <w:p>
            <w:pPr>
              <w:spacing w:before="292" w:line="180" w:lineRule="auto"/>
              <w:ind w:firstLine="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转</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3"/>
                <w:sz w:val="21"/>
                <w:szCs w:val="21"/>
              </w:rPr>
              <w:t>出</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3"/>
                <w:sz w:val="21"/>
                <w:szCs w:val="21"/>
              </w:rPr>
              <w:t>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3"/>
                <w:sz w:val="21"/>
                <w:szCs w:val="21"/>
              </w:rPr>
              <w:t>院</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3"/>
                <w:sz w:val="21"/>
                <w:szCs w:val="21"/>
              </w:rPr>
              <w:t>意</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3"/>
                <w:sz w:val="21"/>
                <w:szCs w:val="21"/>
              </w:rPr>
              <w:t>见</w:t>
            </w:r>
          </w:p>
        </w:tc>
        <w:tc>
          <w:tcPr>
            <w:tcW w:w="5703" w:type="dxa"/>
            <w:gridSpan w:val="11"/>
            <w:tcBorders>
              <w:bottom w:val="nil"/>
              <w:right w:val="nil"/>
            </w:tcBorders>
            <w:vAlign w:val="top"/>
          </w:tcPr>
          <w:p>
            <w:pPr>
              <w:spacing w:before="89" w:line="193"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同意转出</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5"/>
                <w:sz w:val="21"/>
                <w:szCs w:val="21"/>
              </w:rPr>
              <w:t>□</w:t>
            </w:r>
          </w:p>
        </w:tc>
        <w:tc>
          <w:tcPr>
            <w:tcW w:w="2230" w:type="dxa"/>
            <w:gridSpan w:val="3"/>
            <w:tcBorders>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01" w:type="dxa"/>
            <w:vMerge w:val="continue"/>
            <w:tcBorders>
              <w:top w:val="nil"/>
              <w:bottom w:val="nil"/>
            </w:tcBorders>
            <w:textDirection w:val="tbRlV"/>
            <w:vAlign w:val="top"/>
          </w:tcPr>
          <w:p>
            <w:pPr>
              <w:rPr>
                <w:rFonts w:ascii="Malgun Gothic"/>
                <w:sz w:val="21"/>
              </w:rPr>
            </w:pPr>
          </w:p>
        </w:tc>
        <w:tc>
          <w:tcPr>
            <w:tcW w:w="5703" w:type="dxa"/>
            <w:gridSpan w:val="11"/>
            <w:tcBorders>
              <w:top w:val="nil"/>
              <w:bottom w:val="nil"/>
              <w:right w:val="nil"/>
            </w:tcBorders>
            <w:vAlign w:val="top"/>
          </w:tcPr>
          <w:p>
            <w:pPr>
              <w:spacing w:before="346"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不同意转出的理由：</w:t>
            </w:r>
          </w:p>
        </w:tc>
        <w:tc>
          <w:tcPr>
            <w:tcW w:w="2230" w:type="dxa"/>
            <w:gridSpan w:val="3"/>
            <w:tcBorders>
              <w:top w:val="nil"/>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trPr>
        <w:tc>
          <w:tcPr>
            <w:tcW w:w="801" w:type="dxa"/>
            <w:vMerge w:val="continue"/>
            <w:tcBorders>
              <w:top w:val="nil"/>
            </w:tcBorders>
            <w:textDirection w:val="tbRlV"/>
            <w:vAlign w:val="top"/>
          </w:tcPr>
          <w:p>
            <w:pPr>
              <w:rPr>
                <w:rFonts w:ascii="Malgun Gothic"/>
                <w:sz w:val="21"/>
              </w:rPr>
            </w:pPr>
          </w:p>
        </w:tc>
        <w:tc>
          <w:tcPr>
            <w:tcW w:w="5703" w:type="dxa"/>
            <w:gridSpan w:val="11"/>
            <w:tcBorders>
              <w:top w:val="nil"/>
              <w:right w:val="nil"/>
            </w:tcBorders>
            <w:vAlign w:val="top"/>
          </w:tcPr>
          <w:p>
            <w:pPr>
              <w:spacing w:line="266" w:lineRule="auto"/>
              <w:rPr>
                <w:rFonts w:ascii="Malgun Gothic"/>
                <w:sz w:val="21"/>
              </w:rPr>
            </w:pPr>
          </w:p>
          <w:p>
            <w:pPr>
              <w:spacing w:before="76" w:line="193" w:lineRule="auto"/>
              <w:ind w:firstLine="34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学院领导（签章</w:t>
            </w:r>
            <w:r>
              <w:rPr>
                <w:rFonts w:ascii="方正书宋简体" w:hAnsi="方正书宋简体" w:eastAsia="方正书宋简体" w:cs="方正书宋简体"/>
                <w:spacing w:val="-6"/>
                <w:sz w:val="21"/>
                <w:szCs w:val="21"/>
              </w:rPr>
              <w:t>）：</w:t>
            </w:r>
          </w:p>
        </w:tc>
        <w:tc>
          <w:tcPr>
            <w:tcW w:w="2230" w:type="dxa"/>
            <w:gridSpan w:val="3"/>
            <w:tcBorders>
              <w:top w:val="nil"/>
              <w:left w:val="nil"/>
            </w:tcBorders>
            <w:vAlign w:val="top"/>
          </w:tcPr>
          <w:p>
            <w:pPr>
              <w:spacing w:line="254" w:lineRule="auto"/>
              <w:rPr>
                <w:rFonts w:ascii="Malgun Gothic"/>
                <w:sz w:val="21"/>
              </w:rPr>
            </w:pPr>
          </w:p>
          <w:p>
            <w:pPr>
              <w:spacing w:line="255" w:lineRule="auto"/>
              <w:rPr>
                <w:rFonts w:ascii="Malgun Gothic"/>
                <w:sz w:val="21"/>
              </w:rPr>
            </w:pPr>
          </w:p>
          <w:p>
            <w:pPr>
              <w:spacing w:before="76" w:line="180" w:lineRule="auto"/>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801" w:type="dxa"/>
            <w:vMerge w:val="restart"/>
            <w:tcBorders>
              <w:bottom w:val="nil"/>
            </w:tcBorders>
            <w:textDirection w:val="tbRlV"/>
            <w:vAlign w:val="top"/>
          </w:tcPr>
          <w:p>
            <w:pPr>
              <w:spacing w:before="292" w:line="180" w:lineRule="auto"/>
              <w:ind w:firstLine="2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转</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5"/>
                <w:sz w:val="21"/>
                <w:szCs w:val="21"/>
              </w:rPr>
              <w:t>入</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5"/>
                <w:sz w:val="21"/>
                <w:szCs w:val="21"/>
              </w:rPr>
              <w:t>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5"/>
                <w:sz w:val="21"/>
                <w:szCs w:val="21"/>
              </w:rPr>
              <w:t>院</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5"/>
                <w:sz w:val="21"/>
                <w:szCs w:val="21"/>
              </w:rPr>
              <w:t>见</w:t>
            </w:r>
          </w:p>
        </w:tc>
        <w:tc>
          <w:tcPr>
            <w:tcW w:w="5703" w:type="dxa"/>
            <w:gridSpan w:val="11"/>
            <w:tcBorders>
              <w:bottom w:val="nil"/>
              <w:right w:val="nil"/>
            </w:tcBorders>
            <w:vAlign w:val="top"/>
          </w:tcPr>
          <w:p>
            <w:pPr>
              <w:spacing w:before="90" w:line="193"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同意转入</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5"/>
                <w:sz w:val="21"/>
                <w:szCs w:val="21"/>
              </w:rPr>
              <w:t>□</w:t>
            </w:r>
          </w:p>
        </w:tc>
        <w:tc>
          <w:tcPr>
            <w:tcW w:w="2230" w:type="dxa"/>
            <w:gridSpan w:val="3"/>
            <w:tcBorders>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801" w:type="dxa"/>
            <w:vMerge w:val="continue"/>
            <w:tcBorders>
              <w:top w:val="nil"/>
              <w:bottom w:val="nil"/>
            </w:tcBorders>
            <w:textDirection w:val="tbRlV"/>
            <w:vAlign w:val="top"/>
          </w:tcPr>
          <w:p>
            <w:pPr>
              <w:rPr>
                <w:rFonts w:ascii="Malgun Gothic"/>
                <w:sz w:val="21"/>
              </w:rPr>
            </w:pPr>
          </w:p>
        </w:tc>
        <w:tc>
          <w:tcPr>
            <w:tcW w:w="5703" w:type="dxa"/>
            <w:gridSpan w:val="11"/>
            <w:tcBorders>
              <w:top w:val="nil"/>
              <w:bottom w:val="nil"/>
              <w:right w:val="nil"/>
            </w:tcBorders>
            <w:vAlign w:val="top"/>
          </w:tcPr>
          <w:p>
            <w:pPr>
              <w:spacing w:before="314"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不同意转入的理由：</w:t>
            </w:r>
          </w:p>
        </w:tc>
        <w:tc>
          <w:tcPr>
            <w:tcW w:w="2230" w:type="dxa"/>
            <w:gridSpan w:val="3"/>
            <w:tcBorders>
              <w:top w:val="nil"/>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trPr>
        <w:tc>
          <w:tcPr>
            <w:tcW w:w="801" w:type="dxa"/>
            <w:vMerge w:val="continue"/>
            <w:tcBorders>
              <w:top w:val="nil"/>
            </w:tcBorders>
            <w:textDirection w:val="tbRlV"/>
            <w:vAlign w:val="top"/>
          </w:tcPr>
          <w:p>
            <w:pPr>
              <w:rPr>
                <w:rFonts w:ascii="Malgun Gothic"/>
                <w:sz w:val="21"/>
              </w:rPr>
            </w:pPr>
          </w:p>
        </w:tc>
        <w:tc>
          <w:tcPr>
            <w:tcW w:w="5703" w:type="dxa"/>
            <w:gridSpan w:val="11"/>
            <w:tcBorders>
              <w:top w:val="nil"/>
              <w:right w:val="nil"/>
            </w:tcBorders>
            <w:vAlign w:val="top"/>
          </w:tcPr>
          <w:p>
            <w:pPr>
              <w:spacing w:line="246" w:lineRule="auto"/>
              <w:rPr>
                <w:rFonts w:ascii="Malgun Gothic"/>
                <w:sz w:val="21"/>
              </w:rPr>
            </w:pPr>
          </w:p>
          <w:p>
            <w:pPr>
              <w:spacing w:before="75" w:line="193" w:lineRule="auto"/>
              <w:ind w:firstLine="33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学院领导（签章</w:t>
            </w:r>
            <w:r>
              <w:rPr>
                <w:rFonts w:ascii="方正书宋简体" w:hAnsi="方正书宋简体" w:eastAsia="方正书宋简体" w:cs="方正书宋简体"/>
                <w:spacing w:val="-6"/>
                <w:sz w:val="21"/>
                <w:szCs w:val="21"/>
              </w:rPr>
              <w:t>）：</w:t>
            </w:r>
          </w:p>
        </w:tc>
        <w:tc>
          <w:tcPr>
            <w:tcW w:w="2230" w:type="dxa"/>
            <w:gridSpan w:val="3"/>
            <w:tcBorders>
              <w:top w:val="nil"/>
              <w:left w:val="nil"/>
            </w:tcBorders>
            <w:vAlign w:val="top"/>
          </w:tcPr>
          <w:p>
            <w:pPr>
              <w:spacing w:line="244" w:lineRule="auto"/>
              <w:rPr>
                <w:rFonts w:ascii="Malgun Gothic"/>
                <w:sz w:val="21"/>
              </w:rPr>
            </w:pPr>
          </w:p>
          <w:p>
            <w:pPr>
              <w:spacing w:line="245" w:lineRule="auto"/>
              <w:rPr>
                <w:rFonts w:ascii="Malgun Gothic"/>
                <w:sz w:val="21"/>
              </w:rPr>
            </w:pPr>
          </w:p>
          <w:p>
            <w:pPr>
              <w:spacing w:before="75" w:line="180" w:lineRule="auto"/>
              <w:ind w:firstLine="86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801" w:type="dxa"/>
            <w:vMerge w:val="restart"/>
            <w:tcBorders>
              <w:bottom w:val="nil"/>
            </w:tcBorders>
            <w:textDirection w:val="tbRlV"/>
            <w:vAlign w:val="top"/>
          </w:tcPr>
          <w:p>
            <w:pPr>
              <w:spacing w:before="292"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教</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务</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处</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3"/>
                <w:sz w:val="21"/>
                <w:szCs w:val="21"/>
              </w:rPr>
              <w:t>见</w:t>
            </w:r>
          </w:p>
        </w:tc>
        <w:tc>
          <w:tcPr>
            <w:tcW w:w="1314" w:type="dxa"/>
            <w:gridSpan w:val="2"/>
            <w:tcBorders>
              <w:bottom w:val="nil"/>
              <w:right w:val="nil"/>
            </w:tcBorders>
            <w:vAlign w:val="top"/>
          </w:tcPr>
          <w:p>
            <w:pPr>
              <w:spacing w:before="126"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审核意见：</w:t>
            </w:r>
          </w:p>
        </w:tc>
        <w:tc>
          <w:tcPr>
            <w:tcW w:w="6619" w:type="dxa"/>
            <w:gridSpan w:val="12"/>
            <w:tcBorders>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801" w:type="dxa"/>
            <w:vMerge w:val="continue"/>
            <w:tcBorders>
              <w:top w:val="nil"/>
            </w:tcBorders>
            <w:textDirection w:val="tbRlV"/>
            <w:vAlign w:val="top"/>
          </w:tcPr>
          <w:p>
            <w:pPr>
              <w:rPr>
                <w:rFonts w:ascii="Malgun Gothic"/>
                <w:sz w:val="21"/>
              </w:rPr>
            </w:pPr>
          </w:p>
        </w:tc>
        <w:tc>
          <w:tcPr>
            <w:tcW w:w="1314" w:type="dxa"/>
            <w:gridSpan w:val="2"/>
            <w:tcBorders>
              <w:top w:val="nil"/>
              <w:right w:val="nil"/>
            </w:tcBorders>
            <w:vAlign w:val="top"/>
          </w:tcPr>
          <w:p>
            <w:pPr>
              <w:rPr>
                <w:rFonts w:ascii="Malgun Gothic"/>
                <w:sz w:val="21"/>
              </w:rPr>
            </w:pPr>
          </w:p>
        </w:tc>
        <w:tc>
          <w:tcPr>
            <w:tcW w:w="6619" w:type="dxa"/>
            <w:gridSpan w:val="12"/>
            <w:tcBorders>
              <w:top w:val="nil"/>
              <w:left w:val="nil"/>
            </w:tcBorders>
            <w:vAlign w:val="top"/>
          </w:tcPr>
          <w:p>
            <w:pPr>
              <w:spacing w:line="355" w:lineRule="auto"/>
              <w:rPr>
                <w:rFonts w:ascii="Malgun Gothic"/>
                <w:sz w:val="21"/>
              </w:rPr>
            </w:pPr>
          </w:p>
          <w:p>
            <w:pPr>
              <w:spacing w:before="76" w:line="180" w:lineRule="auto"/>
              <w:ind w:firstLine="24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负责人签字：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9"/>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trPr>
        <w:tc>
          <w:tcPr>
            <w:tcW w:w="801" w:type="dxa"/>
            <w:vMerge w:val="restart"/>
            <w:tcBorders>
              <w:bottom w:val="nil"/>
            </w:tcBorders>
            <w:textDirection w:val="tbRlV"/>
            <w:vAlign w:val="top"/>
          </w:tcPr>
          <w:p>
            <w:pPr>
              <w:spacing w:before="291" w:line="180" w:lineRule="auto"/>
              <w:ind w:firstLine="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学</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4"/>
                <w:sz w:val="21"/>
                <w:szCs w:val="21"/>
              </w:rPr>
              <w:t>校</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4"/>
                <w:sz w:val="21"/>
                <w:szCs w:val="21"/>
              </w:rPr>
              <w:t>审</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4"/>
                <w:sz w:val="21"/>
                <w:szCs w:val="21"/>
              </w:rPr>
              <w:t>批</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4"/>
                <w:sz w:val="21"/>
                <w:szCs w:val="21"/>
              </w:rPr>
              <w:t>意</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14"/>
                <w:sz w:val="21"/>
                <w:szCs w:val="21"/>
              </w:rPr>
              <w:t>见</w:t>
            </w:r>
          </w:p>
        </w:tc>
        <w:tc>
          <w:tcPr>
            <w:tcW w:w="1314" w:type="dxa"/>
            <w:gridSpan w:val="2"/>
            <w:tcBorders>
              <w:bottom w:val="nil"/>
              <w:right w:val="nil"/>
            </w:tcBorders>
            <w:vAlign w:val="top"/>
          </w:tcPr>
          <w:p>
            <w:pPr>
              <w:spacing w:before="194"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审批意见：</w:t>
            </w:r>
          </w:p>
        </w:tc>
        <w:tc>
          <w:tcPr>
            <w:tcW w:w="6619" w:type="dxa"/>
            <w:gridSpan w:val="12"/>
            <w:tcBorders>
              <w:left w:val="nil"/>
              <w:bottom w:val="nil"/>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01" w:type="dxa"/>
            <w:vMerge w:val="continue"/>
            <w:tcBorders>
              <w:top w:val="nil"/>
            </w:tcBorders>
            <w:textDirection w:val="tbRlV"/>
            <w:vAlign w:val="top"/>
          </w:tcPr>
          <w:p>
            <w:pPr>
              <w:rPr>
                <w:rFonts w:ascii="Malgun Gothic"/>
                <w:sz w:val="21"/>
              </w:rPr>
            </w:pPr>
          </w:p>
        </w:tc>
        <w:tc>
          <w:tcPr>
            <w:tcW w:w="1314" w:type="dxa"/>
            <w:gridSpan w:val="2"/>
            <w:tcBorders>
              <w:top w:val="nil"/>
              <w:right w:val="nil"/>
            </w:tcBorders>
            <w:vAlign w:val="top"/>
          </w:tcPr>
          <w:p>
            <w:pPr>
              <w:rPr>
                <w:rFonts w:ascii="Malgun Gothic"/>
                <w:sz w:val="21"/>
              </w:rPr>
            </w:pPr>
          </w:p>
        </w:tc>
        <w:tc>
          <w:tcPr>
            <w:tcW w:w="6619" w:type="dxa"/>
            <w:gridSpan w:val="12"/>
            <w:tcBorders>
              <w:top w:val="nil"/>
              <w:left w:val="nil"/>
            </w:tcBorders>
            <w:vAlign w:val="top"/>
          </w:tcPr>
          <w:p>
            <w:pPr>
              <w:spacing w:line="357" w:lineRule="auto"/>
              <w:rPr>
                <w:rFonts w:ascii="Malgun Gothic"/>
                <w:sz w:val="21"/>
              </w:rPr>
            </w:pPr>
          </w:p>
          <w:p>
            <w:pPr>
              <w:spacing w:before="75"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7"/>
                <w:sz w:val="21"/>
                <w:szCs w:val="21"/>
              </w:rPr>
              <w:t>主管校长签字：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7"/>
                <w:sz w:val="21"/>
                <w:szCs w:val="21"/>
              </w:rPr>
              <w:t>年</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7"/>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7"/>
                <w:sz w:val="21"/>
                <w:szCs w:val="21"/>
              </w:rPr>
              <w:t>日</w:t>
            </w:r>
          </w:p>
        </w:tc>
      </w:tr>
    </w:tbl>
    <w:p>
      <w:pPr>
        <w:spacing w:line="382" w:lineRule="auto"/>
        <w:rPr>
          <w:rFonts w:ascii="Malgun Gothic"/>
          <w:sz w:val="21"/>
        </w:rPr>
      </w:pPr>
    </w:p>
    <w:p>
      <w:pPr>
        <w:spacing w:before="51" w:line="180" w:lineRule="auto"/>
        <w:ind w:firstLine="425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128</w:t>
      </w:r>
    </w:p>
    <w:p>
      <w:pPr>
        <w:sectPr>
          <w:footerReference r:id="rId132" w:type="default"/>
          <w:pgSz w:w="11905" w:h="16840"/>
          <w:pgMar w:top="1431" w:right="1579" w:bottom="400" w:left="1580" w:header="0" w:footer="0" w:gutter="0"/>
          <w:cols w:space="720" w:num="1"/>
        </w:sectPr>
      </w:pPr>
    </w:p>
    <w:p>
      <w:pPr>
        <w:spacing w:before="325" w:line="180" w:lineRule="auto"/>
        <w:ind w:firstLine="19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吉首大学本科生学业预警管理办法</w:t>
      </w:r>
    </w:p>
    <w:p>
      <w:pPr>
        <w:spacing w:line="254" w:lineRule="auto"/>
        <w:rPr>
          <w:rFonts w:ascii="Malgun Gothic"/>
          <w:sz w:val="21"/>
        </w:rPr>
      </w:pPr>
    </w:p>
    <w:p>
      <w:pPr>
        <w:spacing w:before="104" w:line="251" w:lineRule="auto"/>
        <w:ind w:left="3"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为进一步加强我校学风建设，加强对本科生学习过程管理，充分发挥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sz w:val="24"/>
          <w:szCs w:val="24"/>
        </w:rPr>
        <w:t>学校、学生、家庭三结合教育的功能，</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2"/>
          <w:sz w:val="24"/>
          <w:szCs w:val="24"/>
        </w:rPr>
        <w:t>引导学生顺利完成学业，</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2"/>
          <w:sz w:val="24"/>
          <w:szCs w:val="24"/>
        </w:rPr>
        <w:t>确保人才培养质量，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根据《吉首大学本科生学籍管理规定》、《吉首大学学士学位授予工作细则》等规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章制度，特制定本办法。</w:t>
      </w:r>
    </w:p>
    <w:p>
      <w:pPr>
        <w:spacing w:before="171" w:line="251" w:lineRule="auto"/>
        <w:ind w:left="1"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1"/>
          <w:sz w:val="24"/>
          <w:szCs w:val="24"/>
        </w:rPr>
        <w:t>学业预警是指学校依据学生管理规定、学籍管理办法及各专业培养计 划的要求，通过对学生每学期的学习情况进行分析，对可能或已经发生学习问题、</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或完成学业困难的学生进行警示，告知学生本人及家长可能产生的不良后果，并有</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针对性地采取相应补救和帮扶措施，帮助学生顺利完成学业的一种危机干预制度。</w:t>
      </w:r>
    </w:p>
    <w:p>
      <w:pPr>
        <w:spacing w:before="174" w:line="263" w:lineRule="auto"/>
        <w:ind w:right="7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
          <w:sz w:val="24"/>
          <w:szCs w:val="24"/>
        </w:rPr>
        <w:t>学业预警工作按学期进行，每学期开学后</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周内由各学院根据学生学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业情况，采取相应预警办法。</w:t>
      </w:r>
    </w:p>
    <w:p>
      <w:pPr>
        <w:spacing w:before="22" w:line="294" w:lineRule="auto"/>
        <w:ind w:right="7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学生在读期间一个学期未获得人才培养方案中规定修读学分数的</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z w:val="24"/>
          <w:szCs w:val="24"/>
        </w:rPr>
        <w:t xml:space="preserve">40%，予以学 </w:t>
      </w:r>
      <w:r>
        <w:rPr>
          <w:rFonts w:ascii="方正书宋简体" w:hAnsi="方正书宋简体" w:eastAsia="方正书宋简体" w:cs="方正书宋简体"/>
          <w:spacing w:val="1"/>
          <w:sz w:val="24"/>
          <w:szCs w:val="24"/>
        </w:rPr>
        <w:t>业警示，学生跟班学习。由学院审核签发“学业警示通知书”，通知学生及家长，</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4"/>
          <w:sz w:val="24"/>
          <w:szCs w:val="24"/>
        </w:rPr>
        <w:t>并报教务处备案。</w:t>
      </w:r>
    </w:p>
    <w:p>
      <w:pPr>
        <w:spacing w:before="3" w:line="250" w:lineRule="auto"/>
        <w:ind w:right="77"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学生在学年结束，未取得规定修读学分数的</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
          <w:sz w:val="24"/>
          <w:szCs w:val="24"/>
        </w:rPr>
        <w:t>60%，予以学业警示，经学院审核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后报教务处行文，转入下一年级学习，书面通知学生及家长，并按所在专业年级收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费标准缴纳学费。</w:t>
      </w:r>
    </w:p>
    <w:p>
      <w:pPr>
        <w:spacing w:before="183" w:line="193" w:lineRule="auto"/>
        <w:ind w:firstLine="4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学生编入下一年级学习一年后，仍未能取得规定修读学分数的</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sz w:val="24"/>
          <w:szCs w:val="24"/>
        </w:rPr>
        <w:t>60%，作退学处理。</w:t>
      </w:r>
    </w:p>
    <w:p>
      <w:pPr>
        <w:spacing w:before="152" w:line="261" w:lineRule="auto"/>
        <w:ind w:left="2" w:right="64" w:firstLine="4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学校实行毕业论文（设计）准入制度。如果毕业论文（设计）开始时，</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21"/>
          <w:sz w:val="24"/>
          <w:szCs w:val="24"/>
        </w:rPr>
        <w:t>学生不及格课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程累计达到</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6"/>
          <w:sz w:val="24"/>
          <w:szCs w:val="24"/>
        </w:rPr>
        <w:t>15</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6"/>
          <w:sz w:val="24"/>
          <w:szCs w:val="24"/>
        </w:rPr>
        <w:t>学分及以上的，不能参加毕业论文（设计）环节教学活动。因欠缺学分不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0"/>
          <w:sz w:val="24"/>
          <w:szCs w:val="24"/>
        </w:rPr>
        <w:t>能进入毕业论文（设计）环节的学生，学院应当书面通知本人，并报教务处审定，</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0"/>
          <w:sz w:val="24"/>
          <w:szCs w:val="24"/>
        </w:rPr>
        <w:t>将学生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编入下一年级，修读应修课程达到规定要求，方可参加毕业论文（设计）环节教学活动。</w:t>
      </w:r>
    </w:p>
    <w:p>
      <w:pPr>
        <w:spacing w:before="175" w:line="261" w:lineRule="auto"/>
        <w:ind w:left="1" w:right="80"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各学院以院长、书记为负责人，分管教学的副院长和学生工作的副书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记具体负责本学院学生学业预警工作。教务处、学生工作部负责检查督促。</w:t>
      </w:r>
    </w:p>
    <w:p>
      <w:pPr>
        <w:spacing w:before="14"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第五条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学业预警工作程序</w:t>
      </w:r>
    </w:p>
    <w:p>
      <w:pPr>
        <w:spacing w:before="99"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（一）确定学业预警学生名单</w:t>
      </w:r>
    </w:p>
    <w:p>
      <w:pPr>
        <w:spacing w:before="162" w:line="294" w:lineRule="auto"/>
        <w:ind w:left="4" w:right="77"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每学期开学</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周内，各学院教学秘书依据专业培养计划对学生学业情况进行审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核，确认学业预警学生名单后，交给学院分管教学的副院长，由院长负责牵头，副</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院长和副书记负责组织做好学业警示相关工作。</w:t>
      </w:r>
    </w:p>
    <w:p>
      <w:pPr>
        <w:spacing w:before="1" w:line="201"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（二）下达《学业预警通知单》</w:t>
      </w:r>
    </w:p>
    <w:p>
      <w:pPr>
        <w:spacing w:before="132"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学生辅导员或班主任向被预警学生下达《吉首大学本科生学业预警通知单（存</w:t>
      </w:r>
    </w:p>
    <w:p>
      <w:pPr>
        <w:spacing w:line="342" w:lineRule="auto"/>
        <w:rPr>
          <w:rFonts w:ascii="Malgun Gothic"/>
          <w:sz w:val="21"/>
        </w:rPr>
      </w:pPr>
    </w:p>
    <w:p>
      <w:pPr>
        <w:spacing w:before="52"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129</w:t>
      </w:r>
    </w:p>
    <w:p>
      <w:pPr>
        <w:sectPr>
          <w:footerReference r:id="rId133" w:type="default"/>
          <w:pgSz w:w="11905" w:h="16840"/>
          <w:pgMar w:top="1431" w:right="1507" w:bottom="400" w:left="1590" w:header="0" w:footer="0" w:gutter="0"/>
          <w:cols w:space="720" w:num="1"/>
        </w:sectPr>
      </w:pPr>
    </w:p>
    <w:p>
      <w:pPr>
        <w:spacing w:before="402" w:line="180" w:lineRule="auto"/>
        <w:ind w:firstLine="1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根）》（附件</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3"/>
          <w:sz w:val="24"/>
          <w:szCs w:val="24"/>
        </w:rPr>
        <w:t>1-1</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3"/>
          <w:sz w:val="24"/>
          <w:szCs w:val="24"/>
        </w:rPr>
        <w:t>被预警学生本人签字确认。</w:t>
      </w:r>
    </w:p>
    <w:p>
      <w:pPr>
        <w:spacing w:before="165"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（三）警示谈话</w:t>
      </w:r>
    </w:p>
    <w:p>
      <w:pPr>
        <w:spacing w:before="161" w:line="242" w:lineRule="auto"/>
        <w:ind w:left="144" w:right="12" w:firstLine="457"/>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学生辅导员或班主任对被预警学生进行警示谈话，</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8"/>
          <w:sz w:val="24"/>
          <w:szCs w:val="24"/>
        </w:rPr>
        <w:t>了解分析学生学习的问题与原因，</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2"/>
          <w:sz w:val="24"/>
          <w:szCs w:val="24"/>
        </w:rPr>
        <w:t>协助其制定学习计划，填写《吉首大学本科生学业预警学生谈话记录表》（附件</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2"/>
          <w:sz w:val="24"/>
          <w:szCs w:val="24"/>
        </w:rPr>
        <w:t>2）。</w:t>
      </w:r>
    </w:p>
    <w:p>
      <w:pPr>
        <w:spacing w:before="151"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（四）通知家长</w:t>
      </w:r>
    </w:p>
    <w:p>
      <w:pPr>
        <w:spacing w:before="158" w:line="290" w:lineRule="auto"/>
        <w:ind w:left="143" w:right="9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学生辅导员或班主任以挂号信或者快递形式向被预警学生家长邮寄《吉首大学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本科生学业预警通知单（致家长）</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9"/>
          <w:sz w:val="24"/>
          <w:szCs w:val="24"/>
        </w:rPr>
        <w:t>》（附件</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9"/>
          <w:sz w:val="24"/>
          <w:szCs w:val="24"/>
        </w:rPr>
        <w:t>1-2）</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9"/>
          <w:sz w:val="24"/>
          <w:szCs w:val="24"/>
        </w:rPr>
        <w:t>和《吉首大学本科生学业预警通知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单（家长回执）</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6"/>
          <w:sz w:val="24"/>
          <w:szCs w:val="24"/>
        </w:rPr>
        <w:t>》（附件</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6"/>
          <w:sz w:val="24"/>
          <w:szCs w:val="24"/>
        </w:rPr>
        <w:t>1-3</w:t>
      </w:r>
      <w:r>
        <w:rPr>
          <w:rFonts w:ascii="方正书宋简体" w:hAnsi="方正书宋简体" w:eastAsia="方正书宋简体" w:cs="方正书宋简体"/>
          <w:spacing w:val="-26"/>
          <w:sz w:val="24"/>
          <w:szCs w:val="24"/>
        </w:rPr>
        <w:t>）</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6"/>
          <w:sz w:val="24"/>
          <w:szCs w:val="24"/>
        </w:rPr>
        <w:t>，</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6"/>
          <w:sz w:val="24"/>
          <w:szCs w:val="24"/>
        </w:rPr>
        <w:t>留存邮寄证明，</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6"/>
          <w:sz w:val="24"/>
          <w:szCs w:val="24"/>
        </w:rPr>
        <w:t>要求家长寄回回执存档；</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6"/>
          <w:sz w:val="24"/>
          <w:szCs w:val="24"/>
        </w:rPr>
        <w:t>或以其他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通讯方式通知家长，留存通讯书面记录。</w:t>
      </w:r>
    </w:p>
    <w:p>
      <w:pPr>
        <w:spacing w:before="30" w:line="182"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（五）家长面谈</w:t>
      </w:r>
    </w:p>
    <w:p>
      <w:pPr>
        <w:spacing w:before="157" w:line="292" w:lineRule="auto"/>
        <w:ind w:left="140" w:right="9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对面临延长学制或退学的学生，分管学生工作的副书记和学生辅导员要与家长</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联系，邀请家长来校就预警学生的学业情况进行面谈。面谈后，整理书面记录，填</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写《吉首大学本科生学业预警家长谈话记录表》（附件</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3</w:t>
      </w:r>
      <w:r>
        <w:rPr>
          <w:rFonts w:ascii="方正书宋简体" w:hAnsi="方正书宋简体" w:eastAsia="方正书宋简体" w:cs="方正书宋简体"/>
          <w:spacing w:val="-44"/>
          <w:sz w:val="24"/>
          <w:szCs w:val="24"/>
        </w:rPr>
        <w:t>）</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4"/>
          <w:sz w:val="24"/>
          <w:szCs w:val="24"/>
        </w:rPr>
        <w:t>，</w:t>
      </w:r>
      <w:r>
        <w:rPr>
          <w:rFonts w:ascii="方正书宋简体" w:hAnsi="方正书宋简体" w:eastAsia="方正书宋简体" w:cs="方正书宋简体"/>
          <w:spacing w:val="-3"/>
          <w:sz w:val="24"/>
          <w:szCs w:val="24"/>
        </w:rPr>
        <w:t>记录确切时间、地点及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谈话内容，经家长确认、签字后存档。</w:t>
      </w:r>
    </w:p>
    <w:p>
      <w:pPr>
        <w:spacing w:before="1" w:line="202"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4"/>
          <w:sz w:val="24"/>
          <w:szCs w:val="24"/>
        </w:rPr>
        <w:t>建立学业预警管理档案。</w:t>
      </w:r>
    </w:p>
    <w:p>
      <w:pPr>
        <w:spacing w:before="86"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（一）预警教育过程必须有书面记录并经当事人签字存档。</w:t>
      </w:r>
    </w:p>
    <w:p>
      <w:pPr>
        <w:spacing w:before="157" w:line="269"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（二）学院归档保存每个预警学生的《吉首大学本科生学业预警通知单（存根）》、</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4"/>
          <w:sz w:val="24"/>
          <w:szCs w:val="24"/>
        </w:rPr>
        <w:t>《吉首大学本科生学业预警通知单（致家长）</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4"/>
          <w:sz w:val="24"/>
          <w:szCs w:val="24"/>
        </w:rPr>
        <w:t>》、《吉首大学本科生预警学生谈话记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录表》、《学业预警通知单（家长回执）》、</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
          <w:sz w:val="24"/>
          <w:szCs w:val="24"/>
        </w:rPr>
        <w:t>《学生学业预警家长谈话记录表》、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学生成绩单等材料。</w:t>
      </w:r>
    </w:p>
    <w:p>
      <w:pPr>
        <w:spacing w:before="135" w:line="237" w:lineRule="auto"/>
        <w:ind w:left="142" w:right="1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学院每学期开学后四周内定期对学生的学习情况进行检查，并将达到</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学业警示告诫的情况报教务处。学院必须加强对学生进行动态管理，</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加强帮扶教育，</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督促学生完成学习任务。</w:t>
      </w:r>
    </w:p>
    <w:p>
      <w:pPr>
        <w:spacing w:before="175" w:line="237" w:lineRule="auto"/>
        <w:ind w:left="144"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学院分管教学的副院长和学生工作的副书记、教学秘书、班主任或者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学生辅导员要分工明确、各司其职、密切配合，及时掌握学生的学习状况和学业完</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3"/>
          <w:sz w:val="24"/>
          <w:szCs w:val="24"/>
        </w:rPr>
        <w:t>成情况，共同做好学业预警工作。</w:t>
      </w:r>
    </w:p>
    <w:p>
      <w:pPr>
        <w:spacing w:before="171" w:line="251" w:lineRule="auto"/>
        <w:ind w:left="143" w:right="9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学生在警示期按所修专业、所在年级的正常教学进度，完成所有课程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学习或所有必修课程并获得规定学分后，自动解除学习警示处理。如学生经过预警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教育仍不能按所修专业、所在年级的正常教学进度完成学习任务，依照《吉首大学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本科生学籍管理规定》和《吉首大学学士学位授予工作细则》予以退学处理。</w:t>
      </w:r>
    </w:p>
    <w:p>
      <w:pPr>
        <w:spacing w:before="174"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本办法自公布之日起开始实施，由教务处负责解释。</w:t>
      </w:r>
    </w:p>
    <w:p>
      <w:pPr>
        <w:spacing w:line="296" w:lineRule="auto"/>
        <w:rPr>
          <w:rFonts w:ascii="Malgun Gothic"/>
          <w:sz w:val="21"/>
        </w:rPr>
      </w:pPr>
    </w:p>
    <w:p>
      <w:pPr>
        <w:spacing w:line="296" w:lineRule="auto"/>
        <w:rPr>
          <w:rFonts w:ascii="Malgun Gothic"/>
          <w:sz w:val="21"/>
        </w:rPr>
      </w:pPr>
    </w:p>
    <w:p>
      <w:pPr>
        <w:spacing w:before="52" w:line="180" w:lineRule="auto"/>
        <w:ind w:firstLine="439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130</w:t>
      </w:r>
    </w:p>
    <w:p>
      <w:pPr>
        <w:sectPr>
          <w:footerReference r:id="rId134" w:type="default"/>
          <w:pgSz w:w="11905" w:h="16840"/>
          <w:pgMar w:top="1431" w:right="1490" w:bottom="400" w:left="1447"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1-1：</w:t>
      </w:r>
    </w:p>
    <w:p>
      <w:pPr>
        <w:spacing w:before="112" w:line="180" w:lineRule="auto"/>
        <w:ind w:firstLine="1505"/>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吉首大学本科生学业预警通知单（存根）</w:t>
      </w:r>
    </w:p>
    <w:p>
      <w:pPr>
        <w:spacing w:before="13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学年学期：</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4"/>
          <w:sz w:val="21"/>
          <w:szCs w:val="21"/>
        </w:rPr>
        <w:t>—</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4"/>
          <w:sz w:val="21"/>
          <w:szCs w:val="21"/>
        </w:rPr>
        <w:t>学年度第</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4"/>
          <w:sz w:val="21"/>
          <w:szCs w:val="21"/>
        </w:rPr>
        <w:t>学期</w:t>
      </w:r>
    </w:p>
    <w:p>
      <w:pPr>
        <w:spacing w:line="4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309"/>
        <w:gridCol w:w="1309"/>
        <w:gridCol w:w="1175"/>
        <w:gridCol w:w="1723"/>
        <w:gridCol w:w="18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19" w:type="dxa"/>
            <w:tcBorders>
              <w:top w:val="single" w:color="000000" w:sz="6" w:space="0"/>
              <w:left w:val="single" w:color="000000" w:sz="6" w:space="0"/>
            </w:tcBorders>
            <w:vAlign w:val="top"/>
          </w:tcPr>
          <w:p>
            <w:pPr>
              <w:spacing w:before="97" w:line="180" w:lineRule="auto"/>
              <w:ind w:firstLine="44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1309" w:type="dxa"/>
            <w:tcBorders>
              <w:top w:val="single" w:color="000000" w:sz="6" w:space="0"/>
            </w:tcBorders>
            <w:vAlign w:val="top"/>
          </w:tcPr>
          <w:p>
            <w:pPr>
              <w:rPr>
                <w:rFonts w:ascii="Malgun Gothic"/>
                <w:sz w:val="21"/>
              </w:rPr>
            </w:pPr>
          </w:p>
        </w:tc>
        <w:tc>
          <w:tcPr>
            <w:tcW w:w="1309" w:type="dxa"/>
            <w:tcBorders>
              <w:top w:val="single" w:color="000000" w:sz="6" w:space="0"/>
            </w:tcBorders>
            <w:vAlign w:val="top"/>
          </w:tcPr>
          <w:p>
            <w:pPr>
              <w:spacing w:before="97"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175" w:type="dxa"/>
            <w:tcBorders>
              <w:top w:val="single" w:color="000000" w:sz="6" w:space="0"/>
            </w:tcBorders>
            <w:vAlign w:val="top"/>
          </w:tcPr>
          <w:p>
            <w:pPr>
              <w:rPr>
                <w:rFonts w:ascii="Malgun Gothic"/>
                <w:sz w:val="21"/>
              </w:rPr>
            </w:pPr>
          </w:p>
        </w:tc>
        <w:tc>
          <w:tcPr>
            <w:tcW w:w="1723" w:type="dxa"/>
            <w:tcBorders>
              <w:top w:val="single" w:color="000000" w:sz="6" w:space="0"/>
            </w:tcBorders>
            <w:vAlign w:val="top"/>
          </w:tcPr>
          <w:p>
            <w:pPr>
              <w:spacing w:before="95" w:line="180" w:lineRule="auto"/>
              <w:ind w:firstLine="6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tc>
        <w:tc>
          <w:tcPr>
            <w:tcW w:w="1899"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19" w:type="dxa"/>
            <w:tcBorders>
              <w:left w:val="single" w:color="000000" w:sz="6" w:space="0"/>
            </w:tcBorders>
            <w:vAlign w:val="top"/>
          </w:tcPr>
          <w:p>
            <w:pPr>
              <w:spacing w:before="89" w:line="180" w:lineRule="auto"/>
              <w:ind w:firstLine="4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309" w:type="dxa"/>
            <w:vAlign w:val="top"/>
          </w:tcPr>
          <w:p>
            <w:pPr>
              <w:rPr>
                <w:rFonts w:ascii="Malgun Gothic"/>
                <w:sz w:val="21"/>
              </w:rPr>
            </w:pPr>
          </w:p>
        </w:tc>
        <w:tc>
          <w:tcPr>
            <w:tcW w:w="1309" w:type="dxa"/>
            <w:vAlign w:val="top"/>
          </w:tcPr>
          <w:p>
            <w:pPr>
              <w:spacing w:before="91" w:line="180" w:lineRule="auto"/>
              <w:ind w:firstLine="44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班级</w:t>
            </w:r>
          </w:p>
        </w:tc>
        <w:tc>
          <w:tcPr>
            <w:tcW w:w="1175" w:type="dxa"/>
            <w:vAlign w:val="top"/>
          </w:tcPr>
          <w:p>
            <w:pPr>
              <w:rPr>
                <w:rFonts w:ascii="Malgun Gothic"/>
                <w:sz w:val="21"/>
              </w:rPr>
            </w:pPr>
          </w:p>
        </w:tc>
        <w:tc>
          <w:tcPr>
            <w:tcW w:w="1723" w:type="dxa"/>
            <w:vAlign w:val="top"/>
          </w:tcPr>
          <w:p>
            <w:pPr>
              <w:spacing w:before="86" w:line="180" w:lineRule="auto"/>
              <w:ind w:firstLine="6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189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8" w:hRule="atLeast"/>
        </w:trPr>
        <w:tc>
          <w:tcPr>
            <w:tcW w:w="1319" w:type="dxa"/>
            <w:tcBorders>
              <w:left w:val="single" w:color="000000" w:sz="6" w:space="0"/>
            </w:tcBorders>
            <w:vAlign w:val="top"/>
          </w:tcPr>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2" w:lineRule="auto"/>
              <w:rPr>
                <w:rFonts w:ascii="Malgun Gothic"/>
                <w:sz w:val="21"/>
              </w:rPr>
            </w:pPr>
          </w:p>
          <w:p>
            <w:pPr>
              <w:spacing w:before="75" w:line="355" w:lineRule="exact"/>
              <w:ind w:firstLine="3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1"/>
                <w:sz w:val="21"/>
                <w:szCs w:val="21"/>
              </w:rPr>
              <w:t>学业具</w:t>
            </w:r>
          </w:p>
          <w:p>
            <w:pPr>
              <w:spacing w:before="1" w:line="204" w:lineRule="auto"/>
              <w:ind w:firstLine="3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体情况</w:t>
            </w:r>
          </w:p>
        </w:tc>
        <w:tc>
          <w:tcPr>
            <w:tcW w:w="5516" w:type="dxa"/>
            <w:gridSpan w:val="4"/>
            <w:vAlign w:val="top"/>
          </w:tcPr>
          <w:p>
            <w:pPr>
              <w:rPr>
                <w:rFonts w:ascii="Malgun Gothic"/>
                <w:sz w:val="21"/>
              </w:rPr>
            </w:pPr>
          </w:p>
        </w:tc>
        <w:tc>
          <w:tcPr>
            <w:tcW w:w="1899" w:type="dxa"/>
            <w:tcBorders>
              <w:right w:val="single" w:color="000000" w:sz="6" w:space="0"/>
            </w:tcBorders>
            <w:vAlign w:val="top"/>
          </w:tcPr>
          <w:p>
            <w:pPr>
              <w:spacing w:line="245"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before="75"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□跟班学习</w:t>
            </w:r>
          </w:p>
          <w:p>
            <w:pPr>
              <w:spacing w:before="135" w:line="204" w:lineRule="auto"/>
              <w:ind w:left="113" w:right="102"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□编入</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5"/>
                <w:sz w:val="21"/>
                <w:szCs w:val="21"/>
              </w:rPr>
              <w:t>下一</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5"/>
                <w:sz w:val="21"/>
                <w:szCs w:val="21"/>
              </w:rPr>
              <w:t>年级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学习</w:t>
            </w:r>
          </w:p>
          <w:p>
            <w:pPr>
              <w:spacing w:before="166"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□退学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1319" w:type="dxa"/>
            <w:tcBorders>
              <w:left w:val="single" w:color="000000" w:sz="6" w:space="0"/>
            </w:tcBorders>
            <w:vAlign w:val="top"/>
          </w:tcPr>
          <w:p>
            <w:pPr>
              <w:spacing w:line="370" w:lineRule="auto"/>
              <w:rPr>
                <w:rFonts w:ascii="Malgun Gothic"/>
                <w:sz w:val="21"/>
              </w:rPr>
            </w:pPr>
          </w:p>
          <w:p>
            <w:pPr>
              <w:spacing w:before="76" w:line="180" w:lineRule="auto"/>
              <w:ind w:firstLine="2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学生电话</w:t>
            </w:r>
          </w:p>
        </w:tc>
        <w:tc>
          <w:tcPr>
            <w:tcW w:w="2618" w:type="dxa"/>
            <w:gridSpan w:val="2"/>
            <w:vAlign w:val="top"/>
          </w:tcPr>
          <w:p>
            <w:pPr>
              <w:rPr>
                <w:rFonts w:ascii="Malgun Gothic"/>
                <w:sz w:val="21"/>
              </w:rPr>
            </w:pPr>
          </w:p>
        </w:tc>
        <w:tc>
          <w:tcPr>
            <w:tcW w:w="1175" w:type="dxa"/>
            <w:vAlign w:val="top"/>
          </w:tcPr>
          <w:p>
            <w:pPr>
              <w:spacing w:line="266" w:lineRule="auto"/>
              <w:rPr>
                <w:rFonts w:ascii="Malgun Gothic"/>
                <w:sz w:val="21"/>
              </w:rPr>
            </w:pPr>
          </w:p>
          <w:p>
            <w:pPr>
              <w:spacing w:before="74" w:line="251" w:lineRule="auto"/>
              <w:ind w:left="220" w:right="162" w:hanging="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学生宿舍</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3"/>
                <w:sz w:val="21"/>
                <w:szCs w:val="21"/>
              </w:rPr>
              <w:t>房</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3"/>
                <w:sz w:val="21"/>
                <w:szCs w:val="21"/>
              </w:rPr>
              <w:t>号</w:t>
            </w:r>
          </w:p>
        </w:tc>
        <w:tc>
          <w:tcPr>
            <w:tcW w:w="3622" w:type="dxa"/>
            <w:gridSpan w:val="2"/>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1319" w:type="dxa"/>
            <w:tcBorders>
              <w:left w:val="single" w:color="000000" w:sz="6" w:space="0"/>
            </w:tcBorders>
            <w:vAlign w:val="top"/>
          </w:tcPr>
          <w:p>
            <w:pPr>
              <w:spacing w:line="371" w:lineRule="auto"/>
              <w:rPr>
                <w:rFonts w:ascii="Malgun Gothic"/>
                <w:sz w:val="21"/>
              </w:rPr>
            </w:pPr>
          </w:p>
          <w:p>
            <w:pPr>
              <w:spacing w:before="76" w:line="180" w:lineRule="auto"/>
              <w:ind w:firstLine="2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父亲姓名</w:t>
            </w:r>
          </w:p>
        </w:tc>
        <w:tc>
          <w:tcPr>
            <w:tcW w:w="2618" w:type="dxa"/>
            <w:gridSpan w:val="2"/>
            <w:vAlign w:val="top"/>
          </w:tcPr>
          <w:p>
            <w:pPr>
              <w:rPr>
                <w:rFonts w:ascii="Malgun Gothic"/>
                <w:sz w:val="21"/>
              </w:rPr>
            </w:pPr>
          </w:p>
        </w:tc>
        <w:tc>
          <w:tcPr>
            <w:tcW w:w="1175" w:type="dxa"/>
            <w:vAlign w:val="top"/>
          </w:tcPr>
          <w:p>
            <w:pPr>
              <w:spacing w:line="268" w:lineRule="auto"/>
              <w:rPr>
                <w:rFonts w:ascii="Malgun Gothic"/>
                <w:sz w:val="21"/>
              </w:rPr>
            </w:pPr>
          </w:p>
          <w:p>
            <w:pPr>
              <w:spacing w:before="75" w:line="251" w:lineRule="auto"/>
              <w:ind w:left="238" w:right="162" w:hanging="7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父亲联系</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2"/>
                <w:sz w:val="21"/>
                <w:szCs w:val="21"/>
              </w:rPr>
              <w:t>电</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2"/>
                <w:sz w:val="21"/>
                <w:szCs w:val="21"/>
              </w:rPr>
              <w:t>话</w:t>
            </w:r>
          </w:p>
        </w:tc>
        <w:tc>
          <w:tcPr>
            <w:tcW w:w="3622" w:type="dxa"/>
            <w:gridSpan w:val="2"/>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trPr>
        <w:tc>
          <w:tcPr>
            <w:tcW w:w="1319" w:type="dxa"/>
            <w:tcBorders>
              <w:left w:val="single" w:color="000000" w:sz="6" w:space="0"/>
            </w:tcBorders>
            <w:vAlign w:val="top"/>
          </w:tcPr>
          <w:p>
            <w:pPr>
              <w:spacing w:line="372" w:lineRule="auto"/>
              <w:rPr>
                <w:rFonts w:ascii="Malgun Gothic"/>
                <w:sz w:val="21"/>
              </w:rPr>
            </w:pPr>
          </w:p>
          <w:p>
            <w:pPr>
              <w:spacing w:before="76" w:line="180" w:lineRule="auto"/>
              <w:ind w:firstLine="23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母亲姓名</w:t>
            </w:r>
          </w:p>
        </w:tc>
        <w:tc>
          <w:tcPr>
            <w:tcW w:w="2618" w:type="dxa"/>
            <w:gridSpan w:val="2"/>
            <w:vAlign w:val="top"/>
          </w:tcPr>
          <w:p>
            <w:pPr>
              <w:rPr>
                <w:rFonts w:ascii="Malgun Gothic"/>
                <w:sz w:val="21"/>
              </w:rPr>
            </w:pPr>
          </w:p>
        </w:tc>
        <w:tc>
          <w:tcPr>
            <w:tcW w:w="1175" w:type="dxa"/>
            <w:vAlign w:val="top"/>
          </w:tcPr>
          <w:p>
            <w:pPr>
              <w:spacing w:line="269" w:lineRule="auto"/>
              <w:rPr>
                <w:rFonts w:ascii="Malgun Gothic"/>
                <w:sz w:val="21"/>
              </w:rPr>
            </w:pPr>
          </w:p>
          <w:p>
            <w:pPr>
              <w:spacing w:before="75" w:line="251" w:lineRule="auto"/>
              <w:ind w:left="238" w:right="162" w:hanging="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母亲联系</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2"/>
                <w:sz w:val="21"/>
                <w:szCs w:val="21"/>
              </w:rPr>
              <w:t>电</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2"/>
                <w:sz w:val="21"/>
                <w:szCs w:val="21"/>
              </w:rPr>
              <w:t>话</w:t>
            </w:r>
          </w:p>
        </w:tc>
        <w:tc>
          <w:tcPr>
            <w:tcW w:w="3622" w:type="dxa"/>
            <w:gridSpan w:val="2"/>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19" w:type="dxa"/>
            <w:tcBorders>
              <w:left w:val="single" w:color="000000" w:sz="6" w:space="0"/>
            </w:tcBorders>
            <w:vAlign w:val="top"/>
          </w:tcPr>
          <w:p>
            <w:pPr>
              <w:spacing w:before="92" w:line="193" w:lineRule="auto"/>
              <w:ind w:firstLine="23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家庭住址</w:t>
            </w:r>
          </w:p>
        </w:tc>
        <w:tc>
          <w:tcPr>
            <w:tcW w:w="3793" w:type="dxa"/>
            <w:gridSpan w:val="3"/>
            <w:vAlign w:val="top"/>
          </w:tcPr>
          <w:p>
            <w:pPr>
              <w:rPr>
                <w:rFonts w:ascii="Malgun Gothic"/>
                <w:sz w:val="21"/>
              </w:rPr>
            </w:pPr>
          </w:p>
        </w:tc>
        <w:tc>
          <w:tcPr>
            <w:tcW w:w="1723" w:type="dxa"/>
            <w:vAlign w:val="top"/>
          </w:tcPr>
          <w:p>
            <w:pPr>
              <w:spacing w:before="97" w:line="180" w:lineRule="auto"/>
              <w:ind w:firstLine="66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邮编</w:t>
            </w:r>
          </w:p>
        </w:tc>
        <w:tc>
          <w:tcPr>
            <w:tcW w:w="189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1319" w:type="dxa"/>
            <w:tcBorders>
              <w:left w:val="single" w:color="000000" w:sz="6" w:space="0"/>
              <w:bottom w:val="single" w:color="000000" w:sz="6" w:space="0"/>
            </w:tcBorders>
            <w:vAlign w:val="top"/>
          </w:tcPr>
          <w:p>
            <w:pPr>
              <w:spacing w:line="288" w:lineRule="auto"/>
              <w:rPr>
                <w:rFonts w:ascii="Malgun Gothic"/>
                <w:sz w:val="21"/>
              </w:rPr>
            </w:pPr>
          </w:p>
          <w:p>
            <w:pPr>
              <w:spacing w:before="75" w:line="180" w:lineRule="auto"/>
              <w:ind w:firstLine="13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学生确认收</w:t>
            </w:r>
          </w:p>
          <w:p>
            <w:pPr>
              <w:spacing w:before="88"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到学业预警</w:t>
            </w:r>
          </w:p>
          <w:p>
            <w:pPr>
              <w:spacing w:before="88" w:line="180" w:lineRule="auto"/>
              <w:ind w:firstLine="3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通知单</w:t>
            </w:r>
          </w:p>
        </w:tc>
        <w:tc>
          <w:tcPr>
            <w:tcW w:w="7415" w:type="dxa"/>
            <w:gridSpan w:val="5"/>
            <w:tcBorders>
              <w:bottom w:val="single" w:color="000000" w:sz="6" w:space="0"/>
              <w:right w:val="single" w:color="000000" w:sz="6" w:space="0"/>
            </w:tcBorders>
            <w:vAlign w:val="top"/>
          </w:tcPr>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76" w:line="180" w:lineRule="auto"/>
              <w:ind w:firstLine="2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sz w:val="21"/>
                <w:szCs w:val="21"/>
              </w:rPr>
              <w:t>学生签名：</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1"/>
                <w:sz w:val="21"/>
                <w:szCs w:val="21"/>
              </w:rPr>
              <w:t>年</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21"/>
                <w:sz w:val="21"/>
                <w:szCs w:val="21"/>
              </w:rPr>
              <w:t>月</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21"/>
                <w:sz w:val="21"/>
                <w:szCs w:val="21"/>
              </w:rPr>
              <w:t>日</w:t>
            </w:r>
          </w:p>
        </w:tc>
      </w:tr>
    </w:tbl>
    <w:p>
      <w:pPr>
        <w:spacing w:line="330" w:lineRule="exact"/>
        <w:rPr>
          <w:rFonts w:ascii="Malgun Gothic"/>
          <w:sz w:val="19"/>
        </w:rPr>
      </w:pPr>
    </w:p>
    <w:p>
      <w:pPr>
        <w:sectPr>
          <w:footerReference r:id="rId135" w:type="default"/>
          <w:pgSz w:w="11905" w:h="16840"/>
          <w:pgMar w:top="1431" w:right="1577" w:bottom="1365" w:left="1578" w:header="0" w:footer="1241"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1-2：</w:t>
      </w:r>
    </w:p>
    <w:p>
      <w:pPr>
        <w:spacing w:before="112" w:line="180" w:lineRule="auto"/>
        <w:ind w:firstLine="1344"/>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吉首大学本科生学业预警通知单（致家长）</w:t>
      </w:r>
    </w:p>
    <w:p>
      <w:pPr>
        <w:spacing w:before="13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学年学期：</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4"/>
          <w:sz w:val="21"/>
          <w:szCs w:val="21"/>
        </w:rPr>
        <w:t>—</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4"/>
          <w:sz w:val="21"/>
          <w:szCs w:val="21"/>
        </w:rPr>
        <w:t>学年度第</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4"/>
          <w:sz w:val="21"/>
          <w:szCs w:val="21"/>
        </w:rPr>
        <w:t>学期</w:t>
      </w:r>
    </w:p>
    <w:p>
      <w:pPr>
        <w:spacing w:line="4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7"/>
        <w:gridCol w:w="1386"/>
        <w:gridCol w:w="1387"/>
        <w:gridCol w:w="1766"/>
        <w:gridCol w:w="1007"/>
        <w:gridCol w:w="1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97" w:type="dxa"/>
            <w:tcBorders>
              <w:top w:val="single" w:color="000000" w:sz="6" w:space="0"/>
              <w:left w:val="single" w:color="000000" w:sz="6" w:space="0"/>
            </w:tcBorders>
            <w:vAlign w:val="top"/>
          </w:tcPr>
          <w:p>
            <w:pPr>
              <w:spacing w:before="97" w:line="180" w:lineRule="auto"/>
              <w:ind w:firstLine="48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学号</w:t>
            </w:r>
          </w:p>
        </w:tc>
        <w:tc>
          <w:tcPr>
            <w:tcW w:w="1386" w:type="dxa"/>
            <w:tcBorders>
              <w:top w:val="single" w:color="000000" w:sz="6" w:space="0"/>
            </w:tcBorders>
            <w:vAlign w:val="top"/>
          </w:tcPr>
          <w:p>
            <w:pPr>
              <w:rPr>
                <w:rFonts w:ascii="Malgun Gothic"/>
                <w:sz w:val="21"/>
              </w:rPr>
            </w:pPr>
          </w:p>
        </w:tc>
        <w:tc>
          <w:tcPr>
            <w:tcW w:w="1387" w:type="dxa"/>
            <w:tcBorders>
              <w:top w:val="single" w:color="000000" w:sz="6" w:space="0"/>
            </w:tcBorders>
            <w:vAlign w:val="top"/>
          </w:tcPr>
          <w:p>
            <w:pPr>
              <w:spacing w:before="97" w:line="180" w:lineRule="auto"/>
              <w:ind w:firstLine="4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姓名</w:t>
            </w:r>
          </w:p>
        </w:tc>
        <w:tc>
          <w:tcPr>
            <w:tcW w:w="1766" w:type="dxa"/>
            <w:tcBorders>
              <w:top w:val="single" w:color="000000" w:sz="6" w:space="0"/>
            </w:tcBorders>
            <w:vAlign w:val="top"/>
          </w:tcPr>
          <w:p>
            <w:pPr>
              <w:rPr>
                <w:rFonts w:ascii="Malgun Gothic"/>
                <w:sz w:val="21"/>
              </w:rPr>
            </w:pPr>
          </w:p>
        </w:tc>
        <w:tc>
          <w:tcPr>
            <w:tcW w:w="1007" w:type="dxa"/>
            <w:tcBorders>
              <w:top w:val="single" w:color="000000" w:sz="6" w:space="0"/>
            </w:tcBorders>
            <w:vAlign w:val="top"/>
          </w:tcPr>
          <w:p>
            <w:pPr>
              <w:spacing w:before="95"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学院</w:t>
            </w:r>
          </w:p>
        </w:tc>
        <w:tc>
          <w:tcPr>
            <w:tcW w:w="1791"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397" w:type="dxa"/>
            <w:tcBorders>
              <w:left w:val="single" w:color="000000" w:sz="6" w:space="0"/>
            </w:tcBorders>
            <w:vAlign w:val="top"/>
          </w:tcPr>
          <w:p>
            <w:pPr>
              <w:spacing w:before="89" w:line="180" w:lineRule="auto"/>
              <w:ind w:firstLine="48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年级</w:t>
            </w:r>
          </w:p>
        </w:tc>
        <w:tc>
          <w:tcPr>
            <w:tcW w:w="1386" w:type="dxa"/>
            <w:vAlign w:val="top"/>
          </w:tcPr>
          <w:p>
            <w:pPr>
              <w:rPr>
                <w:rFonts w:ascii="Malgun Gothic"/>
                <w:sz w:val="21"/>
              </w:rPr>
            </w:pPr>
          </w:p>
        </w:tc>
        <w:tc>
          <w:tcPr>
            <w:tcW w:w="1387" w:type="dxa"/>
            <w:vAlign w:val="top"/>
          </w:tcPr>
          <w:p>
            <w:pPr>
              <w:spacing w:before="91" w:line="180" w:lineRule="auto"/>
              <w:ind w:firstLine="48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班级</w:t>
            </w:r>
          </w:p>
        </w:tc>
        <w:tc>
          <w:tcPr>
            <w:tcW w:w="1766" w:type="dxa"/>
            <w:vAlign w:val="top"/>
          </w:tcPr>
          <w:p>
            <w:pPr>
              <w:rPr>
                <w:rFonts w:ascii="Malgun Gothic"/>
                <w:sz w:val="21"/>
              </w:rPr>
            </w:pPr>
          </w:p>
        </w:tc>
        <w:tc>
          <w:tcPr>
            <w:tcW w:w="1007" w:type="dxa"/>
            <w:vAlign w:val="top"/>
          </w:tcPr>
          <w:p>
            <w:pPr>
              <w:spacing w:before="86"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专业</w:t>
            </w:r>
          </w:p>
        </w:tc>
        <w:tc>
          <w:tcPr>
            <w:tcW w:w="1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2" w:hRule="atLeast"/>
        </w:trPr>
        <w:tc>
          <w:tcPr>
            <w:tcW w:w="8734" w:type="dxa"/>
            <w:gridSpan w:val="6"/>
            <w:tcBorders>
              <w:left w:val="single" w:color="000000" w:sz="6" w:space="0"/>
              <w:bottom w:val="nil"/>
              <w:right w:val="single" w:color="000000" w:sz="6" w:space="0"/>
            </w:tcBorders>
            <w:vAlign w:val="top"/>
          </w:tcPr>
          <w:p>
            <w:pPr>
              <w:spacing w:before="91"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尊敬的家长：</w:t>
            </w:r>
          </w:p>
          <w:p>
            <w:pPr>
              <w:spacing w:before="132"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您的孩子目前在学业上出现了困难，具体情况为：</w:t>
            </w:r>
          </w:p>
          <w:p>
            <w:pPr>
              <w:spacing w:before="138" w:line="251" w:lineRule="auto"/>
              <w:ind w:left="105" w:right="102" w:firstLine="42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截止学期应修学分为</w:t>
            </w:r>
            <w:r>
              <w:rPr>
                <w:rFonts w:ascii="方正书宋简体" w:hAnsi="方正书宋简体" w:eastAsia="方正书宋简体" w:cs="方正书宋简体"/>
                <w:spacing w:val="2"/>
                <w:sz w:val="21"/>
                <w:szCs w:val="21"/>
                <w:u w:val="single" w:color="auto"/>
              </w:rPr>
              <w:t xml:space="preserve">          </w:t>
            </w:r>
            <w:r>
              <w:rPr>
                <w:rFonts w:ascii="方正书宋简体" w:hAnsi="方正书宋简体" w:eastAsia="方正书宋简体" w:cs="方正书宋简体"/>
                <w:spacing w:val="-5"/>
                <w:sz w:val="21"/>
                <w:szCs w:val="21"/>
              </w:rPr>
              <w:t>学分，您的孩子修了</w:t>
            </w:r>
            <w:r>
              <w:rPr>
                <w:rFonts w:ascii="方正书宋简体" w:hAnsi="方正书宋简体" w:eastAsia="方正书宋简体" w:cs="方正书宋简体"/>
                <w:spacing w:val="2"/>
                <w:sz w:val="21"/>
                <w:szCs w:val="21"/>
                <w:u w:val="single" w:color="auto"/>
              </w:rPr>
              <w:t xml:space="preserve">        </w:t>
            </w:r>
            <w:r>
              <w:rPr>
                <w:rFonts w:ascii="方正书宋简体" w:hAnsi="方正书宋简体" w:eastAsia="方正书宋简体" w:cs="方正书宋简体"/>
                <w:spacing w:val="-5"/>
                <w:sz w:val="21"/>
                <w:szCs w:val="21"/>
              </w:rPr>
              <w:t>学分，</w:t>
            </w:r>
            <w:r>
              <w:rPr>
                <w:rFonts w:ascii="方正书宋简体" w:hAnsi="方正书宋简体" w:eastAsia="方正书宋简体" w:cs="方正书宋简体"/>
                <w:spacing w:val="4"/>
                <w:w w:val="101"/>
                <w:sz w:val="21"/>
                <w:szCs w:val="21"/>
                <w:u w:val="single" w:color="auto"/>
              </w:rPr>
              <w:t xml:space="preserve">          </w:t>
            </w:r>
            <w:r>
              <w:rPr>
                <w:rFonts w:ascii="方正书宋简体" w:hAnsi="方正书宋简体" w:eastAsia="方正书宋简体" w:cs="方正书宋简体"/>
                <w:spacing w:val="-5"/>
                <w:sz w:val="21"/>
                <w:szCs w:val="21"/>
              </w:rPr>
              <w:t>学分必修课程不及格，如</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8"/>
                <w:sz w:val="21"/>
                <w:szCs w:val="21"/>
              </w:rPr>
              <w:t>果必修课程不及时重修及格，</w:t>
            </w:r>
            <w:r>
              <w:rPr>
                <w:rFonts w:ascii="方正书宋简体" w:hAnsi="方正书宋简体" w:eastAsia="方正书宋简体" w:cs="方正书宋简体"/>
                <w:spacing w:val="49"/>
                <w:w w:val="101"/>
                <w:sz w:val="21"/>
                <w:szCs w:val="21"/>
              </w:rPr>
              <w:t xml:space="preserve"> </w:t>
            </w:r>
            <w:r>
              <w:rPr>
                <w:rFonts w:ascii="方正书宋简体" w:hAnsi="方正书宋简体" w:eastAsia="方正书宋简体" w:cs="方正书宋简体"/>
                <w:spacing w:val="-8"/>
                <w:sz w:val="21"/>
                <w:szCs w:val="21"/>
              </w:rPr>
              <w:t>他（她）将不能按时毕业。如果必修课程不及格累计达到</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8"/>
                <w:sz w:val="21"/>
                <w:szCs w:val="21"/>
              </w:rPr>
              <w:t>学</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分，或在校期间平均每学年所修课程学分未达</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1"/>
                <w:sz w:val="21"/>
                <w:szCs w:val="21"/>
              </w:rPr>
              <w:t>学分，将作退学处理。</w:t>
            </w:r>
          </w:p>
          <w:p>
            <w:pPr>
              <w:spacing w:before="47" w:line="251" w:lineRule="auto"/>
              <w:ind w:right="101" w:firstLine="6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按照《吉首大学本科生学业预警管理实施办法（试行）》，现给予学业预警。我们通过</w:t>
            </w:r>
            <w:r>
              <w:rPr>
                <w:rFonts w:ascii="方正书宋简体" w:hAnsi="方正书宋简体" w:eastAsia="方正书宋简体" w:cs="方正书宋简体"/>
                <w:spacing w:val="25"/>
                <w:sz w:val="21"/>
                <w:szCs w:val="21"/>
              </w:rPr>
              <w:t xml:space="preserve"> </w:t>
            </w:r>
            <w:r>
              <w:rPr>
                <w:rFonts w:ascii="方正书宋简体" w:hAnsi="方正书宋简体" w:eastAsia="方正书宋简体" w:cs="方正书宋简体"/>
                <w:spacing w:val="-8"/>
                <w:sz w:val="21"/>
                <w:szCs w:val="21"/>
              </w:rPr>
              <w:t>《学生学业预警通知单》向您告知，希望您在了解情况后及时与子女联系，</w:t>
            </w:r>
            <w:r>
              <w:rPr>
                <w:rFonts w:ascii="方正书宋简体" w:hAnsi="方正书宋简体" w:eastAsia="方正书宋简体" w:cs="方正书宋简体"/>
                <w:spacing w:val="43"/>
                <w:sz w:val="21"/>
                <w:szCs w:val="21"/>
              </w:rPr>
              <w:t xml:space="preserve">  </w:t>
            </w:r>
            <w:r>
              <w:rPr>
                <w:rFonts w:ascii="方正书宋简体" w:hAnsi="方正书宋简体" w:eastAsia="方正书宋简体" w:cs="方正书宋简体"/>
                <w:spacing w:val="-8"/>
                <w:sz w:val="21"/>
                <w:szCs w:val="21"/>
              </w:rPr>
              <w:t>配合学校，</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8"/>
                <w:sz w:val="21"/>
                <w:szCs w:val="21"/>
              </w:rPr>
              <w:t>共同教</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育，督促孩子重修课程，弥补差距，迎头赶上。衷心感谢您的理解与支持！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2" w:hRule="atLeast"/>
        </w:trPr>
        <w:tc>
          <w:tcPr>
            <w:tcW w:w="8734" w:type="dxa"/>
            <w:gridSpan w:val="6"/>
            <w:tcBorders>
              <w:top w:val="nil"/>
              <w:left w:val="single" w:color="000000" w:sz="6" w:space="0"/>
              <w:bottom w:val="single" w:color="000000" w:sz="6" w:space="0"/>
              <w:right w:val="single" w:color="000000" w:sz="6" w:space="0"/>
            </w:tcBorders>
            <w:vAlign w:val="top"/>
          </w:tcPr>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4" w:lineRule="auto"/>
              <w:rPr>
                <w:rFonts w:ascii="Malgun Gothic"/>
                <w:sz w:val="21"/>
              </w:rPr>
            </w:pPr>
          </w:p>
          <w:p>
            <w:pPr>
              <w:spacing w:before="75" w:line="366" w:lineRule="exact"/>
              <w:ind w:firstLine="4303"/>
              <w:rPr>
                <w:rFonts w:ascii="方正书宋简体" w:hAnsi="方正书宋简体" w:eastAsia="方正书宋简体" w:cs="方正书宋简体"/>
                <w:sz w:val="21"/>
                <w:szCs w:val="21"/>
              </w:rPr>
            </w:pPr>
            <w:r>
              <w:rPr>
                <w:rFonts w:ascii="方正书宋简体" w:hAnsi="方正书宋简体" w:eastAsia="方正书宋简体" w:cs="方正书宋简体"/>
                <w:position w:val="12"/>
                <w:sz w:val="21"/>
                <w:szCs w:val="21"/>
              </w:rPr>
              <w:t>学院（盖章）</w:t>
            </w:r>
          </w:p>
          <w:p>
            <w:pPr>
              <w:spacing w:before="1" w:line="204"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w w:val="93"/>
                <w:sz w:val="21"/>
                <w:szCs w:val="21"/>
              </w:rPr>
              <w:t>联系人：</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9"/>
                <w:w w:val="93"/>
                <w:sz w:val="21"/>
                <w:szCs w:val="21"/>
              </w:rPr>
              <w:t>联系电话：</w:t>
            </w:r>
            <w:r>
              <w:rPr>
                <w:rFonts w:ascii="方正书宋简体" w:hAnsi="方正书宋简体" w:eastAsia="方正书宋简体" w:cs="方正书宋简体"/>
                <w:sz w:val="21"/>
                <w:szCs w:val="21"/>
                <w:u w:val="single" w:color="auto"/>
              </w:rPr>
              <w:t xml:space="preserve">                                    </w:t>
            </w:r>
          </w:p>
        </w:tc>
      </w:tr>
    </w:tbl>
    <w:p>
      <w:pPr>
        <w:rPr>
          <w:rFonts w:ascii="Malgun Gothic"/>
          <w:sz w:val="21"/>
        </w:rPr>
      </w:pPr>
    </w:p>
    <w:p>
      <w:pPr>
        <w:sectPr>
          <w:footerReference r:id="rId136" w:type="default"/>
          <w:pgSz w:w="11905" w:h="16840"/>
          <w:pgMar w:top="1431" w:right="1577" w:bottom="1365" w:left="1578" w:header="0" w:footer="1241"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附件</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8"/>
          <w:sz w:val="24"/>
          <w:szCs w:val="24"/>
        </w:rPr>
        <w:t>1-3</w:t>
      </w:r>
    </w:p>
    <w:p>
      <w:pPr>
        <w:spacing w:before="112" w:line="180" w:lineRule="auto"/>
        <w:ind w:firstLine="1184"/>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吉首大学本科生学业预警通知单（家长回执）</w:t>
      </w:r>
    </w:p>
    <w:p>
      <w:pPr>
        <w:spacing w:before="13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学年学期：</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4"/>
          <w:sz w:val="21"/>
          <w:szCs w:val="21"/>
        </w:rPr>
        <w:t>—</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4"/>
          <w:sz w:val="21"/>
          <w:szCs w:val="21"/>
        </w:rPr>
        <w:t>学年度第</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4"/>
          <w:sz w:val="21"/>
          <w:szCs w:val="21"/>
        </w:rPr>
        <w:t>学期</w:t>
      </w:r>
    </w:p>
    <w:p>
      <w:pPr>
        <w:spacing w:line="4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4"/>
        <w:gridCol w:w="1517"/>
        <w:gridCol w:w="1038"/>
        <w:gridCol w:w="1751"/>
        <w:gridCol w:w="999"/>
        <w:gridCol w:w="1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654" w:type="dxa"/>
            <w:tcBorders>
              <w:top w:val="single" w:color="000000" w:sz="6" w:space="0"/>
              <w:left w:val="single" w:color="000000" w:sz="6" w:space="0"/>
            </w:tcBorders>
            <w:vAlign w:val="top"/>
          </w:tcPr>
          <w:p>
            <w:pPr>
              <w:spacing w:before="97" w:line="180" w:lineRule="auto"/>
              <w:ind w:firstLine="6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1517" w:type="dxa"/>
            <w:tcBorders>
              <w:top w:val="single" w:color="000000" w:sz="6" w:space="0"/>
            </w:tcBorders>
            <w:vAlign w:val="top"/>
          </w:tcPr>
          <w:p>
            <w:pPr>
              <w:rPr>
                <w:rFonts w:ascii="Malgun Gothic"/>
                <w:sz w:val="21"/>
              </w:rPr>
            </w:pPr>
          </w:p>
        </w:tc>
        <w:tc>
          <w:tcPr>
            <w:tcW w:w="1038" w:type="dxa"/>
            <w:tcBorders>
              <w:top w:val="single" w:color="000000" w:sz="6" w:space="0"/>
            </w:tcBorders>
            <w:vAlign w:val="top"/>
          </w:tcPr>
          <w:p>
            <w:pPr>
              <w:spacing w:before="97" w:line="180" w:lineRule="auto"/>
              <w:ind w:firstLine="3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751" w:type="dxa"/>
            <w:tcBorders>
              <w:top w:val="single" w:color="000000" w:sz="6" w:space="0"/>
            </w:tcBorders>
            <w:vAlign w:val="top"/>
          </w:tcPr>
          <w:p>
            <w:pPr>
              <w:rPr>
                <w:rFonts w:ascii="Malgun Gothic"/>
                <w:sz w:val="21"/>
              </w:rPr>
            </w:pPr>
          </w:p>
        </w:tc>
        <w:tc>
          <w:tcPr>
            <w:tcW w:w="999" w:type="dxa"/>
            <w:tcBorders>
              <w:top w:val="single" w:color="000000" w:sz="6" w:space="0"/>
            </w:tcBorders>
            <w:vAlign w:val="top"/>
          </w:tcPr>
          <w:p>
            <w:pPr>
              <w:spacing w:before="95" w:line="180" w:lineRule="auto"/>
              <w:ind w:firstLine="2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tc>
        <w:tc>
          <w:tcPr>
            <w:tcW w:w="1775"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654" w:type="dxa"/>
            <w:tcBorders>
              <w:left w:val="single" w:color="000000" w:sz="6" w:space="0"/>
            </w:tcBorders>
            <w:vAlign w:val="top"/>
          </w:tcPr>
          <w:p>
            <w:pPr>
              <w:spacing w:before="89" w:line="180" w:lineRule="auto"/>
              <w:ind w:firstLine="6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517" w:type="dxa"/>
            <w:vAlign w:val="top"/>
          </w:tcPr>
          <w:p>
            <w:pPr>
              <w:rPr>
                <w:rFonts w:ascii="Malgun Gothic"/>
                <w:sz w:val="21"/>
              </w:rPr>
            </w:pPr>
          </w:p>
        </w:tc>
        <w:tc>
          <w:tcPr>
            <w:tcW w:w="1038" w:type="dxa"/>
            <w:vAlign w:val="top"/>
          </w:tcPr>
          <w:p>
            <w:pPr>
              <w:spacing w:before="91" w:line="180" w:lineRule="auto"/>
              <w:ind w:firstLine="3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班级</w:t>
            </w:r>
          </w:p>
        </w:tc>
        <w:tc>
          <w:tcPr>
            <w:tcW w:w="1751" w:type="dxa"/>
            <w:vAlign w:val="top"/>
          </w:tcPr>
          <w:p>
            <w:pPr>
              <w:rPr>
                <w:rFonts w:ascii="Malgun Gothic"/>
                <w:sz w:val="21"/>
              </w:rPr>
            </w:pPr>
          </w:p>
        </w:tc>
        <w:tc>
          <w:tcPr>
            <w:tcW w:w="999" w:type="dxa"/>
            <w:vAlign w:val="top"/>
          </w:tcPr>
          <w:p>
            <w:pPr>
              <w:spacing w:before="86" w:line="180" w:lineRule="auto"/>
              <w:ind w:firstLine="2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177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5" w:hRule="atLeast"/>
        </w:trPr>
        <w:tc>
          <w:tcPr>
            <w:tcW w:w="1654" w:type="dxa"/>
            <w:tcBorders>
              <w:left w:val="single" w:color="000000" w:sz="6" w:space="0"/>
              <w:bottom w:val="nil"/>
            </w:tcBorders>
            <w:vAlign w:val="top"/>
          </w:tcPr>
          <w:p>
            <w:pPr>
              <w:spacing w:line="244" w:lineRule="auto"/>
              <w:rPr>
                <w:rFonts w:ascii="Malgun Gothic"/>
                <w:sz w:val="21"/>
              </w:rPr>
            </w:pPr>
          </w:p>
          <w:p>
            <w:pPr>
              <w:spacing w:line="244" w:lineRule="auto"/>
              <w:rPr>
                <w:rFonts w:ascii="Malgun Gothic"/>
                <w:sz w:val="21"/>
              </w:rPr>
            </w:pPr>
          </w:p>
          <w:p>
            <w:pPr>
              <w:spacing w:before="76" w:line="180" w:lineRule="auto"/>
              <w:ind w:firstLine="4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家长意见</w:t>
            </w:r>
          </w:p>
        </w:tc>
        <w:tc>
          <w:tcPr>
            <w:tcW w:w="7080" w:type="dxa"/>
            <w:gridSpan w:val="5"/>
            <w:tcBorders>
              <w:bottom w:val="nil"/>
              <w:right w:val="single" w:color="000000" w:sz="6" w:space="0"/>
            </w:tcBorders>
            <w:vAlign w:val="top"/>
          </w:tcPr>
          <w:p>
            <w:pPr>
              <w:spacing w:before="91" w:line="180" w:lineRule="auto"/>
              <w:ind w:firstLine="12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1、学生目前情况家长已经了解。</w:t>
            </w:r>
          </w:p>
          <w:p>
            <w:pPr>
              <w:spacing w:before="136"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2、学院的联系方式家长已经清楚。</w:t>
            </w:r>
          </w:p>
          <w:p>
            <w:pPr>
              <w:spacing w:before="133"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3、家长的想法、建议和要求请另附纸。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654" w:type="dxa"/>
            <w:tcBorders>
              <w:top w:val="nil"/>
              <w:left w:val="single" w:color="000000" w:sz="6" w:space="0"/>
            </w:tcBorders>
            <w:vAlign w:val="top"/>
          </w:tcPr>
          <w:p>
            <w:pPr>
              <w:rPr>
                <w:rFonts w:ascii="Malgun Gothic"/>
                <w:sz w:val="21"/>
              </w:rPr>
            </w:pPr>
          </w:p>
        </w:tc>
        <w:tc>
          <w:tcPr>
            <w:tcW w:w="7080" w:type="dxa"/>
            <w:gridSpan w:val="5"/>
            <w:tcBorders>
              <w:top w:val="nil"/>
              <w:right w:val="single" w:color="000000" w:sz="6" w:space="0"/>
            </w:tcBorders>
            <w:vAlign w:val="top"/>
          </w:tcPr>
          <w:p>
            <w:pPr>
              <w:spacing w:before="311" w:line="180" w:lineRule="auto"/>
              <w:ind w:firstLine="1366"/>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家长签名：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1654" w:type="dxa"/>
            <w:tcBorders>
              <w:left w:val="single" w:color="000000" w:sz="6" w:space="0"/>
              <w:bottom w:val="nil"/>
            </w:tcBorders>
            <w:vAlign w:val="top"/>
          </w:tcPr>
          <w:p>
            <w:pPr>
              <w:spacing w:line="254" w:lineRule="auto"/>
              <w:rPr>
                <w:rFonts w:ascii="Malgun Gothic"/>
                <w:sz w:val="21"/>
              </w:rPr>
            </w:pPr>
          </w:p>
          <w:p>
            <w:pPr>
              <w:spacing w:line="254" w:lineRule="auto"/>
              <w:rPr>
                <w:rFonts w:ascii="Malgun Gothic"/>
                <w:sz w:val="21"/>
              </w:rPr>
            </w:pPr>
          </w:p>
          <w:p>
            <w:pPr>
              <w:spacing w:before="74"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学业预警通知</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单收到</w:t>
            </w:r>
          </w:p>
          <w:p>
            <w:pPr>
              <w:spacing w:before="139" w:line="180" w:lineRule="auto"/>
              <w:ind w:firstLine="62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时间</w:t>
            </w:r>
          </w:p>
        </w:tc>
        <w:tc>
          <w:tcPr>
            <w:tcW w:w="7080" w:type="dxa"/>
            <w:gridSpan w:val="5"/>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654" w:type="dxa"/>
            <w:tcBorders>
              <w:top w:val="nil"/>
              <w:left w:val="single" w:color="000000" w:sz="6" w:space="0"/>
              <w:bottom w:val="single" w:color="000000" w:sz="6" w:space="0"/>
            </w:tcBorders>
            <w:vAlign w:val="top"/>
          </w:tcPr>
          <w:p>
            <w:pPr>
              <w:rPr>
                <w:rFonts w:ascii="Malgun Gothic"/>
                <w:sz w:val="21"/>
              </w:rPr>
            </w:pPr>
          </w:p>
        </w:tc>
        <w:tc>
          <w:tcPr>
            <w:tcW w:w="7080" w:type="dxa"/>
            <w:gridSpan w:val="5"/>
            <w:tcBorders>
              <w:top w:val="nil"/>
              <w:bottom w:val="single" w:color="000000" w:sz="6" w:space="0"/>
              <w:right w:val="single" w:color="000000" w:sz="6" w:space="0"/>
            </w:tcBorders>
            <w:vAlign w:val="top"/>
          </w:tcPr>
          <w:p>
            <w:pPr>
              <w:spacing w:before="285" w:line="180" w:lineRule="auto"/>
              <w:ind w:firstLine="592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bl>
    <w:p>
      <w:pPr>
        <w:spacing w:before="160"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附件</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0"/>
          <w:sz w:val="24"/>
          <w:szCs w:val="24"/>
        </w:rPr>
        <w:t>2：</w:t>
      </w:r>
    </w:p>
    <w:p>
      <w:pPr>
        <w:spacing w:before="112" w:line="161" w:lineRule="auto"/>
        <w:ind w:firstLine="150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吉首大学本科生学业预警学生谈话记录表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2179"/>
        <w:gridCol w:w="2179"/>
        <w:gridCol w:w="2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87" w:type="dxa"/>
            <w:tcBorders>
              <w:top w:val="single" w:color="000000" w:sz="6" w:space="0"/>
              <w:left w:val="single" w:color="000000" w:sz="6" w:space="0"/>
            </w:tcBorders>
            <w:vAlign w:val="top"/>
          </w:tcPr>
          <w:p>
            <w:pPr>
              <w:spacing w:before="95"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tc>
        <w:tc>
          <w:tcPr>
            <w:tcW w:w="2179" w:type="dxa"/>
            <w:tcBorders>
              <w:top w:val="single" w:color="000000" w:sz="6" w:space="0"/>
            </w:tcBorders>
            <w:vAlign w:val="top"/>
          </w:tcPr>
          <w:p>
            <w:pPr>
              <w:rPr>
                <w:rFonts w:ascii="Malgun Gothic"/>
                <w:sz w:val="21"/>
              </w:rPr>
            </w:pPr>
          </w:p>
        </w:tc>
        <w:tc>
          <w:tcPr>
            <w:tcW w:w="2179" w:type="dxa"/>
            <w:tcBorders>
              <w:top w:val="single" w:color="000000" w:sz="6" w:space="0"/>
            </w:tcBorders>
            <w:vAlign w:val="top"/>
          </w:tcPr>
          <w:p>
            <w:pPr>
              <w:spacing w:before="92" w:line="180" w:lineRule="auto"/>
              <w:ind w:firstLine="8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2189"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187" w:type="dxa"/>
            <w:tcBorders>
              <w:left w:val="single" w:color="000000" w:sz="6" w:space="0"/>
            </w:tcBorders>
            <w:vAlign w:val="top"/>
          </w:tcPr>
          <w:p>
            <w:pPr>
              <w:spacing w:before="91"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2179" w:type="dxa"/>
            <w:vAlign w:val="top"/>
          </w:tcPr>
          <w:p>
            <w:pPr>
              <w:rPr>
                <w:rFonts w:ascii="Malgun Gothic"/>
                <w:sz w:val="21"/>
              </w:rPr>
            </w:pPr>
          </w:p>
        </w:tc>
        <w:tc>
          <w:tcPr>
            <w:tcW w:w="2179" w:type="dxa"/>
            <w:vAlign w:val="top"/>
          </w:tcPr>
          <w:p>
            <w:pPr>
              <w:spacing w:before="91" w:line="180" w:lineRule="auto"/>
              <w:ind w:firstLine="8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218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87" w:type="dxa"/>
            <w:tcBorders>
              <w:left w:val="single" w:color="000000" w:sz="6" w:space="0"/>
            </w:tcBorders>
            <w:vAlign w:val="top"/>
          </w:tcPr>
          <w:p>
            <w:pPr>
              <w:spacing w:before="91" w:line="180" w:lineRule="auto"/>
              <w:ind w:firstLine="6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谈话时间</w:t>
            </w:r>
          </w:p>
        </w:tc>
        <w:tc>
          <w:tcPr>
            <w:tcW w:w="2179" w:type="dxa"/>
            <w:vAlign w:val="top"/>
          </w:tcPr>
          <w:p>
            <w:pPr>
              <w:rPr>
                <w:rFonts w:ascii="Malgun Gothic"/>
                <w:sz w:val="21"/>
              </w:rPr>
            </w:pPr>
          </w:p>
        </w:tc>
        <w:tc>
          <w:tcPr>
            <w:tcW w:w="2179" w:type="dxa"/>
            <w:vAlign w:val="top"/>
          </w:tcPr>
          <w:p>
            <w:pPr>
              <w:spacing w:before="86" w:line="193" w:lineRule="auto"/>
              <w:ind w:firstLine="6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谈话地点</w:t>
            </w:r>
          </w:p>
        </w:tc>
        <w:tc>
          <w:tcPr>
            <w:tcW w:w="218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734" w:type="dxa"/>
            <w:gridSpan w:val="4"/>
            <w:tcBorders>
              <w:left w:val="single" w:color="000000" w:sz="6" w:space="0"/>
              <w:right w:val="single" w:color="000000" w:sz="6" w:space="0"/>
            </w:tcBorders>
            <w:vAlign w:val="top"/>
          </w:tcPr>
          <w:p>
            <w:pPr>
              <w:spacing w:before="94" w:line="180" w:lineRule="auto"/>
              <w:ind w:firstLine="3629"/>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学业预警原因：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1" w:hRule="atLeast"/>
        </w:trPr>
        <w:tc>
          <w:tcPr>
            <w:tcW w:w="8734" w:type="dxa"/>
            <w:gridSpan w:val="4"/>
            <w:tcBorders>
              <w:left w:val="single" w:color="000000" w:sz="6" w:space="0"/>
              <w:bottom w:val="nil"/>
              <w:right w:val="single" w:color="000000" w:sz="6" w:space="0"/>
            </w:tcBorders>
            <w:vAlign w:val="top"/>
          </w:tcPr>
          <w:p>
            <w:pPr>
              <w:spacing w:before="96" w:line="180" w:lineRule="auto"/>
              <w:ind w:firstLine="383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谈话记录：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1" w:hRule="atLeast"/>
        </w:trPr>
        <w:tc>
          <w:tcPr>
            <w:tcW w:w="8734" w:type="dxa"/>
            <w:gridSpan w:val="4"/>
            <w:tcBorders>
              <w:top w:val="nil"/>
              <w:left w:val="single" w:color="000000" w:sz="6" w:space="0"/>
              <w:bottom w:val="single" w:color="000000" w:sz="6" w:space="0"/>
              <w:right w:val="single" w:color="000000" w:sz="6" w:space="0"/>
            </w:tcBorders>
            <w:vAlign w:val="top"/>
          </w:tcPr>
          <w:p>
            <w:pPr>
              <w:spacing w:line="278" w:lineRule="auto"/>
              <w:rPr>
                <w:rFonts w:ascii="Malgun Gothic"/>
                <w:sz w:val="21"/>
              </w:rPr>
            </w:pPr>
          </w:p>
          <w:p>
            <w:pPr>
              <w:spacing w:line="278" w:lineRule="auto"/>
              <w:rPr>
                <w:rFonts w:ascii="Malgun Gothic"/>
                <w:sz w:val="21"/>
              </w:rPr>
            </w:pPr>
          </w:p>
          <w:p>
            <w:pPr>
              <w:spacing w:line="278" w:lineRule="auto"/>
              <w:rPr>
                <w:rFonts w:ascii="Malgun Gothic"/>
                <w:sz w:val="21"/>
              </w:rPr>
            </w:pPr>
          </w:p>
          <w:p>
            <w:pPr>
              <w:spacing w:line="279" w:lineRule="auto"/>
              <w:rPr>
                <w:rFonts w:ascii="Malgun Gothic"/>
                <w:sz w:val="21"/>
              </w:rPr>
            </w:pPr>
          </w:p>
          <w:p>
            <w:pPr>
              <w:spacing w:before="75" w:line="180" w:lineRule="auto"/>
              <w:ind w:firstLine="22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7"/>
                <w:sz w:val="21"/>
                <w:szCs w:val="21"/>
              </w:rPr>
              <w:t>谈话人签名：</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20"/>
                <w:w w:val="97"/>
                <w:sz w:val="21"/>
                <w:szCs w:val="21"/>
              </w:rPr>
              <w:t>学生签名：</w:t>
            </w:r>
            <w:r>
              <w:rPr>
                <w:rFonts w:ascii="方正书宋简体" w:hAnsi="方正书宋简体" w:eastAsia="方正书宋简体" w:cs="方正书宋简体"/>
                <w:sz w:val="21"/>
                <w:szCs w:val="21"/>
                <w:u w:val="single" w:color="auto"/>
              </w:rPr>
              <w:t xml:space="preserve">                            </w:t>
            </w:r>
          </w:p>
        </w:tc>
      </w:tr>
    </w:tbl>
    <w:p>
      <w:pPr>
        <w:rPr>
          <w:rFonts w:ascii="Malgun Gothic"/>
          <w:sz w:val="21"/>
        </w:rPr>
      </w:pPr>
    </w:p>
    <w:p>
      <w:pPr>
        <w:sectPr>
          <w:footerReference r:id="rId137" w:type="default"/>
          <w:pgSz w:w="11905" w:h="16840"/>
          <w:pgMar w:top="1431" w:right="1577" w:bottom="1365" w:left="1578" w:header="0" w:footer="1241"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附件</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3：</w:t>
      </w:r>
    </w:p>
    <w:p>
      <w:pPr>
        <w:spacing w:before="112" w:line="161" w:lineRule="auto"/>
        <w:ind w:firstLine="150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吉首大学本科生学业预警家长谈话记录表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2179"/>
        <w:gridCol w:w="2179"/>
        <w:gridCol w:w="2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187" w:type="dxa"/>
            <w:tcBorders>
              <w:top w:val="single" w:color="000000" w:sz="6" w:space="0"/>
              <w:left w:val="single" w:color="000000" w:sz="6" w:space="0"/>
            </w:tcBorders>
            <w:vAlign w:val="top"/>
          </w:tcPr>
          <w:p>
            <w:pPr>
              <w:spacing w:before="97" w:line="180" w:lineRule="auto"/>
              <w:ind w:firstLine="6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学生姓名</w:t>
            </w:r>
          </w:p>
        </w:tc>
        <w:tc>
          <w:tcPr>
            <w:tcW w:w="2179" w:type="dxa"/>
            <w:tcBorders>
              <w:top w:val="single" w:color="000000" w:sz="6" w:space="0"/>
            </w:tcBorders>
            <w:vAlign w:val="top"/>
          </w:tcPr>
          <w:p>
            <w:pPr>
              <w:rPr>
                <w:rFonts w:ascii="Malgun Gothic"/>
                <w:sz w:val="21"/>
              </w:rPr>
            </w:pPr>
          </w:p>
        </w:tc>
        <w:tc>
          <w:tcPr>
            <w:tcW w:w="2179" w:type="dxa"/>
            <w:tcBorders>
              <w:top w:val="single" w:color="000000" w:sz="6" w:space="0"/>
            </w:tcBorders>
            <w:vAlign w:val="top"/>
          </w:tcPr>
          <w:p>
            <w:pPr>
              <w:spacing w:before="95" w:line="180" w:lineRule="auto"/>
              <w:ind w:firstLine="8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tc>
        <w:tc>
          <w:tcPr>
            <w:tcW w:w="2189"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187" w:type="dxa"/>
            <w:tcBorders>
              <w:left w:val="single" w:color="000000" w:sz="6" w:space="0"/>
            </w:tcBorders>
            <w:vAlign w:val="top"/>
          </w:tcPr>
          <w:p>
            <w:pPr>
              <w:spacing w:before="90"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2179" w:type="dxa"/>
            <w:vAlign w:val="top"/>
          </w:tcPr>
          <w:p>
            <w:pPr>
              <w:rPr>
                <w:rFonts w:ascii="Malgun Gothic"/>
                <w:sz w:val="21"/>
              </w:rPr>
            </w:pPr>
          </w:p>
        </w:tc>
        <w:tc>
          <w:tcPr>
            <w:tcW w:w="2179" w:type="dxa"/>
            <w:vAlign w:val="top"/>
          </w:tcPr>
          <w:p>
            <w:pPr>
              <w:spacing w:before="85" w:line="180" w:lineRule="auto"/>
              <w:ind w:firstLine="8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218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187" w:type="dxa"/>
            <w:tcBorders>
              <w:left w:val="single" w:color="000000" w:sz="6" w:space="0"/>
            </w:tcBorders>
            <w:vAlign w:val="top"/>
          </w:tcPr>
          <w:p>
            <w:pPr>
              <w:spacing w:before="89" w:line="180" w:lineRule="auto"/>
              <w:ind w:firstLine="67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家长姓名</w:t>
            </w:r>
          </w:p>
        </w:tc>
        <w:tc>
          <w:tcPr>
            <w:tcW w:w="2179" w:type="dxa"/>
            <w:vAlign w:val="top"/>
          </w:tcPr>
          <w:p>
            <w:pPr>
              <w:rPr>
                <w:rFonts w:ascii="Malgun Gothic"/>
                <w:sz w:val="21"/>
              </w:rPr>
            </w:pPr>
          </w:p>
        </w:tc>
        <w:tc>
          <w:tcPr>
            <w:tcW w:w="2179" w:type="dxa"/>
            <w:vAlign w:val="top"/>
          </w:tcPr>
          <w:p>
            <w:pPr>
              <w:spacing w:before="89" w:line="180" w:lineRule="auto"/>
              <w:ind w:firstLine="57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与学生关系</w:t>
            </w:r>
          </w:p>
        </w:tc>
        <w:tc>
          <w:tcPr>
            <w:tcW w:w="218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87" w:type="dxa"/>
            <w:tcBorders>
              <w:left w:val="single" w:color="000000" w:sz="6" w:space="0"/>
            </w:tcBorders>
            <w:vAlign w:val="top"/>
          </w:tcPr>
          <w:p>
            <w:pPr>
              <w:spacing w:before="91" w:line="180" w:lineRule="auto"/>
              <w:ind w:firstLine="6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谈话时间</w:t>
            </w:r>
          </w:p>
        </w:tc>
        <w:tc>
          <w:tcPr>
            <w:tcW w:w="2179" w:type="dxa"/>
            <w:vAlign w:val="top"/>
          </w:tcPr>
          <w:p>
            <w:pPr>
              <w:rPr>
                <w:rFonts w:ascii="Malgun Gothic"/>
                <w:sz w:val="21"/>
              </w:rPr>
            </w:pPr>
          </w:p>
        </w:tc>
        <w:tc>
          <w:tcPr>
            <w:tcW w:w="2179" w:type="dxa"/>
            <w:vAlign w:val="top"/>
          </w:tcPr>
          <w:p>
            <w:pPr>
              <w:spacing w:before="86" w:line="193" w:lineRule="auto"/>
              <w:ind w:firstLine="6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谈话地点</w:t>
            </w:r>
          </w:p>
        </w:tc>
        <w:tc>
          <w:tcPr>
            <w:tcW w:w="218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734" w:type="dxa"/>
            <w:gridSpan w:val="4"/>
            <w:tcBorders>
              <w:left w:val="single" w:color="000000" w:sz="6" w:space="0"/>
              <w:right w:val="single" w:color="000000" w:sz="6" w:space="0"/>
            </w:tcBorders>
            <w:vAlign w:val="top"/>
          </w:tcPr>
          <w:p>
            <w:pPr>
              <w:spacing w:before="94"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学业预警原因：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8734" w:type="dxa"/>
            <w:gridSpan w:val="4"/>
            <w:tcBorders>
              <w:left w:val="single" w:color="000000" w:sz="6" w:space="0"/>
              <w:bottom w:val="nil"/>
              <w:right w:val="single" w:color="000000" w:sz="6" w:space="0"/>
            </w:tcBorders>
            <w:vAlign w:val="top"/>
          </w:tcPr>
          <w:p>
            <w:pPr>
              <w:spacing w:before="96"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谈话记录：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8734" w:type="dxa"/>
            <w:gridSpan w:val="4"/>
            <w:tcBorders>
              <w:top w:val="nil"/>
              <w:left w:val="single" w:color="000000" w:sz="6" w:space="0"/>
              <w:right w:val="single" w:color="000000" w:sz="6" w:space="0"/>
            </w:tcBorders>
            <w:vAlign w:val="top"/>
          </w:tcPr>
          <w:p>
            <w:pPr>
              <w:spacing w:line="281" w:lineRule="auto"/>
              <w:rPr>
                <w:rFonts w:ascii="Malgun Gothic"/>
                <w:sz w:val="21"/>
              </w:rPr>
            </w:pPr>
          </w:p>
          <w:p>
            <w:pPr>
              <w:spacing w:line="281" w:lineRule="auto"/>
              <w:rPr>
                <w:rFonts w:ascii="Malgun Gothic"/>
                <w:sz w:val="21"/>
              </w:rPr>
            </w:pPr>
          </w:p>
          <w:p>
            <w:pPr>
              <w:spacing w:line="282" w:lineRule="auto"/>
              <w:rPr>
                <w:rFonts w:ascii="Malgun Gothic"/>
                <w:sz w:val="21"/>
              </w:rPr>
            </w:pPr>
          </w:p>
          <w:p>
            <w:pPr>
              <w:spacing w:before="76" w:line="180" w:lineRule="auto"/>
              <w:ind w:firstLine="1049"/>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8"/>
                <w:sz w:val="21"/>
                <w:szCs w:val="21"/>
              </w:rPr>
              <w:t>谈话人签名：</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20"/>
                <w:w w:val="98"/>
                <w:sz w:val="21"/>
                <w:szCs w:val="21"/>
              </w:rPr>
              <w:t>学生家长签名：</w:t>
            </w:r>
            <w:r>
              <w:rPr>
                <w:rFonts w:ascii="方正书宋简体" w:hAnsi="方正书宋简体" w:eastAsia="方正书宋简体" w:cs="方正书宋简体"/>
                <w:sz w:val="21"/>
                <w:szCs w:val="21"/>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5" w:hRule="atLeast"/>
        </w:trPr>
        <w:tc>
          <w:tcPr>
            <w:tcW w:w="8734" w:type="dxa"/>
            <w:gridSpan w:val="4"/>
            <w:tcBorders>
              <w:left w:val="single" w:color="000000" w:sz="6" w:space="0"/>
              <w:bottom w:val="nil"/>
              <w:right w:val="single" w:color="000000" w:sz="6" w:space="0"/>
            </w:tcBorders>
            <w:vAlign w:val="top"/>
          </w:tcPr>
          <w:p>
            <w:pPr>
              <w:spacing w:before="99"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家长意见：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9" w:hRule="atLeast"/>
        </w:trPr>
        <w:tc>
          <w:tcPr>
            <w:tcW w:w="8734" w:type="dxa"/>
            <w:gridSpan w:val="4"/>
            <w:tcBorders>
              <w:top w:val="nil"/>
              <w:left w:val="single" w:color="000000" w:sz="6" w:space="0"/>
              <w:right w:val="single" w:color="000000" w:sz="6" w:space="0"/>
            </w:tcBorders>
            <w:vAlign w:val="top"/>
          </w:tcPr>
          <w:p>
            <w:pPr>
              <w:spacing w:line="295" w:lineRule="auto"/>
              <w:rPr>
                <w:rFonts w:ascii="Malgun Gothic"/>
                <w:sz w:val="21"/>
              </w:rPr>
            </w:pPr>
          </w:p>
          <w:p>
            <w:pPr>
              <w:spacing w:line="295" w:lineRule="auto"/>
              <w:rPr>
                <w:rFonts w:ascii="Malgun Gothic"/>
                <w:sz w:val="21"/>
              </w:rPr>
            </w:pPr>
          </w:p>
          <w:p>
            <w:pPr>
              <w:spacing w:line="296" w:lineRule="auto"/>
              <w:rPr>
                <w:rFonts w:ascii="Malgun Gothic"/>
                <w:sz w:val="21"/>
              </w:rPr>
            </w:pPr>
          </w:p>
          <w:p>
            <w:pPr>
              <w:spacing w:before="76" w:line="180" w:lineRule="auto"/>
              <w:ind w:firstLine="949"/>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w w:val="99"/>
                <w:sz w:val="21"/>
                <w:szCs w:val="21"/>
              </w:rPr>
              <w:t>家长联系方式：</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21"/>
                <w:w w:val="99"/>
                <w:sz w:val="21"/>
                <w:szCs w:val="21"/>
              </w:rPr>
              <w:t>学生家长签名：</w:t>
            </w:r>
            <w:r>
              <w:rPr>
                <w:rFonts w:ascii="方正书宋简体" w:hAnsi="方正书宋简体" w:eastAsia="方正书宋简体" w:cs="方正书宋简体"/>
                <w:sz w:val="21"/>
                <w:szCs w:val="21"/>
                <w:u w:val="single" w:color="auto"/>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9" w:hRule="atLeast"/>
        </w:trPr>
        <w:tc>
          <w:tcPr>
            <w:tcW w:w="8734" w:type="dxa"/>
            <w:gridSpan w:val="4"/>
            <w:tcBorders>
              <w:left w:val="single" w:color="000000" w:sz="6" w:space="0"/>
              <w:bottom w:val="nil"/>
              <w:right w:val="single" w:color="000000" w:sz="6" w:space="0"/>
            </w:tcBorders>
            <w:vAlign w:val="top"/>
          </w:tcPr>
          <w:p>
            <w:pPr>
              <w:spacing w:before="101"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学院意见：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9" w:hRule="atLeast"/>
        </w:trPr>
        <w:tc>
          <w:tcPr>
            <w:tcW w:w="8734" w:type="dxa"/>
            <w:gridSpan w:val="4"/>
            <w:tcBorders>
              <w:top w:val="nil"/>
              <w:left w:val="single" w:color="000000" w:sz="6" w:space="0"/>
              <w:bottom w:val="single" w:color="000000" w:sz="6" w:space="0"/>
              <w:right w:val="single" w:color="000000" w:sz="6" w:space="0"/>
            </w:tcBorders>
            <w:vAlign w:val="top"/>
          </w:tcPr>
          <w:p>
            <w:pPr>
              <w:spacing w:line="308" w:lineRule="auto"/>
              <w:rPr>
                <w:rFonts w:ascii="Malgun Gothic"/>
                <w:sz w:val="21"/>
              </w:rPr>
            </w:pPr>
          </w:p>
          <w:p>
            <w:pPr>
              <w:spacing w:line="308" w:lineRule="auto"/>
              <w:rPr>
                <w:rFonts w:ascii="Malgun Gothic"/>
                <w:sz w:val="21"/>
              </w:rPr>
            </w:pPr>
          </w:p>
          <w:p>
            <w:pPr>
              <w:spacing w:line="308" w:lineRule="auto"/>
              <w:rPr>
                <w:rFonts w:ascii="Malgun Gothic"/>
                <w:sz w:val="21"/>
              </w:rPr>
            </w:pPr>
          </w:p>
          <w:p>
            <w:pPr>
              <w:spacing w:before="75" w:line="180" w:lineRule="auto"/>
              <w:ind w:firstLine="8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7"/>
                <w:sz w:val="21"/>
                <w:szCs w:val="21"/>
              </w:rPr>
              <w:t>负责人签名：</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7"/>
                <w:sz w:val="21"/>
                <w:szCs w:val="21"/>
              </w:rPr>
              <w:t>学院盖章：</w:t>
            </w:r>
          </w:p>
        </w:tc>
      </w:tr>
    </w:tbl>
    <w:p>
      <w:pPr>
        <w:rPr>
          <w:rFonts w:ascii="Malgun Gothic"/>
          <w:sz w:val="21"/>
        </w:rPr>
      </w:pPr>
    </w:p>
    <w:p>
      <w:pPr>
        <w:sectPr>
          <w:footerReference r:id="rId138" w:type="default"/>
          <w:pgSz w:w="11905" w:h="16840"/>
          <w:pgMar w:top="1431" w:right="1577" w:bottom="1365" w:left="1578" w:header="0" w:footer="1241" w:gutter="0"/>
          <w:cols w:space="720" w:num="1"/>
        </w:sectPr>
      </w:pPr>
    </w:p>
    <w:p>
      <w:pPr>
        <w:spacing w:before="349" w:line="180" w:lineRule="auto"/>
        <w:ind w:firstLine="149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吉首大学辅修专业与双学士学位管理办法</w:t>
      </w:r>
    </w:p>
    <w:p>
      <w:pPr>
        <w:spacing w:line="295" w:lineRule="auto"/>
        <w:rPr>
          <w:rFonts w:ascii="Malgun Gothic"/>
          <w:sz w:val="21"/>
        </w:rPr>
      </w:pPr>
    </w:p>
    <w:p>
      <w:pPr>
        <w:spacing w:before="104" w:line="180"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65" w:lineRule="auto"/>
        <w:ind w:left="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第一条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2"/>
          <w:sz w:val="24"/>
          <w:szCs w:val="24"/>
        </w:rPr>
        <w:t>为适应社会发展需要，</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培养高素质的复合型人才，</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sz w:val="24"/>
          <w:szCs w:val="24"/>
        </w:rPr>
        <w:t>鼓励一些成绩突出，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学有余力的学生在较好完成主修专业学习任务的前提下学习其他专业，扩大学生的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知识面，提高就业竞争能力，学校实行辅修专业与双学士学位制度。为规范管理，</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5"/>
          <w:sz w:val="24"/>
          <w:szCs w:val="24"/>
        </w:rPr>
        <w:t>特制定本办法。</w:t>
      </w:r>
    </w:p>
    <w:p>
      <w:pPr>
        <w:spacing w:before="206"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4"/>
          <w:sz w:val="24"/>
          <w:szCs w:val="24"/>
        </w:rPr>
        <w:t>辅修专业与双学士学位。</w:t>
      </w:r>
    </w:p>
    <w:p>
      <w:pPr>
        <w:spacing w:before="150" w:line="315" w:lineRule="auto"/>
        <w:ind w:left="7" w:right="75"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9"/>
          <w:sz w:val="24"/>
          <w:szCs w:val="24"/>
        </w:rPr>
        <w:t>双学士学位。学生在修业期限内修读主修专业并获得学士学位的同时，</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9"/>
          <w:sz w:val="24"/>
          <w:szCs w:val="24"/>
        </w:rPr>
        <w:t>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获得另一不同于主修学科门类中的第二专业的毕业资格，并符合授予学位条件，可</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4"/>
          <w:sz w:val="24"/>
          <w:szCs w:val="24"/>
        </w:rPr>
        <w:t>获得双学士学位。</w:t>
      </w:r>
    </w:p>
    <w:p>
      <w:pPr>
        <w:spacing w:before="1"/>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3"/>
          <w:sz w:val="24"/>
          <w:szCs w:val="24"/>
        </w:rPr>
        <w:t>辅修专业。学生在修读主修专业的同时，</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修读其他专业作为第二专业，</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成第二专业培养计划规定课程且成绩合格，即可获得辅修专业证书。</w:t>
      </w:r>
    </w:p>
    <w:p>
      <w:pPr>
        <w:spacing w:before="204" w:line="180" w:lineRule="auto"/>
        <w:ind w:firstLine="305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辅修专业的设置</w:t>
      </w:r>
    </w:p>
    <w:p>
      <w:pPr>
        <w:spacing w:before="140" w:line="294" w:lineRule="auto"/>
        <w:ind w:left="1"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第三条</w:t>
      </w:r>
      <w:r>
        <w:rPr>
          <w:rFonts w:ascii="Microsoft JhengHei" w:hAnsi="Microsoft JhengHei" w:eastAsia="Microsoft JhengHei" w:cs="Microsoft JhengHei"/>
          <w:spacing w:val="15"/>
          <w:sz w:val="24"/>
          <w:szCs w:val="24"/>
        </w:rPr>
        <w:t xml:space="preserve">    </w:t>
      </w:r>
      <w:r>
        <w:rPr>
          <w:rFonts w:ascii="方正书宋简体" w:hAnsi="方正书宋简体" w:eastAsia="方正书宋简体" w:cs="方正书宋简体"/>
          <w:spacing w:val="8"/>
          <w:sz w:val="24"/>
          <w:szCs w:val="24"/>
        </w:rPr>
        <w:t>辅修专业的设置原则上是学校所设已具有学士学位授予权的本科专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业，学院设置的辅修专业应充分考虑到本专业教学资源和办学条件，以保证人才培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养要求和培养质量。</w:t>
      </w:r>
    </w:p>
    <w:p>
      <w:pPr>
        <w:spacing w:before="2" w:line="232" w:lineRule="auto"/>
        <w:ind w:left="3" w:right="7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辅修专业由学院自主申报，辅修专业的申报每年进行一次，申报辅修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专业的学院须在每年</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4</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月底之前，将申报材料送教务处组织审批。</w:t>
      </w:r>
    </w:p>
    <w:p>
      <w:pPr>
        <w:spacing w:before="167" w:line="277" w:lineRule="auto"/>
        <w:ind w:left="3" w:right="7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辅修专业、双学士学位的培养计划由专业所在学院根据专业特点和要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求，按照本科专业人才培养方案制定，经教务处审核后实施。</w:t>
      </w:r>
    </w:p>
    <w:p>
      <w:pPr>
        <w:spacing w:before="23" w:line="266" w:lineRule="auto"/>
        <w:ind w:right="75"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第六条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3"/>
          <w:sz w:val="24"/>
          <w:szCs w:val="24"/>
        </w:rPr>
        <w:t>双学士学位、辅修专业均实行学分制管理。辅修专业一般设置</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3"/>
          <w:sz w:val="24"/>
          <w:szCs w:val="24"/>
        </w:rPr>
        <w:t>6—8</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3"/>
          <w:sz w:val="24"/>
          <w:szCs w:val="24"/>
        </w:rPr>
        <w:t>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主要专业基础课和专业主干课程，</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6"/>
          <w:sz w:val="24"/>
          <w:szCs w:val="24"/>
        </w:rPr>
        <w:t>总学分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6"/>
          <w:sz w:val="24"/>
          <w:szCs w:val="24"/>
        </w:rPr>
        <w:t>25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学分左右。双学士学位课程在辅修专业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课程基础上增加若干门课程（包括学科基础课、专业主干课、专业限选课等</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4"/>
          <w:sz w:val="24"/>
          <w:szCs w:val="24"/>
        </w:rPr>
        <w:t>总学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分</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50</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6"/>
          <w:sz w:val="24"/>
          <w:szCs w:val="24"/>
        </w:rPr>
        <w:t>学分左右，其中包括毕业设计（论文）、专业实习等实践环节。</w:t>
      </w:r>
    </w:p>
    <w:p>
      <w:pPr>
        <w:spacing w:before="204" w:line="180" w:lineRule="auto"/>
        <w:ind w:firstLine="245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辅修专业与双学士学位申报</w:t>
      </w:r>
    </w:p>
    <w:p>
      <w:pPr>
        <w:spacing w:before="139" w:line="290" w:lineRule="auto"/>
        <w:ind w:left="3" w:right="7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第七条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2"/>
          <w:sz w:val="24"/>
          <w:szCs w:val="24"/>
        </w:rPr>
        <w:t>我校凡在读本科生，进校后修满</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2"/>
          <w:sz w:val="24"/>
          <w:szCs w:val="24"/>
        </w:rPr>
        <w:t>学年课程，主修专业必修课程考核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sz w:val="24"/>
          <w:szCs w:val="24"/>
        </w:rPr>
        <w:t>成绩合格，</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3"/>
          <w:sz w:val="24"/>
          <w:szCs w:val="24"/>
        </w:rPr>
        <w:t>平均绩点</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23"/>
          <w:sz w:val="24"/>
          <w:szCs w:val="24"/>
        </w:rPr>
        <w:t>3.0</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3"/>
          <w:sz w:val="24"/>
          <w:szCs w:val="24"/>
        </w:rPr>
        <w:t>以上，</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3"/>
          <w:sz w:val="24"/>
          <w:szCs w:val="24"/>
        </w:rPr>
        <w:t>思想政治表现优秀，</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3"/>
          <w:sz w:val="24"/>
          <w:szCs w:val="24"/>
        </w:rPr>
        <w:t>学有余力，</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3"/>
          <w:sz w:val="24"/>
          <w:szCs w:val="24"/>
        </w:rPr>
        <w:t>且学习能力较强，</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3"/>
          <w:sz w:val="24"/>
          <w:szCs w:val="24"/>
        </w:rPr>
        <w:t>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校期间未受记过及以上处分者，可申请修读辅修专业和双学士学位。</w:t>
      </w:r>
    </w:p>
    <w:p>
      <w:pPr>
        <w:spacing w:before="21" w:line="192"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第八条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5"/>
          <w:sz w:val="24"/>
          <w:szCs w:val="24"/>
        </w:rPr>
        <w:t>每一个学生只能申请一个专业作为辅修修读专业，一旦申请注册后不得</w:t>
      </w:r>
    </w:p>
    <w:p>
      <w:pPr>
        <w:sectPr>
          <w:footerReference r:id="rId139" w:type="default"/>
          <w:pgSz w:w="11905" w:h="16840"/>
          <w:pgMar w:top="1431" w:right="1509" w:bottom="1365" w:left="1588" w:header="0" w:footer="1241" w:gutter="0"/>
          <w:cols w:space="720" w:num="1"/>
        </w:sectPr>
      </w:pPr>
    </w:p>
    <w:p>
      <w:pPr>
        <w:spacing w:before="424" w:line="225" w:lineRule="auto"/>
        <w:ind w:left="621" w:right="162" w:hanging="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变更其辅修专业。特殊专业（艺体类相关专业）不能作为其他学院学生的辅修专业。</w:t>
      </w:r>
      <w:r>
        <w:rPr>
          <w:rFonts w:ascii="方正书宋简体" w:hAnsi="方正书宋简体" w:eastAsia="方正书宋简体" w:cs="方正书宋简体"/>
          <w:spacing w:val="14"/>
          <w:sz w:val="24"/>
          <w:szCs w:val="24"/>
        </w:rPr>
        <w:t xml:space="preserve"> </w:t>
      </w:r>
      <w:r>
        <w:rPr>
          <w:rFonts w:ascii="Microsoft JhengHei" w:hAnsi="Microsoft JhengHei" w:eastAsia="Microsoft JhengHei" w:cs="Microsoft JhengHei"/>
          <w:spacing w:val="-3"/>
          <w:sz w:val="24"/>
          <w:szCs w:val="24"/>
        </w:rPr>
        <w:t>第九条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3"/>
          <w:sz w:val="24"/>
          <w:szCs w:val="24"/>
        </w:rPr>
        <w:t>录取、缴费与注册</w:t>
      </w:r>
    </w:p>
    <w:p>
      <w:pPr>
        <w:spacing w:before="193" w:line="315" w:lineRule="auto"/>
        <w:ind w:left="13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（一）符合条件的学生申报辅修专业和双学士学位须在第四学期第一周内向所在</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3"/>
          <w:sz w:val="24"/>
          <w:szCs w:val="24"/>
        </w:rPr>
        <w:t>学院提出书面申请，</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3"/>
          <w:sz w:val="24"/>
          <w:szCs w:val="24"/>
        </w:rPr>
        <w:t>填写《吉首大学辅修专业与双学士学位申请表》，</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学生所在学院</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进行资格审查，并经开办辅修专业学院审核同意后，报教务处审批。</w:t>
      </w:r>
    </w:p>
    <w:p>
      <w:pPr>
        <w:spacing w:line="239" w:lineRule="auto"/>
        <w:ind w:left="136"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教务处审核后第二周公布修读辅修专业、双学士学位的学生名单，</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学生所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在学院负责通知学生在规定时间内缴纳培养费和办理注册手续。</w:t>
      </w:r>
    </w:p>
    <w:p>
      <w:pPr>
        <w:spacing w:before="219" w:line="26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（三）辅修专业的课程学习与主修专业的课程学习同时进行，从学生进校后第</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学期开始，到学生进校后第</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3"/>
          <w:sz w:val="24"/>
          <w:szCs w:val="24"/>
        </w:rPr>
        <w:t>8</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3"/>
          <w:sz w:val="24"/>
          <w:szCs w:val="24"/>
        </w:rPr>
        <w:t>学期为止。特殊情况经申请可批准延长在校学习时间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（但不超过修业年限）。</w:t>
      </w:r>
    </w:p>
    <w:p>
      <w:pPr>
        <w:spacing w:before="204" w:line="282" w:lineRule="auto"/>
        <w:ind w:left="135" w:righ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学生不论因何种因素造成中途终止辅修的，学校不退还已交费用。凡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终止辅修者，其在辅修专业所修合格的课程，可获得辅修课程证书。</w:t>
      </w:r>
    </w:p>
    <w:p>
      <w:pPr>
        <w:spacing w:before="11" w:line="197" w:lineRule="auto"/>
        <w:ind w:firstLine="294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2"/>
          <w:sz w:val="24"/>
          <w:szCs w:val="24"/>
        </w:rPr>
        <w:t>课程修读与学籍管理</w:t>
      </w:r>
    </w:p>
    <w:p>
      <w:pPr>
        <w:spacing w:before="110" w:line="282" w:lineRule="auto"/>
        <w:ind w:left="134" w:righ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辅修专业、双学士学位必须严格按培养计划修读完所有课程、专业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集中实践环节，并获得相应学分。</w:t>
      </w:r>
    </w:p>
    <w:p>
      <w:pPr>
        <w:spacing w:before="7" w:line="266" w:lineRule="auto"/>
        <w:ind w:left="13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辅修专业、双学士学位课程修读分跟班修读和单独开班修读两种形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式，主办学院根据情况选择不同开班形式。每年六月的第三周学生凭修读证到辅修</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专业所在学院教务办办理选课手续。学生考核成绩分别报教务处学籍科及学生主修</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专业所在学院。</w:t>
      </w:r>
    </w:p>
    <w:p>
      <w:pPr>
        <w:spacing w:before="205" w:line="250"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辅修专业课程学习的其它要求与主修专业的课程学习要求一致。学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生辅修专业所在学院负责对辅修专业（课程）</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的学生进行学籍管理，每学期期末审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查学生继续修读的资格，向教务处教务科提交审查结果，并通知修读学生。</w:t>
      </w:r>
    </w:p>
    <w:p>
      <w:pPr>
        <w:spacing w:before="204" w:line="275" w:lineRule="auto"/>
        <w:ind w:left="131"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辅修专业培养计划中某门课程的要求和学分高于主修专业的同一门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课程者，可以向本学院主管领导申请免修主修专业的该门课程，并附辅修专业出具</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的成绩证明和学分证明。如主修专业培养计划中某门课程的要求和学分高于辅修专</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业的同一门课程，并由主修专业学院出具成绩证明和学分证明，学生可向辅修专业</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4"/>
          <w:sz w:val="24"/>
          <w:szCs w:val="24"/>
        </w:rPr>
        <w:t>开课学院申请免修，具体见《吉首大学课程修读管理办法》。</w:t>
      </w:r>
    </w:p>
    <w:p>
      <w:pPr>
        <w:spacing w:before="203" w:line="295"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修读辅修专业、双学士学位的学生，应首先保证完成其主修专业课</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程的学习，如主修专业学习过程中达到《吉首大学本科生学籍管理规定》中学业警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示或退学条件，取消修读双学士学位、辅修专业资格。</w:t>
      </w:r>
    </w:p>
    <w:p>
      <w:pPr>
        <w:sectPr>
          <w:footerReference r:id="rId140" w:type="default"/>
          <w:pgSz w:w="11905" w:h="16840"/>
          <w:pgMar w:top="1431" w:right="1585" w:bottom="1365" w:left="1457" w:header="0" w:footer="1241" w:gutter="0"/>
          <w:cols w:space="720" w:num="1"/>
        </w:sectPr>
      </w:pPr>
    </w:p>
    <w:p>
      <w:pPr>
        <w:spacing w:before="41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开设辅修专业的学院应认真按主修专业一样进行教学管理，不得降</w:t>
      </w:r>
    </w:p>
    <w:p>
      <w:pPr>
        <w:spacing w:before="151"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低教学要求。</w:t>
      </w:r>
    </w:p>
    <w:p>
      <w:pPr>
        <w:spacing w:before="180" w:line="180" w:lineRule="auto"/>
        <w:ind w:firstLine="25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毕业与学士学位资格审定</w:t>
      </w:r>
    </w:p>
    <w:p>
      <w:pPr>
        <w:spacing w:before="138" w:line="25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第十七条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3"/>
          <w:sz w:val="24"/>
          <w:szCs w:val="24"/>
        </w:rPr>
        <w:t>双学士学位、辅修专业学生的毕业资格审核工作由开设双学士学位、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辅修专业的学院负责，辅修专业学士学位的授予应经学院学士学位评定分委员会审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查通过后，上报校学士学位委员会审定。</w:t>
      </w:r>
    </w:p>
    <w:p>
      <w:pPr>
        <w:spacing w:before="206" w:line="258" w:lineRule="auto"/>
        <w:ind w:left="1"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修读辅修专业的学生，在主修专业学制规定的学习年限内，修完辅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修专业培养计划规定的全部课程，成绩合格获得相应的学分，发给“吉首大学辅修</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专业证书”；未达到辅修专业条件的，发给“吉首大学辅修专业课程学习证明书”</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8"/>
          <w:sz w:val="24"/>
          <w:szCs w:val="24"/>
        </w:rPr>
        <w:t>。</w:t>
      </w:r>
    </w:p>
    <w:p>
      <w:pPr>
        <w:spacing w:before="163" w:line="266" w:lineRule="auto"/>
        <w:ind w:left="1" w:right="1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修读双学士学位专业的学生，在主修专业学制规定的学习年限内，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修完双学士学位专业培养方案规定的全部课程（环节</w:t>
      </w:r>
      <w:r>
        <w:rPr>
          <w:rFonts w:ascii="方正书宋简体" w:hAnsi="方正书宋简体" w:eastAsia="方正书宋简体" w:cs="方正书宋简体"/>
          <w:spacing w:val="-91"/>
          <w:sz w:val="24"/>
          <w:szCs w:val="24"/>
        </w:rPr>
        <w:t>），</w:t>
      </w:r>
      <w:r>
        <w:rPr>
          <w:rFonts w:ascii="方正书宋简体" w:hAnsi="方正书宋简体" w:eastAsia="方正书宋简体" w:cs="方正书宋简体"/>
          <w:spacing w:val="57"/>
          <w:w w:val="101"/>
          <w:sz w:val="24"/>
          <w:szCs w:val="24"/>
        </w:rPr>
        <w:t xml:space="preserve"> </w:t>
      </w:r>
      <w:r>
        <w:rPr>
          <w:rFonts w:ascii="方正书宋简体" w:hAnsi="方正书宋简体" w:eastAsia="方正书宋简体" w:cs="方正书宋简体"/>
          <w:spacing w:val="-7"/>
          <w:sz w:val="24"/>
          <w:szCs w:val="24"/>
        </w:rPr>
        <w:t>成绩合格、取得相应的学分，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可授予辅修专业学士学位。未能获得主修专业学士学位或未完成双学士学位培养计</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5"/>
          <w:sz w:val="24"/>
          <w:szCs w:val="24"/>
        </w:rPr>
        <w:t>划规定的全部教学环节，但达到辅修专业要求者，发给“吉首大学辅修专业证书”。</w:t>
      </w:r>
    </w:p>
    <w:p>
      <w:pPr>
        <w:spacing w:before="2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8" w:line="282" w:lineRule="auto"/>
        <w:ind w:left="3" w:right="10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第二十条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9"/>
          <w:sz w:val="24"/>
          <w:szCs w:val="24"/>
        </w:rPr>
        <w:t>本办法中未尽事宜，按《吉首大学本科生学籍管理规定》、</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9"/>
          <w:sz w:val="24"/>
          <w:szCs w:val="24"/>
        </w:rPr>
        <w:t>《吉首大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学学士学位授予工作细则》等有关规定执行。</w:t>
      </w:r>
    </w:p>
    <w:p>
      <w:pPr>
        <w:spacing w:before="11"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本办法由教务处负责解释。</w:t>
      </w:r>
    </w:p>
    <w:p>
      <w:pPr>
        <w:sectPr>
          <w:footerReference r:id="rId141" w:type="default"/>
          <w:pgSz w:w="11905" w:h="16840"/>
          <w:pgMar w:top="1431" w:right="1490" w:bottom="1365" w:left="1590" w:header="0" w:footer="1241" w:gutter="0"/>
          <w:cols w:space="720" w:num="1"/>
        </w:sectPr>
      </w:pPr>
    </w:p>
    <w:p>
      <w:pPr>
        <w:spacing w:before="349" w:line="161" w:lineRule="auto"/>
        <w:ind w:firstLine="13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吉首大学修读辅修专业与双学士学位申请表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466"/>
        <w:gridCol w:w="1466"/>
        <w:gridCol w:w="1599"/>
        <w:gridCol w:w="1278"/>
        <w:gridCol w:w="1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7" w:hRule="atLeast"/>
        </w:trPr>
        <w:tc>
          <w:tcPr>
            <w:tcW w:w="1393" w:type="dxa"/>
            <w:tcBorders>
              <w:top w:val="single" w:color="000000" w:sz="6" w:space="0"/>
              <w:left w:val="single" w:color="000000" w:sz="6" w:space="0"/>
            </w:tcBorders>
            <w:vAlign w:val="top"/>
          </w:tcPr>
          <w:p>
            <w:pPr>
              <w:spacing w:before="177" w:line="180" w:lineRule="auto"/>
              <w:ind w:firstLine="4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tc>
        <w:tc>
          <w:tcPr>
            <w:tcW w:w="1466" w:type="dxa"/>
            <w:tcBorders>
              <w:top w:val="single" w:color="000000" w:sz="6" w:space="0"/>
            </w:tcBorders>
            <w:vAlign w:val="top"/>
          </w:tcPr>
          <w:p>
            <w:pPr>
              <w:rPr>
                <w:rFonts w:ascii="Malgun Gothic"/>
                <w:sz w:val="21"/>
              </w:rPr>
            </w:pPr>
          </w:p>
        </w:tc>
        <w:tc>
          <w:tcPr>
            <w:tcW w:w="1466" w:type="dxa"/>
            <w:tcBorders>
              <w:top w:val="single" w:color="000000" w:sz="6" w:space="0"/>
            </w:tcBorders>
            <w:vAlign w:val="top"/>
          </w:tcPr>
          <w:p>
            <w:pPr>
              <w:spacing w:before="174" w:line="180" w:lineRule="auto"/>
              <w:ind w:firstLine="52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1599" w:type="dxa"/>
            <w:tcBorders>
              <w:top w:val="single" w:color="000000" w:sz="6" w:space="0"/>
            </w:tcBorders>
            <w:vAlign w:val="top"/>
          </w:tcPr>
          <w:p>
            <w:pPr>
              <w:rPr>
                <w:rFonts w:ascii="Malgun Gothic"/>
                <w:sz w:val="21"/>
              </w:rPr>
            </w:pPr>
          </w:p>
        </w:tc>
        <w:tc>
          <w:tcPr>
            <w:tcW w:w="1278" w:type="dxa"/>
            <w:tcBorders>
              <w:top w:val="single" w:color="000000" w:sz="6" w:space="0"/>
            </w:tcBorders>
            <w:vAlign w:val="top"/>
          </w:tcPr>
          <w:p>
            <w:pPr>
              <w:spacing w:before="177" w:line="180" w:lineRule="auto"/>
              <w:ind w:firstLine="4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年级</w:t>
            </w:r>
          </w:p>
        </w:tc>
        <w:tc>
          <w:tcPr>
            <w:tcW w:w="1532"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393" w:type="dxa"/>
            <w:tcBorders>
              <w:left w:val="single" w:color="000000" w:sz="6" w:space="0"/>
            </w:tcBorders>
            <w:vAlign w:val="top"/>
          </w:tcPr>
          <w:p>
            <w:pPr>
              <w:spacing w:before="173" w:line="180" w:lineRule="auto"/>
              <w:ind w:firstLine="4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466" w:type="dxa"/>
            <w:vAlign w:val="top"/>
          </w:tcPr>
          <w:p>
            <w:pPr>
              <w:rPr>
                <w:rFonts w:ascii="Malgun Gothic"/>
                <w:sz w:val="21"/>
              </w:rPr>
            </w:pPr>
          </w:p>
        </w:tc>
        <w:tc>
          <w:tcPr>
            <w:tcW w:w="1466" w:type="dxa"/>
            <w:vAlign w:val="top"/>
          </w:tcPr>
          <w:p>
            <w:pPr>
              <w:spacing w:before="173" w:line="180" w:lineRule="auto"/>
              <w:ind w:firstLine="52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班级</w:t>
            </w:r>
          </w:p>
        </w:tc>
        <w:tc>
          <w:tcPr>
            <w:tcW w:w="1599" w:type="dxa"/>
            <w:vAlign w:val="top"/>
          </w:tcPr>
          <w:p>
            <w:pPr>
              <w:rPr>
                <w:rFonts w:ascii="Malgun Gothic"/>
                <w:sz w:val="21"/>
              </w:rPr>
            </w:pPr>
          </w:p>
        </w:tc>
        <w:tc>
          <w:tcPr>
            <w:tcW w:w="1278" w:type="dxa"/>
            <w:vAlign w:val="top"/>
          </w:tcPr>
          <w:p>
            <w:pPr>
              <w:spacing w:before="173" w:line="180" w:lineRule="auto"/>
              <w:ind w:firstLine="48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tc>
        <w:tc>
          <w:tcPr>
            <w:tcW w:w="1532"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4325" w:type="dxa"/>
            <w:gridSpan w:val="3"/>
            <w:tcBorders>
              <w:left w:val="single" w:color="000000" w:sz="6" w:space="0"/>
            </w:tcBorders>
            <w:vAlign w:val="top"/>
          </w:tcPr>
          <w:p>
            <w:pPr>
              <w:spacing w:before="171" w:line="180" w:lineRule="auto"/>
              <w:ind w:firstLine="174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主修专业</w:t>
            </w:r>
          </w:p>
        </w:tc>
        <w:tc>
          <w:tcPr>
            <w:tcW w:w="1599" w:type="dxa"/>
            <w:vAlign w:val="top"/>
          </w:tcPr>
          <w:p>
            <w:pPr>
              <w:rPr>
                <w:rFonts w:ascii="Malgun Gothic"/>
                <w:sz w:val="21"/>
              </w:rPr>
            </w:pPr>
          </w:p>
        </w:tc>
        <w:tc>
          <w:tcPr>
            <w:tcW w:w="2810" w:type="dxa"/>
            <w:gridSpan w:val="2"/>
            <w:tcBorders>
              <w:right w:val="single" w:color="000000" w:sz="6" w:space="0"/>
            </w:tcBorders>
            <w:vAlign w:val="top"/>
          </w:tcPr>
          <w:p>
            <w:pPr>
              <w:spacing w:before="168" w:line="193" w:lineRule="auto"/>
              <w:ind w:firstLine="8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平均学分点绩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6" w:hRule="atLeast"/>
        </w:trPr>
        <w:tc>
          <w:tcPr>
            <w:tcW w:w="2859" w:type="dxa"/>
            <w:gridSpan w:val="2"/>
            <w:tcBorders>
              <w:left w:val="single" w:color="000000" w:sz="6" w:space="0"/>
            </w:tcBorders>
            <w:vAlign w:val="top"/>
          </w:tcPr>
          <w:p>
            <w:pPr>
              <w:spacing w:line="368" w:lineRule="auto"/>
              <w:rPr>
                <w:rFonts w:ascii="Malgun Gothic"/>
                <w:sz w:val="21"/>
              </w:rPr>
            </w:pPr>
          </w:p>
          <w:p>
            <w:pPr>
              <w:spacing w:before="75"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报名修读第二专业</w:t>
            </w:r>
          </w:p>
        </w:tc>
        <w:tc>
          <w:tcPr>
            <w:tcW w:w="5875" w:type="dxa"/>
            <w:gridSpan w:val="4"/>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1" w:hRule="atLeast"/>
        </w:trPr>
        <w:tc>
          <w:tcPr>
            <w:tcW w:w="2859" w:type="dxa"/>
            <w:gridSpan w:val="2"/>
            <w:tcBorders>
              <w:left w:val="single" w:color="000000" w:sz="6" w:space="0"/>
            </w:tcBorders>
            <w:vAlign w:val="top"/>
          </w:tcPr>
          <w:p>
            <w:pPr>
              <w:spacing w:line="305" w:lineRule="auto"/>
              <w:rPr>
                <w:rFonts w:ascii="Malgun Gothic"/>
                <w:sz w:val="21"/>
              </w:rPr>
            </w:pPr>
          </w:p>
          <w:p>
            <w:pPr>
              <w:spacing w:line="305" w:lineRule="auto"/>
              <w:rPr>
                <w:rFonts w:ascii="Malgun Gothic"/>
                <w:sz w:val="21"/>
              </w:rPr>
            </w:pPr>
          </w:p>
          <w:p>
            <w:pPr>
              <w:spacing w:before="76" w:line="360" w:lineRule="exact"/>
              <w:ind w:firstLine="7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学生所在学院</w:t>
            </w:r>
          </w:p>
          <w:p>
            <w:pPr>
              <w:spacing w:line="204" w:lineRule="auto"/>
              <w:ind w:firstLine="101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审核意见</w:t>
            </w:r>
          </w:p>
        </w:tc>
        <w:tc>
          <w:tcPr>
            <w:tcW w:w="3065" w:type="dxa"/>
            <w:gridSpan w:val="2"/>
            <w:tcBorders>
              <w:right w:val="nil"/>
            </w:tcBorders>
            <w:vAlign w:val="top"/>
          </w:tcPr>
          <w:p>
            <w:pPr>
              <w:spacing w:line="241"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before="76" w:line="180" w:lineRule="auto"/>
              <w:ind w:firstLine="157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签字</w:t>
            </w:r>
          </w:p>
          <w:p>
            <w:pPr>
              <w:spacing w:before="134" w:line="180" w:lineRule="auto"/>
              <w:ind w:firstLine="19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2008</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年</w:t>
            </w:r>
          </w:p>
        </w:tc>
        <w:tc>
          <w:tcPr>
            <w:tcW w:w="2810" w:type="dxa"/>
            <w:gridSpan w:val="2"/>
            <w:tcBorders>
              <w:left w:val="nil"/>
              <w:right w:val="single" w:color="000000" w:sz="6" w:space="0"/>
            </w:tcBorders>
            <w:vAlign w:val="top"/>
          </w:tcPr>
          <w:p>
            <w:pPr>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before="75" w:line="372" w:lineRule="exact"/>
              <w:ind w:firstLine="38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11"/>
                <w:sz w:val="21"/>
                <w:szCs w:val="21"/>
              </w:rPr>
              <w:t>（盖章）</w:t>
            </w:r>
          </w:p>
          <w:p>
            <w:pPr>
              <w:spacing w:line="204" w:lineRule="auto"/>
              <w:ind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7" w:hRule="atLeast"/>
        </w:trPr>
        <w:tc>
          <w:tcPr>
            <w:tcW w:w="2859" w:type="dxa"/>
            <w:gridSpan w:val="2"/>
            <w:tcBorders>
              <w:left w:val="single" w:color="000000" w:sz="6" w:space="0"/>
              <w:bottom w:val="nil"/>
            </w:tcBorders>
            <w:vAlign w:val="top"/>
          </w:tcPr>
          <w:p>
            <w:pPr>
              <w:spacing w:line="243" w:lineRule="auto"/>
              <w:rPr>
                <w:rFonts w:ascii="Malgun Gothic"/>
                <w:sz w:val="21"/>
              </w:rPr>
            </w:pPr>
          </w:p>
          <w:p>
            <w:pPr>
              <w:spacing w:line="243" w:lineRule="auto"/>
              <w:rPr>
                <w:rFonts w:ascii="Malgun Gothic"/>
                <w:sz w:val="21"/>
              </w:rPr>
            </w:pPr>
          </w:p>
          <w:p>
            <w:pPr>
              <w:spacing w:line="244" w:lineRule="auto"/>
              <w:rPr>
                <w:rFonts w:ascii="Malgun Gothic"/>
                <w:sz w:val="21"/>
              </w:rPr>
            </w:pPr>
          </w:p>
          <w:p>
            <w:pPr>
              <w:spacing w:before="75" w:line="363" w:lineRule="exact"/>
              <w:ind w:firstLine="79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开办辅修专业</w:t>
            </w:r>
          </w:p>
          <w:p>
            <w:pPr>
              <w:spacing w:line="204" w:lineRule="auto"/>
              <w:ind w:firstLine="10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学院意见</w:t>
            </w:r>
          </w:p>
        </w:tc>
        <w:tc>
          <w:tcPr>
            <w:tcW w:w="5875" w:type="dxa"/>
            <w:gridSpan w:val="4"/>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4" w:hRule="atLeast"/>
        </w:trPr>
        <w:tc>
          <w:tcPr>
            <w:tcW w:w="2859" w:type="dxa"/>
            <w:gridSpan w:val="2"/>
            <w:tcBorders>
              <w:top w:val="nil"/>
              <w:left w:val="single" w:color="000000" w:sz="6" w:space="0"/>
            </w:tcBorders>
            <w:vAlign w:val="top"/>
          </w:tcPr>
          <w:p>
            <w:pPr>
              <w:rPr>
                <w:rFonts w:ascii="Malgun Gothic"/>
                <w:sz w:val="21"/>
              </w:rPr>
            </w:pPr>
          </w:p>
        </w:tc>
        <w:tc>
          <w:tcPr>
            <w:tcW w:w="3065" w:type="dxa"/>
            <w:gridSpan w:val="2"/>
            <w:tcBorders>
              <w:top w:val="nil"/>
              <w:right w:val="nil"/>
            </w:tcBorders>
            <w:vAlign w:val="top"/>
          </w:tcPr>
          <w:p>
            <w:pPr>
              <w:spacing w:before="290" w:line="180" w:lineRule="auto"/>
              <w:ind w:firstLine="157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签字</w:t>
            </w:r>
          </w:p>
          <w:p>
            <w:pPr>
              <w:spacing w:before="135" w:line="180" w:lineRule="auto"/>
              <w:ind w:firstLine="19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2008</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年</w:t>
            </w:r>
          </w:p>
        </w:tc>
        <w:tc>
          <w:tcPr>
            <w:tcW w:w="2810" w:type="dxa"/>
            <w:gridSpan w:val="2"/>
            <w:tcBorders>
              <w:top w:val="nil"/>
              <w:left w:val="nil"/>
              <w:right w:val="single" w:color="000000" w:sz="6" w:space="0"/>
            </w:tcBorders>
            <w:vAlign w:val="top"/>
          </w:tcPr>
          <w:p>
            <w:pPr>
              <w:spacing w:before="282" w:line="373" w:lineRule="exact"/>
              <w:ind w:firstLine="38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11"/>
                <w:sz w:val="21"/>
                <w:szCs w:val="21"/>
              </w:rPr>
              <w:t>（盖章）</w:t>
            </w:r>
          </w:p>
          <w:p>
            <w:pPr>
              <w:spacing w:line="204" w:lineRule="auto"/>
              <w:ind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3" w:hRule="atLeast"/>
        </w:trPr>
        <w:tc>
          <w:tcPr>
            <w:tcW w:w="2859" w:type="dxa"/>
            <w:gridSpan w:val="2"/>
            <w:tcBorders>
              <w:left w:val="single" w:color="000000" w:sz="6" w:space="0"/>
              <w:bottom w:val="nil"/>
            </w:tcBorders>
            <w:vAlign w:val="top"/>
          </w:tcPr>
          <w:p>
            <w:pPr>
              <w:spacing w:line="244" w:lineRule="auto"/>
              <w:rPr>
                <w:rFonts w:ascii="Malgun Gothic"/>
                <w:sz w:val="21"/>
              </w:rPr>
            </w:pPr>
          </w:p>
          <w:p>
            <w:pPr>
              <w:spacing w:line="244" w:lineRule="auto"/>
              <w:rPr>
                <w:rFonts w:ascii="Malgun Gothic"/>
                <w:sz w:val="21"/>
              </w:rPr>
            </w:pPr>
          </w:p>
          <w:p>
            <w:pPr>
              <w:spacing w:line="245" w:lineRule="auto"/>
              <w:rPr>
                <w:rFonts w:ascii="Malgun Gothic"/>
                <w:sz w:val="21"/>
              </w:rPr>
            </w:pPr>
          </w:p>
          <w:p>
            <w:pPr>
              <w:spacing w:before="75" w:line="180" w:lineRule="auto"/>
              <w:ind w:firstLine="6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教务处审核意见</w:t>
            </w:r>
          </w:p>
        </w:tc>
        <w:tc>
          <w:tcPr>
            <w:tcW w:w="5875" w:type="dxa"/>
            <w:gridSpan w:val="4"/>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2859" w:type="dxa"/>
            <w:gridSpan w:val="2"/>
            <w:tcBorders>
              <w:top w:val="nil"/>
              <w:left w:val="single" w:color="000000" w:sz="6" w:space="0"/>
              <w:bottom w:val="single" w:color="000000" w:sz="6" w:space="0"/>
            </w:tcBorders>
            <w:vAlign w:val="top"/>
          </w:tcPr>
          <w:p>
            <w:pPr>
              <w:rPr>
                <w:rFonts w:ascii="Malgun Gothic"/>
                <w:sz w:val="21"/>
              </w:rPr>
            </w:pPr>
          </w:p>
        </w:tc>
        <w:tc>
          <w:tcPr>
            <w:tcW w:w="3065" w:type="dxa"/>
            <w:gridSpan w:val="2"/>
            <w:tcBorders>
              <w:top w:val="nil"/>
              <w:bottom w:val="single" w:color="000000" w:sz="6" w:space="0"/>
              <w:right w:val="nil"/>
            </w:tcBorders>
            <w:vAlign w:val="top"/>
          </w:tcPr>
          <w:p>
            <w:pPr>
              <w:spacing w:before="366" w:line="180" w:lineRule="auto"/>
              <w:ind w:firstLine="157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签字</w:t>
            </w:r>
          </w:p>
          <w:p>
            <w:pPr>
              <w:spacing w:before="134" w:line="180" w:lineRule="auto"/>
              <w:ind w:firstLine="19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2008</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年</w:t>
            </w:r>
          </w:p>
        </w:tc>
        <w:tc>
          <w:tcPr>
            <w:tcW w:w="2810" w:type="dxa"/>
            <w:gridSpan w:val="2"/>
            <w:tcBorders>
              <w:top w:val="nil"/>
              <w:left w:val="nil"/>
              <w:bottom w:val="single" w:color="000000" w:sz="6" w:space="0"/>
              <w:right w:val="single" w:color="000000" w:sz="6" w:space="0"/>
            </w:tcBorders>
            <w:vAlign w:val="top"/>
          </w:tcPr>
          <w:p>
            <w:pPr>
              <w:spacing w:before="358" w:line="372" w:lineRule="exact"/>
              <w:ind w:firstLine="38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11"/>
                <w:sz w:val="21"/>
                <w:szCs w:val="21"/>
              </w:rPr>
              <w:t>（盖章）</w:t>
            </w:r>
          </w:p>
          <w:p>
            <w:pPr>
              <w:spacing w:line="204" w:lineRule="auto"/>
              <w:ind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bl>
    <w:p>
      <w:pPr>
        <w:spacing w:before="64"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注：</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5"/>
          <w:sz w:val="21"/>
          <w:szCs w:val="21"/>
        </w:rPr>
        <w:t>1、附学生成绩总表</w:t>
      </w:r>
    </w:p>
    <w:p>
      <w:pPr>
        <w:spacing w:before="74"/>
        <w:ind w:left="14" w:firstLine="839"/>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2、本表一式三份，</w:t>
      </w:r>
      <w:r>
        <w:rPr>
          <w:rFonts w:ascii="方正书宋简体" w:hAnsi="方正书宋简体" w:eastAsia="方正书宋简体" w:cs="方正书宋简体"/>
          <w:spacing w:val="34"/>
          <w:w w:val="101"/>
          <w:sz w:val="21"/>
          <w:szCs w:val="21"/>
        </w:rPr>
        <w:t xml:space="preserve">  </w:t>
      </w:r>
      <w:r>
        <w:rPr>
          <w:rFonts w:ascii="方正书宋简体" w:hAnsi="方正书宋简体" w:eastAsia="方正书宋简体" w:cs="方正书宋简体"/>
          <w:spacing w:val="-10"/>
          <w:w w:val="98"/>
          <w:sz w:val="21"/>
          <w:szCs w:val="21"/>
        </w:rPr>
        <w:t>经主办学院审核盖章后，</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0"/>
          <w:w w:val="98"/>
          <w:sz w:val="21"/>
          <w:szCs w:val="21"/>
        </w:rPr>
        <w:t>一份交开办辅修专业学院，</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0"/>
          <w:w w:val="98"/>
          <w:sz w:val="21"/>
          <w:szCs w:val="21"/>
        </w:rPr>
        <w:t>一份交教务处，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一份交学生所在学院。</w:t>
      </w:r>
    </w:p>
    <w:p>
      <w:pPr>
        <w:sectPr>
          <w:footerReference r:id="rId142" w:type="default"/>
          <w:pgSz w:w="11905" w:h="16840"/>
          <w:pgMar w:top="1431" w:right="1519" w:bottom="1365" w:left="1578" w:header="0" w:footer="1241" w:gutter="0"/>
          <w:cols w:space="720" w:num="1"/>
        </w:sectPr>
      </w:pPr>
    </w:p>
    <w:p/>
    <w:p>
      <w:pPr>
        <w:spacing w:line="37" w:lineRule="exact"/>
      </w:pPr>
    </w:p>
    <w:p>
      <w:pPr>
        <w:sectPr>
          <w:footerReference r:id="rId143" w:type="default"/>
          <w:pgSz w:w="11905" w:h="16840"/>
          <w:pgMar w:top="1431" w:right="1577" w:bottom="1365" w:left="1578" w:header="0" w:footer="1241" w:gutter="0"/>
          <w:cols w:equalWidth="0" w:num="1">
            <w:col w:w="8750"/>
          </w:cols>
        </w:sectPr>
      </w:pPr>
    </w:p>
    <w:p>
      <w:pPr>
        <w:spacing w:line="329" w:lineRule="auto"/>
        <w:rPr>
          <w:rFonts w:ascii="Malgun Gothic"/>
          <w:sz w:val="21"/>
        </w:rPr>
      </w:pPr>
    </w:p>
    <w:p>
      <w:pPr>
        <w:spacing w:line="329" w:lineRule="auto"/>
        <w:rPr>
          <w:rFonts w:ascii="Malgun Gothic"/>
          <w:sz w:val="21"/>
        </w:rPr>
      </w:pPr>
    </w:p>
    <w:p>
      <w:pPr>
        <w:spacing w:before="75" w:line="193"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学院：</w:t>
      </w:r>
    </w:p>
    <w:p>
      <w:pPr>
        <w:spacing w:before="209" w:line="193"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学号：</w:t>
      </w:r>
    </w:p>
    <w:p>
      <w:pPr>
        <w:spacing w:before="212" w:line="164"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辅修专业：</w:t>
      </w:r>
    </w:p>
    <w:p>
      <w:pPr>
        <w:spacing w:line="14" w:lineRule="auto"/>
        <w:rPr>
          <w:rFonts w:ascii="Malgun Gothic"/>
          <w:sz w:val="2"/>
        </w:rPr>
      </w:pPr>
      <w:r>
        <w:rPr>
          <w:rFonts w:ascii="Malgun Gothic" w:hAnsi="Malgun Gothic" w:eastAsia="Malgun Gothic" w:cs="Malgun Gothic"/>
          <w:sz w:val="2"/>
          <w:szCs w:val="2"/>
        </w:rPr>
        <w:br w:type="column"/>
      </w:r>
    </w:p>
    <w:p>
      <w:pPr>
        <w:spacing w:before="68" w:line="180" w:lineRule="auto"/>
        <w:ind w:firstLine="753"/>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辅修专业选课申请表</w:t>
      </w:r>
    </w:p>
    <w:p>
      <w:pPr>
        <w:spacing w:line="337" w:lineRule="auto"/>
        <w:rPr>
          <w:rFonts w:ascii="Malgun Gothic"/>
          <w:sz w:val="21"/>
        </w:rPr>
      </w:pPr>
    </w:p>
    <w:p>
      <w:pPr>
        <w:spacing w:before="75" w:line="450" w:lineRule="exact"/>
        <w:ind w:firstLine="202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7"/>
          <w:sz w:val="21"/>
          <w:szCs w:val="21"/>
        </w:rPr>
        <w:t>班级：</w:t>
      </w:r>
    </w:p>
    <w:p>
      <w:pPr>
        <w:spacing w:line="204" w:lineRule="auto"/>
        <w:ind w:firstLine="202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p>
      <w:pPr>
        <w:spacing w:before="202" w:line="161" w:lineRule="auto"/>
        <w:ind w:firstLine="1813"/>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学年／学期：</w:t>
      </w:r>
    </w:p>
    <w:p>
      <w:pPr>
        <w:sectPr>
          <w:type w:val="continuous"/>
          <w:pgSz w:w="11905" w:h="16840"/>
          <w:pgMar w:top="1431" w:right="1577" w:bottom="1365" w:left="1578" w:header="0" w:footer="1241" w:gutter="0"/>
          <w:cols w:equalWidth="0" w:num="2">
            <w:col w:w="2090" w:space="100"/>
            <w:col w:w="6560"/>
          </w:cols>
        </w:sectPr>
      </w:pPr>
    </w:p>
    <w:p>
      <w:pPr>
        <w:spacing w:line="63"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7"/>
        <w:gridCol w:w="1859"/>
        <w:gridCol w:w="1859"/>
        <w:gridCol w:w="1198"/>
        <w:gridCol w:w="1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2207" w:type="dxa"/>
            <w:tcBorders>
              <w:top w:val="single" w:color="000000" w:sz="6" w:space="0"/>
              <w:left w:val="single" w:color="000000" w:sz="6" w:space="0"/>
            </w:tcBorders>
            <w:vAlign w:val="top"/>
          </w:tcPr>
          <w:p>
            <w:pPr>
              <w:spacing w:before="245" w:line="180" w:lineRule="auto"/>
              <w:ind w:firstLine="6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课程名称</w:t>
            </w:r>
          </w:p>
        </w:tc>
        <w:tc>
          <w:tcPr>
            <w:tcW w:w="1859" w:type="dxa"/>
            <w:tcBorders>
              <w:top w:val="single" w:color="000000" w:sz="6" w:space="0"/>
            </w:tcBorders>
            <w:vAlign w:val="top"/>
          </w:tcPr>
          <w:p>
            <w:pPr>
              <w:spacing w:before="245"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课程性质</w:t>
            </w:r>
          </w:p>
        </w:tc>
        <w:tc>
          <w:tcPr>
            <w:tcW w:w="1859" w:type="dxa"/>
            <w:tcBorders>
              <w:top w:val="single" w:color="000000" w:sz="6" w:space="0"/>
            </w:tcBorders>
            <w:vAlign w:val="top"/>
          </w:tcPr>
          <w:p>
            <w:pPr>
              <w:spacing w:before="243" w:line="180" w:lineRule="auto"/>
              <w:ind w:firstLine="5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任课教师</w:t>
            </w:r>
          </w:p>
        </w:tc>
        <w:tc>
          <w:tcPr>
            <w:tcW w:w="1198" w:type="dxa"/>
            <w:tcBorders>
              <w:top w:val="single" w:color="000000" w:sz="6" w:space="0"/>
            </w:tcBorders>
            <w:vAlign w:val="top"/>
          </w:tcPr>
          <w:p>
            <w:pPr>
              <w:spacing w:before="246" w:line="180" w:lineRule="auto"/>
              <w:ind w:firstLine="39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学分</w:t>
            </w:r>
          </w:p>
        </w:tc>
        <w:tc>
          <w:tcPr>
            <w:tcW w:w="1611" w:type="dxa"/>
            <w:tcBorders>
              <w:top w:val="single" w:color="000000" w:sz="6" w:space="0"/>
              <w:right w:val="single" w:color="000000" w:sz="6" w:space="0"/>
            </w:tcBorders>
            <w:vAlign w:val="top"/>
          </w:tcPr>
          <w:p>
            <w:pPr>
              <w:spacing w:before="242" w:line="180" w:lineRule="auto"/>
              <w:ind w:firstLine="5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2207" w:type="dxa"/>
            <w:tcBorders>
              <w:left w:val="single" w:color="000000" w:sz="6" w:space="0"/>
            </w:tcBorders>
            <w:vAlign w:val="top"/>
          </w:tcPr>
          <w:p>
            <w:pPr>
              <w:rPr>
                <w:rFonts w:ascii="Malgun Gothic"/>
                <w:sz w:val="21"/>
              </w:rPr>
            </w:pPr>
          </w:p>
        </w:tc>
        <w:tc>
          <w:tcPr>
            <w:tcW w:w="1859" w:type="dxa"/>
            <w:vAlign w:val="top"/>
          </w:tcPr>
          <w:p>
            <w:pPr>
              <w:rPr>
                <w:rFonts w:ascii="Malgun Gothic"/>
                <w:sz w:val="21"/>
              </w:rPr>
            </w:pPr>
          </w:p>
        </w:tc>
        <w:tc>
          <w:tcPr>
            <w:tcW w:w="1859" w:type="dxa"/>
            <w:vAlign w:val="top"/>
          </w:tcPr>
          <w:p>
            <w:pPr>
              <w:rPr>
                <w:rFonts w:ascii="Malgun Gothic"/>
                <w:sz w:val="21"/>
              </w:rPr>
            </w:pPr>
          </w:p>
        </w:tc>
        <w:tc>
          <w:tcPr>
            <w:tcW w:w="1198" w:type="dxa"/>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2207" w:type="dxa"/>
            <w:tcBorders>
              <w:left w:val="single" w:color="000000" w:sz="6" w:space="0"/>
              <w:bottom w:val="single" w:color="000000" w:sz="6" w:space="0"/>
            </w:tcBorders>
            <w:vAlign w:val="top"/>
          </w:tcPr>
          <w:p>
            <w:pPr>
              <w:rPr>
                <w:rFonts w:ascii="Malgun Gothic"/>
                <w:sz w:val="21"/>
              </w:rPr>
            </w:pPr>
          </w:p>
        </w:tc>
        <w:tc>
          <w:tcPr>
            <w:tcW w:w="1859" w:type="dxa"/>
            <w:tcBorders>
              <w:bottom w:val="single" w:color="000000" w:sz="6" w:space="0"/>
            </w:tcBorders>
            <w:vAlign w:val="top"/>
          </w:tcPr>
          <w:p>
            <w:pPr>
              <w:rPr>
                <w:rFonts w:ascii="Malgun Gothic"/>
                <w:sz w:val="21"/>
              </w:rPr>
            </w:pPr>
          </w:p>
        </w:tc>
        <w:tc>
          <w:tcPr>
            <w:tcW w:w="1859" w:type="dxa"/>
            <w:tcBorders>
              <w:bottom w:val="single" w:color="000000" w:sz="6" w:space="0"/>
            </w:tcBorders>
            <w:vAlign w:val="top"/>
          </w:tcPr>
          <w:p>
            <w:pPr>
              <w:rPr>
                <w:rFonts w:ascii="Malgun Gothic"/>
                <w:sz w:val="21"/>
              </w:rPr>
            </w:pPr>
          </w:p>
        </w:tc>
        <w:tc>
          <w:tcPr>
            <w:tcW w:w="1198" w:type="dxa"/>
            <w:tcBorders>
              <w:bottom w:val="single" w:color="000000" w:sz="6" w:space="0"/>
            </w:tcBorders>
            <w:vAlign w:val="top"/>
          </w:tcPr>
          <w:p>
            <w:pPr>
              <w:rPr>
                <w:rFonts w:ascii="Malgun Gothic"/>
                <w:sz w:val="21"/>
              </w:rPr>
            </w:pPr>
          </w:p>
        </w:tc>
        <w:tc>
          <w:tcPr>
            <w:tcW w:w="1611" w:type="dxa"/>
            <w:tcBorders>
              <w:bottom w:val="single" w:color="000000" w:sz="6" w:space="0"/>
              <w:right w:val="single" w:color="000000" w:sz="6" w:space="0"/>
            </w:tcBorders>
            <w:vAlign w:val="top"/>
          </w:tcPr>
          <w:p>
            <w:pPr>
              <w:rPr>
                <w:rFonts w:ascii="Malgun Gothic"/>
                <w:sz w:val="21"/>
              </w:rPr>
            </w:pPr>
          </w:p>
        </w:tc>
      </w:tr>
    </w:tbl>
    <w:p>
      <w:pPr>
        <w:spacing w:line="14" w:lineRule="auto"/>
        <w:rPr>
          <w:rFonts w:ascii="Malgun Gothic"/>
          <w:sz w:val="2"/>
        </w:rPr>
      </w:pPr>
    </w:p>
    <w:p>
      <w:pPr>
        <w:sectPr>
          <w:type w:val="continuous"/>
          <w:pgSz w:w="11905" w:h="16840"/>
          <w:pgMar w:top="1431" w:right="1577" w:bottom="1365" w:left="1578" w:header="0" w:footer="1241" w:gutter="0"/>
          <w:cols w:equalWidth="0" w:num="1">
            <w:col w:w="8750"/>
          </w:cols>
        </w:sectPr>
      </w:pPr>
    </w:p>
    <w:p>
      <w:pPr>
        <w:spacing w:before="349" w:line="180" w:lineRule="auto"/>
        <w:ind w:firstLine="19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吉首大学课程考核与成绩管理办法</w:t>
      </w:r>
    </w:p>
    <w:p>
      <w:pPr>
        <w:spacing w:line="315" w:lineRule="auto"/>
        <w:rPr>
          <w:rFonts w:ascii="Malgun Gothic"/>
          <w:sz w:val="21"/>
        </w:rPr>
      </w:pPr>
    </w:p>
    <w:p>
      <w:pPr>
        <w:spacing w:before="85" w:line="265" w:lineRule="auto"/>
        <w:ind w:right="89"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为维护正常的教育教学秩序，加强考试管理，</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确保考试严格、公正、规范地进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行，促进考风、学风建设，保证教学质量，依据教育部《普通高等学校学生管理规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定》，结合《吉首大学本科学生管理规定》和学校实际，特制订本办法。</w:t>
      </w:r>
    </w:p>
    <w:p>
      <w:pPr>
        <w:spacing w:before="2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40" w:line="249" w:lineRule="auto"/>
        <w:ind w:left="2" w:right="8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第一条    </w:t>
      </w:r>
      <w:r>
        <w:rPr>
          <w:rFonts w:ascii="方正书宋简体" w:hAnsi="方正书宋简体" w:eastAsia="方正书宋简体" w:cs="方正书宋简体"/>
          <w:spacing w:val="2"/>
          <w:sz w:val="24"/>
          <w:szCs w:val="24"/>
        </w:rPr>
        <w:t>课程考核是教学过程中的一个重要环节，可以促进学生全面系统地复 习和掌握所学知识，检查学生对所学知识与技能的理解程度与运用能力，也是反映</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教学效果的重要标志之一。</w:t>
      </w:r>
    </w:p>
    <w:p>
      <w:pPr>
        <w:spacing w:before="207" w:line="250" w:lineRule="auto"/>
        <w:ind w:left="2" w:right="1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7"/>
          <w:sz w:val="24"/>
          <w:szCs w:val="24"/>
        </w:rPr>
        <w:t>课程考核应根据全面素质教育的要求，</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7"/>
          <w:sz w:val="24"/>
          <w:szCs w:val="24"/>
        </w:rPr>
        <w:t>对考核的内容和方式进行改革，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坚持考核知识与考核能力相结合，特别是与考核学生创新能力相结合的原则，促使</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学生加强基础理论学习，培养创新能力，增强综合能力，提高全面素质。</w:t>
      </w:r>
    </w:p>
    <w:p>
      <w:pPr>
        <w:spacing w:before="204" w:line="281"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凡教学计划规定的课程（含实验、实习、主要实践教学环节）必须进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行考核（考试或考查</w:t>
      </w:r>
      <w:r>
        <w:rPr>
          <w:rFonts w:ascii="方正书宋简体" w:hAnsi="方正书宋简体" w:eastAsia="方正书宋简体" w:cs="方正书宋简体"/>
          <w:spacing w:val="-44"/>
          <w:sz w:val="24"/>
          <w:szCs w:val="24"/>
        </w:rPr>
        <w:t>），</w:t>
      </w:r>
      <w:r>
        <w:rPr>
          <w:rFonts w:ascii="方正书宋简体" w:hAnsi="方正书宋简体" w:eastAsia="方正书宋简体" w:cs="方正书宋简体"/>
          <w:spacing w:val="-6"/>
          <w:sz w:val="24"/>
          <w:szCs w:val="24"/>
        </w:rPr>
        <w:t>学生必须参加所修课程的考核并得到相应的考核成绩与学分。</w:t>
      </w:r>
    </w:p>
    <w:p>
      <w:pPr>
        <w:spacing w:before="13" w:line="250" w:lineRule="auto"/>
        <w:ind w:left="2" w:right="8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第四条    </w:t>
      </w:r>
      <w:r>
        <w:rPr>
          <w:rFonts w:ascii="方正书宋简体" w:hAnsi="方正书宋简体" w:eastAsia="方正书宋简体" w:cs="方正书宋简体"/>
          <w:spacing w:val="2"/>
          <w:sz w:val="24"/>
          <w:szCs w:val="24"/>
        </w:rPr>
        <w:t>课程考核工作包括考试组织、考试命题、试卷的印制和保管、学生考 核资格审查、考场管理、成绩评定、考试分析和总结等环节，考核工作的各环节必</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须严格管理，明确职责。</w:t>
      </w:r>
    </w:p>
    <w:p>
      <w:pPr>
        <w:spacing w:before="204" w:line="180" w:lineRule="auto"/>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考试组织</w:t>
      </w:r>
    </w:p>
    <w:p>
      <w:pPr>
        <w:spacing w:before="140" w:line="294" w:lineRule="auto"/>
        <w:ind w:left="2" w:right="9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学校考试由教务处统一组织与管理。</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3"/>
          <w:sz w:val="24"/>
          <w:szCs w:val="24"/>
        </w:rPr>
        <w:t>考试期间成立学校考试工作领导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小组、考试巡视组，对全校考试工作进行协调、检查和监督。领导小组由校领导、</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教务处、学院主管教学领导及各职能部门负责人组成。</w:t>
      </w:r>
    </w:p>
    <w:p>
      <w:pPr>
        <w:spacing w:before="4" w:line="265" w:lineRule="auto"/>
        <w:ind w:left="4" w:right="89"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在每学期期末考试期间，各学院应成立期末考试工作小组，由学院院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长牵头、主管教学副院长负责布置、动员、组织和督促落实等工作，组建由学院主</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管学生工作的副书记或辅导员参加的巡视工作小组，负责指导、监督学院期末考试</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的正常进行，并调查、核实、认定、上报考试中发生的重大、疑难事件。</w:t>
      </w:r>
    </w:p>
    <w:p>
      <w:pPr>
        <w:spacing w:before="204" w:line="282" w:lineRule="auto"/>
        <w:ind w:left="11" w:right="90" w:firstLine="47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各学院领导要认真抓好考试工作的各个环节，在期末考试前</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周内要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召开“三会”，布置和落实期末考试各项工作。</w:t>
      </w:r>
    </w:p>
    <w:p>
      <w:pPr>
        <w:spacing w:before="24" w:line="310" w:lineRule="auto"/>
        <w:ind w:right="91"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1、学院领导班子期末考试专题会议。结合本学院情况研究和落实考试工作的有</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关要求、安排和措施。</w:t>
      </w:r>
    </w:p>
    <w:p>
      <w:pPr>
        <w:spacing w:before="13" w:line="194"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2、学院教师动员会。研究和布置有关考试的各项具体工作，包括命题、监考、</w:t>
      </w:r>
    </w:p>
    <w:p>
      <w:pPr>
        <w:spacing w:before="291" w:line="180" w:lineRule="auto"/>
        <w:ind w:firstLine="424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140</w:t>
      </w:r>
    </w:p>
    <w:p>
      <w:pPr>
        <w:sectPr>
          <w:footerReference r:id="rId144" w:type="default"/>
          <w:pgSz w:w="11905" w:h="16840"/>
          <w:pgMar w:top="1431" w:right="1496" w:bottom="400" w:left="1590" w:header="0" w:footer="0" w:gutter="0"/>
          <w:cols w:space="720" w:num="1"/>
        </w:sectPr>
      </w:pPr>
    </w:p>
    <w:p>
      <w:pPr>
        <w:spacing w:before="414"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试卷评阅和成绩的评定等工作，并要求老师到教务管理系统中查询监考安排。</w:t>
      </w:r>
    </w:p>
    <w:p>
      <w:pPr>
        <w:spacing w:before="204" w:line="278" w:lineRule="auto"/>
        <w:ind w:left="5" w:right="7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3、学生动员大会。通过不同形式，</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1"/>
          <w:sz w:val="24"/>
          <w:szCs w:val="24"/>
        </w:rPr>
        <w:t>讲明考试的目的、要求、纪律，</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把学风、考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纪教育作为重要内容进行学习。通过考试纪律的学习和典型事例的警示教育，使学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
          <w:sz w:val="24"/>
          <w:szCs w:val="24"/>
        </w:rPr>
        <w:t>生以端正、诚实的态度对待考试、以真实的成绩证明自己，使学生逐步养成诚实、</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守信、守法的品德和作风，并要求学生到教务管理系统中查询考试安排。</w:t>
      </w:r>
    </w:p>
    <w:p>
      <w:pPr>
        <w:spacing w:before="204" w:line="293" w:lineRule="auto"/>
        <w:ind w:left="3" w:right="7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第八条    </w:t>
      </w:r>
      <w:r>
        <w:rPr>
          <w:rFonts w:ascii="方正书宋简体" w:hAnsi="方正书宋简体" w:eastAsia="方正书宋简体" w:cs="方正书宋简体"/>
          <w:spacing w:val="2"/>
          <w:sz w:val="24"/>
          <w:szCs w:val="24"/>
        </w:rPr>
        <w:t>课程考试按学校统一组织和学院自行安排分类进行。公共必修课由教 务处统一安排考试，专业必修课及其他课程的考试、考查由学院做好计划，报教务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处备案，学院自行组织。</w:t>
      </w:r>
    </w:p>
    <w:p>
      <w:pPr>
        <w:spacing w:before="7" w:line="294" w:lineRule="auto"/>
        <w:ind w:lef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第九条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7"/>
          <w:sz w:val="24"/>
          <w:szCs w:val="24"/>
        </w:rPr>
        <w:t>课程期末考试时间一般安排在每学期的最后</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7"/>
          <w:sz w:val="24"/>
          <w:szCs w:val="24"/>
        </w:rPr>
        <w:t>周进行，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每天考试四场，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上、下午各</w:t>
      </w:r>
      <w:r>
        <w:rPr>
          <w:rFonts w:ascii="方正书宋简体" w:hAnsi="方正书宋简体" w:eastAsia="方正书宋简体" w:cs="方正书宋简体"/>
          <w:spacing w:val="73"/>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
          <w:sz w:val="24"/>
          <w:szCs w:val="24"/>
        </w:rPr>
        <w:t>场。学期结束前九周布置期末考试考务工作，课程考试期间考务工作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按照相关规定执行。</w:t>
      </w:r>
    </w:p>
    <w:p>
      <w:pPr>
        <w:spacing w:before="1" w:line="250" w:lineRule="auto"/>
        <w:ind w:left="3" w:right="7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考试要按照开学制定的教学计划和教务处考试日程安排表执行。特殊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原因需要提前结束课程由学院提出申请，报教务处同意并备案，按照期末考试的要</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求组织考试，否则考试成绩无效。</w:t>
      </w:r>
    </w:p>
    <w:p>
      <w:pPr>
        <w:spacing w:before="204" w:line="275" w:lineRule="auto"/>
        <w:ind w:right="76"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课程考试方式应遵循人才培养目标，选择适当的考试方式。应用型 课程应注重动手能力的培养和综合素质的提高，加强平时的训练，根据课程情况确</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定考试方式和考试场地。文科类课程考试应注重综述能力的培养，加大主观试题的</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2"/>
          <w:sz w:val="24"/>
          <w:szCs w:val="24"/>
        </w:rPr>
        <w:t>训练和题量。考试方式为开卷的课程命题不能出现客观试题，</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2"/>
          <w:sz w:val="24"/>
          <w:szCs w:val="24"/>
        </w:rPr>
        <w:t>必须为主观性试题。</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2"/>
          <w:sz w:val="24"/>
          <w:szCs w:val="24"/>
        </w:rPr>
        <w:t>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强与外校合作，实行联考，通过考试途径实现教学反馈，对教学起到促进作用。</w:t>
      </w:r>
    </w:p>
    <w:p>
      <w:pPr>
        <w:spacing w:before="204" w:line="180" w:lineRule="auto"/>
        <w:ind w:firstLine="245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考试命题、试卷审批及保密</w:t>
      </w:r>
    </w:p>
    <w:p>
      <w:pPr>
        <w:spacing w:before="137" w:line="282" w:lineRule="auto"/>
        <w:ind w:left="31" w:right="79" w:firstLine="45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考试命题应根据教学大纲和考核大纲要求进行。专业课程考试命题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由任课老师独立完成，公共课程命题由教研室组织命题小组完成。</w:t>
      </w:r>
    </w:p>
    <w:p>
      <w:pPr>
        <w:spacing w:before="11"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第十三条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课程考核命题原则：</w:t>
      </w:r>
    </w:p>
    <w:p>
      <w:pPr>
        <w:spacing w:before="119" w:line="302" w:lineRule="auto"/>
        <w:ind w:left="10" w:right="79"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1、科学性原则。试题无知识性错误，</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能处理好知识与能力、理论与实践、重点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与覆盖面的相互关系。</w:t>
      </w:r>
    </w:p>
    <w:p>
      <w:pPr>
        <w:spacing w:before="38" w:line="307" w:lineRule="auto"/>
        <w:ind w:left="5" w:right="7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2、合理性原则。试题的内容、范围、深度均符合考核大纲的有关规定；</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试卷结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构在题型、题量、题分、难度、区分度、认知层次比例方面分配合理；评分标准准</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确、简明，便于把握。</w:t>
      </w:r>
    </w:p>
    <w:p>
      <w:pPr>
        <w:spacing w:before="39" w:line="315" w:lineRule="auto"/>
        <w:ind w:left="4" w:right="78"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3、有效性原则。组成试卷的试题具有代表性，</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能够准确地测评学生掌握知识的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程度和运用知识解决问题的能力。</w:t>
      </w:r>
    </w:p>
    <w:p>
      <w:pPr>
        <w:sectPr>
          <w:footerReference r:id="rId145" w:type="default"/>
          <w:pgSz w:w="11905" w:h="16840"/>
          <w:pgMar w:top="1431" w:right="1509" w:bottom="1365" w:left="1588" w:header="0" w:footer="1243" w:gutter="0"/>
          <w:cols w:space="720" w:num="1"/>
        </w:sectPr>
      </w:pPr>
    </w:p>
    <w:p>
      <w:pPr>
        <w:spacing w:before="428"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4、连续性原则。每学期的内容难易程度基本持平。</w:t>
      </w:r>
    </w:p>
    <w:p>
      <w:pPr>
        <w:spacing w:before="179"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课程考核命题要求：</w:t>
      </w:r>
    </w:p>
    <w:p>
      <w:pPr>
        <w:spacing w:before="150" w:line="180"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1、课程考核大纲是试题命制的依据，应涵盖教学大纲规定的主要内容。</w:t>
      </w:r>
    </w:p>
    <w:p>
      <w:pPr>
        <w:spacing w:before="189" w:line="315" w:lineRule="auto"/>
        <w:ind w:left="2"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2、人才培养方案规定的课程必须按教学大纲要求编制课程考核大纲，</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规范课程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考核内容、考核方式及考核要求，并在考核大纲中予以注明。考核分为考试和考查</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两种方式。课程考试可采取笔试闭卷、笔试开卷、口试、机试或另加操作技能等方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式进行，需采用开卷考试、口试的课程应做好充分准备，经学院批准，报教务处备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案，由学院组织进行，不纳入期末考试总安排。考查课程应在学期结束后，根据学</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3"/>
          <w:sz w:val="24"/>
          <w:szCs w:val="24"/>
        </w:rPr>
        <w:t>生听课、作业、实验、小测验成绩等进行全面考核，</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并给出等级（分数）、学分，</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3"/>
          <w:sz w:val="24"/>
          <w:szCs w:val="24"/>
        </w:rPr>
        <w:t>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可采用笔试方式考查学生的学习效果，考查通常安排在最后一次课中随堂进行。采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取闭卷考试方式的课程考试由教务处统筹安排。</w:t>
      </w:r>
    </w:p>
    <w:p>
      <w:pPr>
        <w:spacing w:before="4" w:line="199"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3、试题内容要符合考核大纲中对知识、能力的基本要求，</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1"/>
          <w:w w:val="96"/>
          <w:sz w:val="24"/>
          <w:szCs w:val="24"/>
        </w:rPr>
        <w:t>能覆盖课程的基本知识点。</w:t>
      </w:r>
    </w:p>
    <w:p>
      <w:pPr>
        <w:spacing w:before="167" w:line="303" w:lineRule="auto"/>
        <w:ind w:left="3" w:right="9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4、实行统一考试，</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1"/>
          <w:sz w:val="24"/>
          <w:szCs w:val="24"/>
        </w:rPr>
        <w:t>即凡课时、大纲、教材相同且结束时间基本相同的课程，</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考试原则上要求使用同样试卷并在同一时间进行。</w:t>
      </w:r>
    </w:p>
    <w:p>
      <w:pPr>
        <w:spacing w:before="41" w:line="313" w:lineRule="auto"/>
        <w:ind w:left="2" w:right="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5、推行教考分离和</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A、B</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
          <w:sz w:val="24"/>
          <w:szCs w:val="24"/>
        </w:rPr>
        <w:t>卷制度。每门课程须命</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
          <w:sz w:val="24"/>
          <w:szCs w:val="24"/>
        </w:rPr>
        <w:t>A、B</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
          <w:sz w:val="24"/>
          <w:szCs w:val="24"/>
        </w:rPr>
        <w:t>两套试卷，由教务处随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机抽取一份供考试使用。A、B</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6"/>
          <w:sz w:val="24"/>
          <w:szCs w:val="24"/>
        </w:rPr>
        <w:t>卷的覆盖面、难易程度、题目份量应相当，</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6"/>
          <w:sz w:val="24"/>
          <w:szCs w:val="24"/>
        </w:rPr>
        <w:t>重复率不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超过</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5%，</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试题内容与前两届同一课程试题的重复率应控制在</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6"/>
          <w:sz w:val="24"/>
          <w:szCs w:val="24"/>
        </w:rPr>
        <w:t>30%以内。建有试题库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的课程应使用试题库组卷；未建立试题库的课程，应由命题小组统一命题；暂不具</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备成立命题小组条件的课程，</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0"/>
          <w:sz w:val="24"/>
          <w:szCs w:val="24"/>
        </w:rPr>
        <w:t>应由课程负责人审核试卷；</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0"/>
          <w:sz w:val="24"/>
          <w:szCs w:val="24"/>
        </w:rPr>
        <w:t>可以采用同水平外校试题。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不得采用同类考试中已经使用过的试卷作为考试试卷。</w:t>
      </w:r>
    </w:p>
    <w:p>
      <w:pPr>
        <w:spacing w:before="18" w:line="315" w:lineRule="auto"/>
        <w:ind w:right="6"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6、笔试考试原则上按每门课程</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9"/>
          <w:sz w:val="24"/>
          <w:szCs w:val="24"/>
        </w:rPr>
        <w:t>120</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9"/>
          <w:sz w:val="24"/>
          <w:szCs w:val="24"/>
        </w:rPr>
        <w:t>分钟的时间确定题量，</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9"/>
          <w:sz w:val="24"/>
          <w:szCs w:val="24"/>
        </w:rPr>
        <w:t>试题总分值为</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9"/>
          <w:sz w:val="24"/>
          <w:szCs w:val="24"/>
        </w:rPr>
        <w:t>100</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试题一般要包含三个方面：基础性试题、综合性试题和研究创新性试题。比例一般</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
          <w:sz w:val="24"/>
          <w:szCs w:val="24"/>
        </w:rPr>
        <w:t>为：基础题占</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
          <w:sz w:val="24"/>
          <w:szCs w:val="24"/>
        </w:rPr>
        <w:t>40%左右，综合题占</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40%左右，创新题占</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
          <w:sz w:val="24"/>
          <w:szCs w:val="24"/>
        </w:rPr>
        <w:t>20%左右，任课教师或教研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室可根据实际情况进行调整。</w:t>
      </w:r>
    </w:p>
    <w:p>
      <w:pPr>
        <w:spacing w:before="2" w:line="315" w:lineRule="auto"/>
        <w:ind w:left="3" w:right="97"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试卷难度要适中，比较容易的题目一般占</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
          <w:sz w:val="24"/>
          <w:szCs w:val="24"/>
        </w:rPr>
        <w:t>30%，中等难度的占</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
          <w:sz w:val="24"/>
          <w:szCs w:val="24"/>
        </w:rPr>
        <w:t>50%，比较难的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占</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
          <w:sz w:val="24"/>
          <w:szCs w:val="24"/>
        </w:rPr>
        <w:t>20%，应保证测试成绩呈正态分布。开卷考试的试题，考核学生对知识的综合应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用能力的内容不得少于</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3"/>
          <w:sz w:val="24"/>
          <w:szCs w:val="24"/>
        </w:rPr>
        <w:t>60%。</w:t>
      </w:r>
    </w:p>
    <w:p>
      <w:pPr>
        <w:spacing w:before="1" w:line="315" w:lineRule="auto"/>
        <w:ind w:right="3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7、试卷按照“吉首大学试卷格式”打印，要求文字、数字、符号规范，图形准确，</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11"/>
          <w:sz w:val="24"/>
          <w:szCs w:val="24"/>
        </w:rPr>
        <w:t>无漏题、错题。每道大题后应注明本题分数，小题分数如不同，应分别标记，格式要统</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13"/>
          <w:sz w:val="24"/>
          <w:szCs w:val="24"/>
        </w:rPr>
        <w:t>一。每套试卷应包括试题、参考答案（含评分标准）各一份。评分标准要规范合理。</w:t>
      </w:r>
    </w:p>
    <w:p>
      <w:pPr>
        <w:sectPr>
          <w:footerReference r:id="rId146" w:type="default"/>
          <w:pgSz w:w="11905" w:h="16840"/>
          <w:pgMar w:top="1431" w:right="1490" w:bottom="1365" w:left="1589" w:header="0" w:footer="1243" w:gutter="0"/>
          <w:cols w:space="720" w:num="1"/>
        </w:sectPr>
      </w:pPr>
    </w:p>
    <w:p>
      <w:pPr>
        <w:spacing w:before="424" w:line="306" w:lineRule="auto"/>
        <w:ind w:right="91"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8、客观性试题答案必须保证唯一，</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6"/>
          <w:sz w:val="24"/>
          <w:szCs w:val="24"/>
        </w:rPr>
        <w:t>主观性试题参考答案要给出评分要点和评分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标准，评分标准合理，便于掌握；解题各步骤、要点的给分不应出现小数；多种解</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3"/>
          <w:sz w:val="24"/>
          <w:szCs w:val="24"/>
        </w:rPr>
        <w:t>法的试题要加以说明。</w:t>
      </w:r>
    </w:p>
    <w:p>
      <w:pPr>
        <w:spacing w:before="42"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9、考试命题工作一般在考试前三周内完成。</w:t>
      </w:r>
    </w:p>
    <w:p>
      <w:pPr>
        <w:spacing w:before="179" w:line="272" w:lineRule="auto"/>
        <w:ind w:right="8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第十五条    </w:t>
      </w:r>
      <w:r>
        <w:rPr>
          <w:rFonts w:ascii="方正书宋简体" w:hAnsi="方正书宋简体" w:eastAsia="方正书宋简体" w:cs="方正书宋简体"/>
          <w:spacing w:val="2"/>
          <w:sz w:val="24"/>
          <w:szCs w:val="24"/>
        </w:rPr>
        <w:t>命题后的试卷，由教学副院长审批签字后报教务处，由考试中心选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择一套试卷印刷，另一套作为补考用卷。如命题教师为教研室负责人，其试卷由教</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学副院长审批。试卷审核人对所审查的试卷有权提出质疑，命题教师应对质疑作出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解释；对不符合规范要求的试卷，应退回命题教师重新进行命题。</w:t>
      </w:r>
    </w:p>
    <w:p>
      <w:pPr>
        <w:spacing w:before="166" w:line="298" w:lineRule="auto"/>
        <w:ind w:left="1" w:right="8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各类考试命题结束，对试题要严格保密，教师不得以出复习提纲、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划定复习范围和指定重点等任何方式向学生泄漏试题。接触试卷的人员不得以任何</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方式泄漏试题内容，凡在命题、审题、印卷、</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领取和保管试卷过程中造成泄密事故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者，按学校有关规章制度从重、从严处理。</w:t>
      </w:r>
    </w:p>
    <w:p>
      <w:pPr>
        <w:spacing w:before="9" w:line="450" w:lineRule="exact"/>
        <w:ind w:firstLine="257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第四章</w:t>
      </w:r>
      <w:r>
        <w:rPr>
          <w:rFonts w:ascii="Microsoft JhengHei" w:hAnsi="Microsoft JhengHei" w:eastAsia="Microsoft JhengHei" w:cs="Microsoft JhengHei"/>
          <w:spacing w:val="4"/>
          <w:position w:val="12"/>
          <w:sz w:val="24"/>
          <w:szCs w:val="24"/>
        </w:rPr>
        <w:t xml:space="preserve">    </w:t>
      </w:r>
      <w:r>
        <w:rPr>
          <w:rFonts w:ascii="Microsoft JhengHei" w:hAnsi="Microsoft JhengHei" w:eastAsia="Microsoft JhengHei" w:cs="Microsoft JhengHei"/>
          <w:spacing w:val="-2"/>
          <w:position w:val="12"/>
          <w:sz w:val="24"/>
          <w:szCs w:val="24"/>
        </w:rPr>
        <w:t>试卷的印制、保管和启用</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第十七条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考试试卷由学院交教务处集中统一印刷。</w:t>
      </w:r>
    </w:p>
    <w:p>
      <w:pPr>
        <w:spacing w:before="97"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第十八条    </w:t>
      </w:r>
      <w:r>
        <w:rPr>
          <w:rFonts w:ascii="方正书宋简体" w:hAnsi="方正书宋简体" w:eastAsia="方正书宋简体" w:cs="方正书宋简体"/>
          <w:spacing w:val="2"/>
          <w:sz w:val="24"/>
          <w:szCs w:val="24"/>
        </w:rPr>
        <w:t>试卷的印制应做到工整、清晰、准确，避免出现错漏现象。凡问卷</w:t>
      </w:r>
    </w:p>
    <w:p>
      <w:pPr>
        <w:spacing w:before="154"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超过一张纸的，必须装订成册。</w:t>
      </w:r>
    </w:p>
    <w:p>
      <w:pPr>
        <w:spacing w:before="178"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第十九条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7"/>
          <w:sz w:val="24"/>
          <w:szCs w:val="24"/>
        </w:rPr>
        <w:t>各学院必须设专门的教务或考试办公室，</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7"/>
          <w:sz w:val="24"/>
          <w:szCs w:val="24"/>
        </w:rPr>
        <w:t>配置教务或考试专用设备，</w:t>
      </w:r>
    </w:p>
    <w:p>
      <w:pPr>
        <w:spacing w:before="151" w:line="253" w:lineRule="auto"/>
        <w:ind w:left="4" w:right="8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如计算机、移动硬盘、保密柜等，专机专用，</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3"/>
          <w:sz w:val="24"/>
          <w:szCs w:val="24"/>
        </w:rPr>
        <w:t>专柜专用，不得与其他工作共用，保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管好试卷相关材料。</w:t>
      </w:r>
    </w:p>
    <w:p>
      <w:pPr>
        <w:spacing w:before="166" w:line="250" w:lineRule="auto"/>
        <w:ind w:left="2" w:right="9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印制好的公共课程试卷由教务处保管，专业课程试卷由各学院教务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办保管。考查和提前考试的课程由学院教务秘书提前一天到教务处考试中心领取，</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2"/>
          <w:sz w:val="24"/>
          <w:szCs w:val="24"/>
        </w:rPr>
        <w:t>领回后由学院教务办专人负责专柜保管。</w:t>
      </w:r>
    </w:p>
    <w:p>
      <w:pPr>
        <w:spacing w:before="205" w:line="260" w:lineRule="auto"/>
        <w:ind w:left="2933" w:right="208" w:hanging="244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第二十一条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监考人员要严格按照《吉首大学监考人员职责》启用考试试卷。</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学生考试资格审查</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1"/>
          <w:sz w:val="24"/>
          <w:szCs w:val="24"/>
        </w:rPr>
        <w:t>相关部门和任课教师应按照学校相关规定在考试前</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周对学生参</w:t>
      </w:r>
    </w:p>
    <w:p>
      <w:pPr>
        <w:spacing w:before="109" w:line="264" w:lineRule="auto"/>
        <w:ind w:left="1" w:right="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加考试资格进行严格审查，由学院教务办提交应取消考试资格的学生名单，报学院</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主管副院长，学院组织审定后，提前</w:t>
      </w:r>
      <w:r>
        <w:rPr>
          <w:rFonts w:ascii="方正书宋简体" w:hAnsi="方正书宋简体" w:eastAsia="方正书宋简体" w:cs="方正书宋简体"/>
          <w:spacing w:val="72"/>
          <w:w w:val="101"/>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周报教务处备案，并由教学秘书于考试前一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周内通知学生。</w:t>
      </w:r>
    </w:p>
    <w:p>
      <w:pPr>
        <w:spacing w:before="209" w:line="281"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被取消考试资格者，该课程成绩记为零分或不及格，学生须补齐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相关手续后方能参加学期课程补考，</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且只有一次补考机会，</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否则该课程按规定重修。</w:t>
      </w:r>
    </w:p>
    <w:p>
      <w:pPr>
        <w:sectPr>
          <w:footerReference r:id="rId147" w:type="default"/>
          <w:pgSz w:w="11905" w:h="16840"/>
          <w:pgMar w:top="1431" w:right="1496" w:bottom="1365" w:left="1590" w:header="0" w:footer="1241" w:gutter="0"/>
          <w:cols w:space="720" w:num="1"/>
        </w:sectPr>
      </w:pPr>
    </w:p>
    <w:p>
      <w:pPr>
        <w:spacing w:before="410" w:line="306" w:lineRule="auto"/>
        <w:ind w:left="3"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学生因故、因病不能按时参加考试者，需由本人在考试前到教务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处网站上下载并填写《吉首大学学生课程免修、免考、免听、缓考申请表》，</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9"/>
          <w:sz w:val="24"/>
          <w:szCs w:val="24"/>
        </w:rPr>
        <w:t>并附上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有关证明（如因病缓考，</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3"/>
          <w:sz w:val="24"/>
          <w:szCs w:val="24"/>
        </w:rPr>
        <w:t>则需学校医院证明）。经学院主管副院长签字同意，</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报教务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处同意并签字后，到教务处学籍科备案，方可缓考，否则按旷考论处。如有特殊情</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况可由他人代办，但是必须将有效证明交至本院教学秘书手中，否则因手续不全造</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成的无成绩现象由考生本人负责，不予正常补考。</w:t>
      </w:r>
    </w:p>
    <w:p>
      <w:pPr>
        <w:spacing w:before="4" w:line="285" w:lineRule="auto"/>
        <w:ind w:left="3" w:right="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考试后不得申请缓考，除急病外，不得临考前申请缓考，缓考学生名单由学院</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教务办公室于考试前将《吉首大学学生课程免修、免考、免听、缓考申请表》复印</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件交任课教师。任课教师在记分册上注明“缓考”字样。缓考者应参加该课程的下</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5"/>
          <w:sz w:val="24"/>
          <w:szCs w:val="24"/>
        </w:rPr>
        <w:t>一次考试，</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5"/>
          <w:sz w:val="24"/>
          <w:szCs w:val="24"/>
        </w:rPr>
        <w:t>成绩记载中，</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5"/>
          <w:sz w:val="24"/>
          <w:szCs w:val="24"/>
        </w:rPr>
        <w:t>按实际考试成绩登记（不加平时分</w:t>
      </w:r>
      <w:r>
        <w:rPr>
          <w:rFonts w:ascii="方正书宋简体" w:hAnsi="方正书宋简体" w:eastAsia="方正书宋简体" w:cs="方正书宋简体"/>
          <w:spacing w:val="-94"/>
          <w:sz w:val="24"/>
          <w:szCs w:val="24"/>
        </w:rPr>
        <w:t>），</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5"/>
          <w:sz w:val="24"/>
          <w:szCs w:val="24"/>
        </w:rPr>
        <w:t>并注明“缓考”字样。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缓考只有一次机会，不合格者直接参加重修。</w:t>
      </w:r>
    </w:p>
    <w:p>
      <w:pPr>
        <w:spacing w:before="215"/>
        <w:ind w:left="4" w:right="98"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对于补考缺考又没有办理缓考手续的学生教务处不再组织补考，也不能参加下</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一届学生的期末考试和补考，应参加课程重修。</w:t>
      </w:r>
    </w:p>
    <w:p>
      <w:pPr>
        <w:spacing w:before="204" w:line="180" w:lineRule="auto"/>
        <w:ind w:firstLine="341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第六章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考场管理</w:t>
      </w:r>
    </w:p>
    <w:p>
      <w:pPr>
        <w:spacing w:before="136" w:line="278" w:lineRule="auto"/>
        <w:ind w:left="15" w:firstLine="475"/>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7"/>
          <w:sz w:val="24"/>
          <w:szCs w:val="24"/>
        </w:rPr>
        <w:t>教务处根据教学进程安排，</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科学合理地安排各门课程的考核班级、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时间、考场、监考人员，公布考试安排表，保证良好的考试环境。</w:t>
      </w:r>
    </w:p>
    <w:p>
      <w:pPr>
        <w:spacing w:before="23" w:line="282" w:lineRule="auto"/>
        <w:ind w:right="97"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学生考试前在教务管理系统中查询考试安排，按照考试要求参加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课程考核，必须严格遵守《吉首大学学生考试纪律》。</w:t>
      </w:r>
    </w:p>
    <w:p>
      <w:pPr>
        <w:spacing w:before="10" w:line="221" w:lineRule="auto"/>
        <w:ind w:left="3" w:right="11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监考是教学工作的重要组成部分，凡在籍教师应根据学院监考安</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4"/>
          <w:sz w:val="24"/>
          <w:szCs w:val="24"/>
        </w:rPr>
        <w:t>排参加监考工作，监考人员应严格遵守《吉首大学监考人员职责》。</w:t>
      </w:r>
    </w:p>
    <w:p>
      <w:pPr>
        <w:spacing w:line="149" w:lineRule="exact"/>
      </w:pPr>
    </w:p>
    <w:p>
      <w:pPr>
        <w:sectPr>
          <w:footerReference r:id="rId148" w:type="default"/>
          <w:pgSz w:w="11905" w:h="16840"/>
          <w:pgMar w:top="1431" w:right="1490" w:bottom="1365" w:left="1588" w:header="0" w:footer="1243" w:gutter="0"/>
          <w:cols w:equalWidth="0" w:num="1">
            <w:col w:w="8826"/>
          </w:cols>
        </w:sectPr>
      </w:pPr>
    </w:p>
    <w:p>
      <w:pPr>
        <w:spacing w:before="55" w:line="281" w:lineRule="auto"/>
        <w:ind w:left="4" w:right="7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第二十八条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5"/>
          <w:sz w:val="24"/>
          <w:szCs w:val="24"/>
        </w:rPr>
        <w:t>维护考试纪律。</w:t>
      </w:r>
    </w:p>
    <w:p>
      <w:pPr>
        <w:spacing w:before="13" w:line="270" w:lineRule="exact"/>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position w:val="-1"/>
          <w:sz w:val="24"/>
          <w:szCs w:val="24"/>
        </w:rPr>
        <w:t>第二十九条</w:t>
      </w:r>
    </w:p>
    <w:p>
      <w:pPr>
        <w:spacing w:line="14" w:lineRule="auto"/>
        <w:rPr>
          <w:rFonts w:ascii="Malgun Gothic"/>
          <w:sz w:val="2"/>
        </w:rPr>
      </w:pPr>
      <w:r>
        <w:rPr>
          <w:rFonts w:ascii="Malgun Gothic" w:hAnsi="Malgun Gothic" w:eastAsia="Malgun Gothic" w:cs="Malgun Gothic"/>
          <w:sz w:val="2"/>
          <w:szCs w:val="2"/>
        </w:rPr>
        <w:br w:type="column"/>
      </w:r>
    </w:p>
    <w:p>
      <w:pPr>
        <w:spacing w:before="66" w:line="180" w:lineRule="auto"/>
        <w:ind w:firstLine="6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考试期间，</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9"/>
          <w:sz w:val="24"/>
          <w:szCs w:val="24"/>
        </w:rPr>
        <w:t>由学校和学院分别组织巡视组对考场进行巡视和督察，</w:t>
      </w:r>
    </w:p>
    <w:p>
      <w:pPr>
        <w:spacing w:line="367" w:lineRule="auto"/>
        <w:rPr>
          <w:rFonts w:ascii="Malgun Gothic"/>
          <w:sz w:val="21"/>
        </w:rPr>
      </w:pPr>
    </w:p>
    <w:p>
      <w:pPr>
        <w:spacing w:before="86" w:line="180" w:lineRule="auto"/>
        <w:ind w:firstLine="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考务人员既要严格要求又要爱护学生，严明纪律和严格监考是爱</w:t>
      </w:r>
    </w:p>
    <w:p>
      <w:pPr>
        <w:sectPr>
          <w:type w:val="continuous"/>
          <w:pgSz w:w="11905" w:h="16840"/>
          <w:pgMar w:top="1431" w:right="1490" w:bottom="1365" w:left="1588" w:header="0" w:footer="1243" w:gutter="0"/>
          <w:cols w:equalWidth="0" w:num="2">
            <w:col w:w="1758" w:space="100"/>
            <w:col w:w="6969"/>
          </w:cols>
        </w:sectPr>
      </w:pPr>
    </w:p>
    <w:p>
      <w:pPr>
        <w:spacing w:before="192" w:line="313" w:lineRule="auto"/>
        <w:ind w:left="1" w:right="95" w:firstLine="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护学生的重要方面，在考试过程中发现学生有违纪作弊的苗头应予以警示，一旦发</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现学生违纪、作弊行为事实成立，应当场认定并终止考试，及时填写学生违规事实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并收集相关证明材料，并报送教务处按《吉首大学学生考试违规处理暂行办法》有</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关规定处理。在考试中疏于管理或考务人员违反考试管理规定，经核实后将按照学</w:t>
      </w:r>
    </w:p>
    <w:p>
      <w:pPr>
        <w:spacing w:before="16" w:line="192"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校有关规定认定教学事故，予以处理。</w:t>
      </w:r>
    </w:p>
    <w:p>
      <w:pPr>
        <w:spacing w:before="161" w:line="450" w:lineRule="exact"/>
        <w:ind w:firstLine="2215"/>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position w:val="12"/>
          <w:sz w:val="24"/>
          <w:szCs w:val="24"/>
        </w:rPr>
        <w:t>第七章</w:t>
      </w:r>
      <w:r>
        <w:rPr>
          <w:rFonts w:ascii="Microsoft JhengHei" w:hAnsi="Microsoft JhengHei" w:eastAsia="Microsoft JhengHei" w:cs="Microsoft JhengHei"/>
          <w:spacing w:val="1"/>
          <w:position w:val="12"/>
          <w:sz w:val="24"/>
          <w:szCs w:val="24"/>
        </w:rPr>
        <w:t xml:space="preserve">    </w:t>
      </w:r>
      <w:r>
        <w:rPr>
          <w:rFonts w:ascii="Microsoft JhengHei" w:hAnsi="Microsoft JhengHei" w:eastAsia="Microsoft JhengHei" w:cs="Microsoft JhengHei"/>
          <w:spacing w:val="-1"/>
          <w:position w:val="12"/>
          <w:sz w:val="24"/>
          <w:szCs w:val="24"/>
        </w:rPr>
        <w:t>成绩评定、分析与录入教务系统</w:t>
      </w:r>
    </w:p>
    <w:p>
      <w:pPr>
        <w:spacing w:line="16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第三十条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5"/>
          <w:sz w:val="24"/>
          <w:szCs w:val="24"/>
        </w:rPr>
        <w:t>考核材料的评阅：</w:t>
      </w:r>
    </w:p>
    <w:p>
      <w:pPr>
        <w:sectPr>
          <w:type w:val="continuous"/>
          <w:pgSz w:w="11905" w:h="16840"/>
          <w:pgMar w:top="1431" w:right="1490" w:bottom="1365" w:left="1588" w:header="0" w:footer="1243" w:gutter="0"/>
          <w:cols w:equalWidth="0" w:num="1">
            <w:col w:w="8826"/>
          </w:cols>
        </w:sectPr>
      </w:pPr>
    </w:p>
    <w:p>
      <w:pPr>
        <w:spacing w:before="423"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1、课程考核（含重修、选修）结束后，考核材料的评阅工作应在一周内完成。</w:t>
      </w:r>
    </w:p>
    <w:p>
      <w:pPr>
        <w:spacing w:before="175" w:line="314" w:lineRule="auto"/>
        <w:ind w:left="2" w:right="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2、用红色钢笔或红色水笔评阅考核材料。严格按照评分标准分步记分，</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要求做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到认真、规范，</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6"/>
          <w:sz w:val="24"/>
          <w:szCs w:val="24"/>
        </w:rPr>
        <w:t>评分公正、合理、准确，</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6"/>
          <w:sz w:val="24"/>
          <w:szCs w:val="24"/>
        </w:rPr>
        <w:t>不随意加分、扣分、送分，</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6"/>
          <w:sz w:val="24"/>
          <w:szCs w:val="24"/>
        </w:rPr>
        <w:t>不错批、漏批。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在题首处记得分，答错或未答记零分，加圆圈标记。小题分（一张试卷中统一用正</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5"/>
          <w:sz w:val="24"/>
          <w:szCs w:val="24"/>
        </w:rPr>
        <w:t>分或负分）、题首分、卷首分均应清楚、无误。应注意加强复核，防止出现失误。</w:t>
      </w:r>
    </w:p>
    <w:p>
      <w:pPr>
        <w:spacing w:before="12" w:line="238" w:lineRule="auto"/>
        <w:ind w:right="104"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1"/>
          <w:sz w:val="24"/>
          <w:szCs w:val="24"/>
        </w:rPr>
        <w:t>同一门课程（学分和要求相同）由两名或两名以上教师上课的应由相关系（教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研室）负责组织教师集体阅卷。试卷不得交由学生代阅。</w:t>
      </w:r>
    </w:p>
    <w:p>
      <w:pPr>
        <w:spacing w:before="213" w:line="312" w:lineRule="auto"/>
        <w:ind w:left="2" w:right="15"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4、试卷由多人流水改卷的，</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8"/>
          <w:sz w:val="24"/>
          <w:szCs w:val="24"/>
        </w:rPr>
        <w:t>评卷人应在第一张答卷评卷人的每一栏内分别签名；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由单人改卷的，只需在第一张答卷评卷人的最后一栏内签名，签名应签全名。每一</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4"/>
          <w:sz w:val="24"/>
          <w:szCs w:val="24"/>
        </w:rPr>
        <w:t>份试卷均要签名。</w:t>
      </w:r>
    </w:p>
    <w:p>
      <w:pPr>
        <w:spacing w:before="21" w:line="314" w:lineRule="auto"/>
        <w:ind w:left="1" w:right="97"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5、试卷要保持干静、整洁，</w:t>
      </w:r>
      <w:r>
        <w:rPr>
          <w:rFonts w:ascii="方正书宋简体" w:hAnsi="方正书宋简体" w:eastAsia="方正书宋简体" w:cs="方正书宋简体"/>
          <w:spacing w:val="103"/>
          <w:sz w:val="24"/>
          <w:szCs w:val="24"/>
        </w:rPr>
        <w:t xml:space="preserve"> </w:t>
      </w:r>
      <w:r>
        <w:rPr>
          <w:rFonts w:ascii="方正书宋简体" w:hAnsi="方正书宋简体" w:eastAsia="方正书宋简体" w:cs="方正书宋简体"/>
          <w:spacing w:val="-11"/>
          <w:w w:val="98"/>
          <w:sz w:val="24"/>
          <w:szCs w:val="24"/>
        </w:rPr>
        <w:t>不得随意涂改，</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1"/>
          <w:w w:val="98"/>
          <w:sz w:val="24"/>
          <w:szCs w:val="24"/>
        </w:rPr>
        <w:t>如确需更正必须在更正处签全名（不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sz w:val="24"/>
          <w:szCs w:val="24"/>
        </w:rPr>
        <w:t>得盖章）。</w:t>
      </w:r>
    </w:p>
    <w:p>
      <w:pPr>
        <w:spacing w:line="202"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6、试卷评阅后，</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7"/>
          <w:sz w:val="24"/>
          <w:szCs w:val="24"/>
        </w:rPr>
        <w:t>所得总分应等于各题得分的总和，</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1"/>
          <w:w w:val="97"/>
          <w:sz w:val="24"/>
          <w:szCs w:val="24"/>
        </w:rPr>
        <w:t>平时成绩不应该在卷面上体现。</w:t>
      </w:r>
    </w:p>
    <w:p>
      <w:pPr>
        <w:spacing w:before="163" w:line="315" w:lineRule="auto"/>
        <w:ind w:left="2" w:right="9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7、阅卷结束后，</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学院要统一组织任课教师按要求马上登录学生成绩，</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并统一装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订试卷入库密封保存。</w:t>
      </w:r>
    </w:p>
    <w:p>
      <w:pPr>
        <w:spacing w:before="3" w:line="202"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8、每门课程的总分、原始成绩单、网上登录的成绩三者要统一。</w:t>
      </w:r>
    </w:p>
    <w:p>
      <w:pPr>
        <w:spacing w:before="162" w:line="239" w:lineRule="auto"/>
        <w:ind w:right="96"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9、考核成绩由任课教师本人采用网上录入的方式提交。任课教师对课程登录密</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
          <w:sz w:val="24"/>
          <w:szCs w:val="24"/>
        </w:rPr>
        <w:t>码和口令必须严格保密，确保成绩管理系统的安全，按教务处要求及时提交成绩。</w:t>
      </w:r>
    </w:p>
    <w:p>
      <w:pPr>
        <w:spacing w:before="205" w:line="281" w:lineRule="auto"/>
        <w:ind w:left="2" w:right="9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第三十一条    </w:t>
      </w:r>
      <w:r>
        <w:rPr>
          <w:rFonts w:ascii="方正书宋简体" w:hAnsi="方正书宋简体" w:eastAsia="方正书宋简体" w:cs="方正书宋简体"/>
          <w:spacing w:val="2"/>
          <w:sz w:val="24"/>
          <w:szCs w:val="24"/>
        </w:rPr>
        <w:t>课程成绩的评定，以期末考核成绩和平时成绩所占比例进行总评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分。课程总评成绩评定原则一般为：</w:t>
      </w:r>
    </w:p>
    <w:p>
      <w:pPr>
        <w:spacing w:before="27" w:line="252" w:lineRule="auto"/>
        <w:ind w:left="8" w:right="97"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1、理论课程或独立开设的实验（训）</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10"/>
          <w:sz w:val="24"/>
          <w:szCs w:val="24"/>
        </w:rPr>
        <w:t>课：</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平时成绩约为</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0"/>
          <w:sz w:val="24"/>
          <w:szCs w:val="24"/>
        </w:rPr>
        <w:t>40％左右、期末成绩约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8"/>
          <w:sz w:val="24"/>
          <w:szCs w:val="24"/>
        </w:rPr>
        <w:t>60％左右；</w:t>
      </w:r>
    </w:p>
    <w:p>
      <w:pPr>
        <w:spacing w:before="181" w:line="252" w:lineRule="auto"/>
        <w:ind w:right="96"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2、含有实验、实训教学的课程：</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8"/>
          <w:sz w:val="24"/>
          <w:szCs w:val="24"/>
        </w:rPr>
        <w:t>平时成绩约为</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8"/>
          <w:sz w:val="24"/>
          <w:szCs w:val="24"/>
        </w:rPr>
        <w:t>30％左右（含理论及实践平时成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绩</w:t>
      </w:r>
      <w:r>
        <w:rPr>
          <w:rFonts w:ascii="方正书宋简体" w:hAnsi="方正书宋简体" w:eastAsia="方正书宋简体" w:cs="方正书宋简体"/>
          <w:spacing w:val="-28"/>
          <w:sz w:val="24"/>
          <w:szCs w:val="24"/>
        </w:rPr>
        <w:t>），</w:t>
      </w:r>
      <w:r>
        <w:rPr>
          <w:rFonts w:ascii="方正书宋简体" w:hAnsi="方正书宋简体" w:eastAsia="方正书宋简体" w:cs="方正书宋简体"/>
          <w:spacing w:val="-4"/>
          <w:sz w:val="24"/>
          <w:szCs w:val="24"/>
        </w:rPr>
        <w:t>实验（训）考核成绩约为</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4"/>
          <w:sz w:val="24"/>
          <w:szCs w:val="24"/>
        </w:rPr>
        <w:t>30％左右，期末理论成绩约为</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4"/>
          <w:sz w:val="24"/>
          <w:szCs w:val="24"/>
        </w:rPr>
        <w:t>40％左右；</w:t>
      </w:r>
    </w:p>
    <w:p>
      <w:pPr>
        <w:spacing w:before="174"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3、特殊专业可重新调整评定原则，</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w w:val="96"/>
          <w:sz w:val="24"/>
          <w:szCs w:val="24"/>
        </w:rPr>
        <w:t>应根据专业特点制定出评定办法，</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1"/>
          <w:w w:val="96"/>
          <w:sz w:val="24"/>
          <w:szCs w:val="24"/>
        </w:rPr>
        <w:t>由学院备案。</w:t>
      </w:r>
    </w:p>
    <w:p>
      <w:pPr>
        <w:spacing w:before="17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具体参照课程考核大纲执行。</w:t>
      </w:r>
    </w:p>
    <w:p>
      <w:pPr>
        <w:spacing w:before="181" w:line="233" w:lineRule="auto"/>
        <w:ind w:left="2" w:right="9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考核成绩的评定采用百分制或五级计分制，考核成绩合格即取得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相应的学分和学分绩点。</w:t>
      </w:r>
    </w:p>
    <w:p>
      <w:pPr>
        <w:spacing w:before="155" w:line="273" w:lineRule="auto"/>
        <w:ind w:left="2"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第三十三条    </w:t>
      </w:r>
      <w:r>
        <w:rPr>
          <w:rFonts w:ascii="方正书宋简体" w:hAnsi="方正书宋简体" w:eastAsia="方正书宋简体" w:cs="方正书宋简体"/>
          <w:spacing w:val="2"/>
          <w:sz w:val="24"/>
          <w:szCs w:val="24"/>
        </w:rPr>
        <w:t>课程成绩评定后由任课教师在规定时间录入吉首大学教务综合管 理系统，复核准确无误后再提交。因故不能按时提交成绩，须由教师本人提出书面</w:t>
      </w:r>
    </w:p>
    <w:p>
      <w:pPr>
        <w:sectPr>
          <w:footerReference r:id="rId149" w:type="default"/>
          <w:pgSz w:w="11905" w:h="16840"/>
          <w:pgMar w:top="1431" w:right="1490" w:bottom="1365" w:left="1590" w:header="0" w:footer="1241" w:gutter="0"/>
          <w:cols w:space="720" w:num="1"/>
        </w:sectPr>
      </w:pPr>
    </w:p>
    <w:p>
      <w:pPr>
        <w:spacing w:before="416" w:line="180" w:lineRule="auto"/>
        <w:ind w:firstLine="16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申请，经学院领导批准后，报教务处审批。</w:t>
      </w:r>
    </w:p>
    <w:p>
      <w:pPr>
        <w:spacing w:before="166" w:line="244" w:lineRule="auto"/>
        <w:ind w:left="134" w:right="13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任课教师提交学生成绩后，应对所任课程的试卷答题情况和学生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的总体成绩情况进行分析，认真做好课程教学总结和反思，寻找不足及其原因，制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定改进措施，并填写在教务管理系统《吉首大学课程教学分析表》中。</w:t>
      </w:r>
    </w:p>
    <w:p>
      <w:pPr>
        <w:spacing w:before="189" w:line="180" w:lineRule="auto"/>
        <w:ind w:firstLine="318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第八章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成绩管理及查询</w:t>
      </w:r>
    </w:p>
    <w:p>
      <w:pPr>
        <w:spacing w:before="124" w:line="244" w:lineRule="auto"/>
        <w:ind w:left="133" w:right="130"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学生课程成绩录入成绩库后，经查实有误的，任课教师（或阅卷</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评分教师）可以填写成绩更改申请书，经所在学院教学主管领导审核签字，报教务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处审核同意后，到教务处学籍管理科更改。</w:t>
      </w:r>
    </w:p>
    <w:p>
      <w:pPr>
        <w:spacing w:before="189"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每学期开学后，学生可以通过网络查询课程成绩。</w:t>
      </w:r>
    </w:p>
    <w:p>
      <w:pPr>
        <w:spacing w:before="122" w:line="268" w:lineRule="auto"/>
        <w:ind w:left="136" w:right="38"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学生可以对修读课程考核成绩的准确性提出复查。在下一学期开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学后两周内提出书面申请，由学生所在学院签署意见，经教务处批准后，由开课学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sz w:val="24"/>
          <w:szCs w:val="24"/>
        </w:rPr>
        <w:t>院组织教师复核，</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1"/>
          <w:sz w:val="24"/>
          <w:szCs w:val="24"/>
        </w:rPr>
        <w:t>并由复核教师签名后再反馈给学生。确实有误的，</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准予更正成绩。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由复核教师签署姓名，写明更正原因或复核结果，并由任课教师所在学院分管教学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副院长审核后，由教务处确认并通知学生。</w:t>
      </w:r>
    </w:p>
    <w:p>
      <w:pPr>
        <w:spacing w:before="190" w:line="244" w:lineRule="auto"/>
        <w:ind w:left="135" w:right="13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学生毕业或因其他原因需要成绩单时，由所在学院统一打印，经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办人及学院负责人签字后，加盖学院公章，经教务处学籍管理科审核后加盖学籍管</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理专用章。</w:t>
      </w:r>
    </w:p>
    <w:p>
      <w:pPr>
        <w:spacing w:before="190" w:line="244" w:lineRule="auto"/>
        <w:ind w:left="133" w:right="1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毕业成绩总表由学生所在学院打印两份，按以上程序签字盖章审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核后，一份由学院归入学生本人档案，一份送学校档案馆存档。学生毕业离校后，</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需要成绩证明时，可到学校档案馆复印，并加盖档案馆公章。</w:t>
      </w:r>
    </w:p>
    <w:p>
      <w:pPr>
        <w:spacing w:before="189" w:line="180" w:lineRule="auto"/>
        <w:ind w:firstLine="288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第九章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考核材料保存和检查</w:t>
      </w:r>
    </w:p>
    <w:p>
      <w:pPr>
        <w:spacing w:before="123" w:line="273"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第四十条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9"/>
          <w:sz w:val="24"/>
          <w:szCs w:val="24"/>
        </w:rPr>
        <w:t>成绩评定相关保存材料：</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9"/>
          <w:sz w:val="24"/>
          <w:szCs w:val="24"/>
        </w:rPr>
        <w:t>课程考核命题审批表、考试试卷（A、B</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卷）</w:t>
      </w:r>
      <w:r>
        <w:rPr>
          <w:rFonts w:ascii="方正书宋简体" w:hAnsi="方正书宋简体" w:eastAsia="方正书宋简体" w:cs="方正书宋简体"/>
          <w:sz w:val="24"/>
          <w:szCs w:val="24"/>
        </w:rPr>
        <w:t xml:space="preserve"> 或考查题（考查课、技能考核等）、考试试卷（A、B</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z w:val="24"/>
          <w:szCs w:val="24"/>
        </w:rPr>
        <w:t xml:space="preserve">卷）的参考答案及评分细则或   </w:t>
      </w:r>
      <w:r>
        <w:rPr>
          <w:rFonts w:ascii="方正书宋简体" w:hAnsi="方正书宋简体" w:eastAsia="方正书宋简体" w:cs="方正书宋简体"/>
          <w:spacing w:val="-1"/>
          <w:sz w:val="24"/>
          <w:szCs w:val="24"/>
        </w:rPr>
        <w:t>评分原则（考查课、技能考核等）、平时成绩登记册、成绩报告单、课程教学分析表</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
          <w:sz w:val="24"/>
          <w:szCs w:val="24"/>
        </w:rPr>
        <w:t>（含原始成绩、试卷（考核命题）分析）、学生答卷或反映成绩的小论文、报告、设</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z w:val="24"/>
          <w:szCs w:val="24"/>
        </w:rPr>
        <w:t>计册等纸质文档（或雕塑、模型、实物等电子材料）。</w:t>
      </w:r>
    </w:p>
    <w:p>
      <w:pPr>
        <w:spacing w:before="153" w:line="279" w:lineRule="auto"/>
        <w:ind w:left="134" w:right="13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考核结束后，一般课程按以下要求将考核材料统一归档放入档案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袋中：</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6"/>
          <w:sz w:val="24"/>
          <w:szCs w:val="24"/>
        </w:rPr>
        <w:t>1、问卷（1-2</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6"/>
          <w:sz w:val="24"/>
          <w:szCs w:val="24"/>
        </w:rPr>
        <w:t>份</w:t>
      </w:r>
      <w:r>
        <w:rPr>
          <w:rFonts w:ascii="方正书宋简体" w:hAnsi="方正书宋简体" w:eastAsia="方正书宋简体" w:cs="方正书宋简体"/>
          <w:spacing w:val="-61"/>
          <w:sz w:val="24"/>
          <w:szCs w:val="24"/>
        </w:rPr>
        <w:t>）；</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6"/>
          <w:sz w:val="24"/>
          <w:szCs w:val="24"/>
        </w:rPr>
        <w:t>2、学生全部答卷；</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6"/>
          <w:sz w:val="24"/>
          <w:szCs w:val="24"/>
        </w:rPr>
        <w:t>3、评分标准（或参考答案</w:t>
      </w:r>
      <w:r>
        <w:rPr>
          <w:rFonts w:ascii="方正书宋简体" w:hAnsi="方正书宋简体" w:eastAsia="方正书宋简体" w:cs="方正书宋简体"/>
          <w:spacing w:val="-61"/>
          <w:sz w:val="24"/>
          <w:szCs w:val="24"/>
        </w:rPr>
        <w:t>）；</w:t>
      </w:r>
      <w:r>
        <w:rPr>
          <w:rFonts w:ascii="方正书宋简体" w:hAnsi="方正书宋简体" w:eastAsia="方正书宋简体" w:cs="方正书宋简体"/>
          <w:spacing w:val="-16"/>
          <w:sz w:val="24"/>
          <w:szCs w:val="24"/>
        </w:rPr>
        <w:t>4、从教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务综合管理系统打印的原始成绩（含成绩分析、试卷分析）。</w:t>
      </w:r>
    </w:p>
    <w:p>
      <w:pPr>
        <w:spacing w:before="41" w:line="306" w:lineRule="auto"/>
        <w:ind w:left="135" w:right="13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相同课程统一命题的（主要适用于大学英语）</w:t>
      </w:r>
      <w:r>
        <w:rPr>
          <w:rFonts w:ascii="方正书宋简体" w:hAnsi="方正书宋简体" w:eastAsia="方正书宋简体" w:cs="方正书宋简体"/>
          <w:spacing w:val="91"/>
          <w:sz w:val="24"/>
          <w:szCs w:val="24"/>
        </w:rPr>
        <w:t xml:space="preserve"> </w:t>
      </w:r>
      <w:r>
        <w:rPr>
          <w:rFonts w:ascii="方正书宋简体" w:hAnsi="方正书宋简体" w:eastAsia="方正书宋简体" w:cs="方正书宋简体"/>
          <w:spacing w:val="-2"/>
          <w:sz w:val="24"/>
          <w:szCs w:val="24"/>
        </w:rPr>
        <w:t>按照以下要求统一归档：学生全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部答卷和从教务综合管理系统打印的原始成绩</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
          <w:sz w:val="24"/>
          <w:szCs w:val="24"/>
        </w:rPr>
        <w:t>（含成绩分析和试卷分析）放入档案</w:t>
      </w:r>
    </w:p>
    <w:p>
      <w:pPr>
        <w:sectPr>
          <w:footerReference r:id="rId150" w:type="default"/>
          <w:pgSz w:w="11905" w:h="16840"/>
          <w:pgMar w:top="1431" w:right="1455" w:bottom="1365" w:left="1457" w:header="0" w:footer="1241" w:gutter="0"/>
          <w:cols w:space="720" w:num="1"/>
        </w:sectPr>
      </w:pPr>
    </w:p>
    <w:p>
      <w:pPr>
        <w:spacing w:before="412" w:line="249" w:lineRule="auto"/>
        <w:ind w:left="22" w:right="128" w:hanging="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袋中；另外，问卷、评分标准、从教务综合管理系统打印的含成绩分析和试卷分析</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的原始成绩（与学生点名册合订成一本）以学期课程为单位独立存档。</w:t>
      </w:r>
    </w:p>
    <w:p>
      <w:pPr>
        <w:spacing w:before="153" w:line="252" w:lineRule="auto"/>
        <w:ind w:left="2" w:right="12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任课教师从教务综合管理系统打印原始成绩单（含成绩及试卷分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析表）一式二份，一份与平时成绩登记册一并装订并独立存档，另一份存放于档案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袋中，二份材料都要有任课教师签名。</w:t>
      </w:r>
    </w:p>
    <w:p>
      <w:pPr>
        <w:spacing w:before="151"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第四十三条</w:t>
      </w:r>
      <w:r>
        <w:rPr>
          <w:rFonts w:ascii="Microsoft JhengHei" w:hAnsi="Microsoft JhengHei" w:eastAsia="Microsoft JhengHei" w:cs="Microsoft JhengHei"/>
          <w:w w:val="101"/>
          <w:sz w:val="24"/>
          <w:szCs w:val="24"/>
        </w:rPr>
        <w:t xml:space="preserve">    </w:t>
      </w:r>
      <w:r>
        <w:rPr>
          <w:rFonts w:ascii="方正书宋简体" w:hAnsi="方正书宋简体" w:eastAsia="方正书宋简体" w:cs="方正书宋简体"/>
          <w:spacing w:val="-5"/>
          <w:sz w:val="24"/>
          <w:szCs w:val="24"/>
        </w:rPr>
        <w:t>保存方式：</w:t>
      </w:r>
    </w:p>
    <w:p>
      <w:pPr>
        <w:spacing w:before="133" w:line="297" w:lineRule="auto"/>
        <w:ind w:right="128"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1、考核材料由教务办按学院要求指定专人、指定地点分类妥善保存（公共课任</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课教师应按课程以学院或教研室为单位将考核材料按照要求归档；专业课任课教师</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5"/>
          <w:sz w:val="24"/>
          <w:szCs w:val="24"/>
        </w:rPr>
        <w:t>应按任课教师所属系或以教研室为单位进行归档）。</w:t>
      </w:r>
    </w:p>
    <w:p>
      <w:pPr>
        <w:spacing w:before="42" w:line="234" w:lineRule="auto"/>
        <w:ind w:left="4" w:right="3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2、试卷评阅后二周内，由开课学院按照学年学期、课程、考场（专业或班级）对试</w:t>
      </w:r>
      <w:r>
        <w:rPr>
          <w:rFonts w:ascii="方正书宋简体" w:hAnsi="方正书宋简体" w:eastAsia="方正书宋简体" w:cs="方正书宋简体"/>
          <w:spacing w:val="40"/>
          <w:w w:val="102"/>
          <w:sz w:val="24"/>
          <w:szCs w:val="24"/>
        </w:rPr>
        <w:t xml:space="preserve">  </w:t>
      </w:r>
      <w:r>
        <w:rPr>
          <w:rFonts w:ascii="方正书宋简体" w:hAnsi="方正书宋简体" w:eastAsia="方正书宋简体" w:cs="方正书宋简体"/>
          <w:spacing w:val="-23"/>
          <w:w w:val="98"/>
          <w:sz w:val="24"/>
          <w:szCs w:val="24"/>
        </w:rPr>
        <w:t>卷进行分类、整理、编号、装订、保管等工作。要求存放规范，</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23"/>
          <w:w w:val="98"/>
          <w:sz w:val="24"/>
          <w:szCs w:val="24"/>
        </w:rPr>
        <w:t>方便查找，</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3"/>
          <w:w w:val="98"/>
          <w:sz w:val="24"/>
          <w:szCs w:val="24"/>
        </w:rPr>
        <w:t>确保环境安全。</w:t>
      </w:r>
    </w:p>
    <w:p>
      <w:pPr>
        <w:spacing w:before="199" w:line="293" w:lineRule="auto"/>
        <w:ind w:left="2" w:right="136"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3、建立考核材料档案，制作《课程考核材料清单》。档案归档内容：目录、试</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
          <w:sz w:val="24"/>
          <w:szCs w:val="24"/>
        </w:rPr>
        <w:t>题、评分标准及标准（参考）答案、答卷丢失、成绩改动等情况说明。</w:t>
      </w:r>
    </w:p>
    <w:p>
      <w:pPr>
        <w:spacing w:before="27" w:line="252" w:lineRule="auto"/>
        <w:ind w:left="491" w:right="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5"/>
          <w:sz w:val="24"/>
          <w:szCs w:val="24"/>
        </w:rPr>
        <w:t>第四十四条</w:t>
      </w:r>
      <w:r>
        <w:rPr>
          <w:rFonts w:ascii="Microsoft JhengHei" w:hAnsi="Microsoft JhengHei" w:eastAsia="Microsoft JhengHei" w:cs="Microsoft JhengHei"/>
          <w:spacing w:val="18"/>
          <w:sz w:val="24"/>
          <w:szCs w:val="24"/>
        </w:rPr>
        <w:t xml:space="preserve">   </w:t>
      </w:r>
      <w:r>
        <w:rPr>
          <w:rFonts w:ascii="方正书宋简体" w:hAnsi="方正书宋简体" w:eastAsia="方正书宋简体" w:cs="方正书宋简体"/>
          <w:spacing w:val="-15"/>
          <w:sz w:val="24"/>
          <w:szCs w:val="24"/>
        </w:rPr>
        <w:t>试卷应保存到学生毕业离校后不少于一年（其它考核材料保留３年）。</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1"/>
          <w:sz w:val="24"/>
          <w:szCs w:val="24"/>
        </w:rPr>
        <w:t>第四十五条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每年学校教务处和督导团对课程考核和考核材料进行检查，并提</w:t>
      </w:r>
    </w:p>
    <w:p>
      <w:pPr>
        <w:spacing w:before="12" w:line="220" w:lineRule="auto"/>
        <w:ind w:left="3415" w:right="38" w:hanging="3394"/>
        <w:rPr>
          <w:rFonts w:ascii="Microsoft JhengHei" w:hAnsi="Microsoft JhengHei" w:eastAsia="Microsoft JhengHei" w:cs="Microsoft JhengHei"/>
          <w:sz w:val="24"/>
          <w:szCs w:val="24"/>
        </w:rPr>
      </w:pPr>
      <w:r>
        <w:rPr>
          <w:rFonts w:ascii="方正书宋简体" w:hAnsi="方正书宋简体" w:eastAsia="方正书宋简体" w:cs="方正书宋简体"/>
          <w:spacing w:val="-7"/>
          <w:sz w:val="24"/>
          <w:szCs w:val="24"/>
        </w:rPr>
        <w:t>出意见和建议，</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7"/>
          <w:sz w:val="24"/>
          <w:szCs w:val="24"/>
        </w:rPr>
        <w:t>命题教师、任课教师或学院应对提出的意见和建议作出解释或整改。</w:t>
      </w:r>
      <w:r>
        <w:rPr>
          <w:rFonts w:ascii="方正书宋简体" w:hAnsi="方正书宋简体" w:eastAsia="方正书宋简体" w:cs="方正书宋简体"/>
          <w:w w:val="101"/>
          <w:sz w:val="24"/>
          <w:szCs w:val="24"/>
        </w:rPr>
        <w:t xml:space="preserve"> </w:t>
      </w:r>
      <w:r>
        <w:rPr>
          <w:rFonts w:ascii="Microsoft JhengHei" w:hAnsi="Microsoft JhengHei" w:eastAsia="Microsoft JhengHei" w:cs="Microsoft JhengHei"/>
          <w:spacing w:val="-4"/>
          <w:sz w:val="24"/>
          <w:szCs w:val="24"/>
        </w:rPr>
        <w:t>第十章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重修考试</w:t>
      </w:r>
    </w:p>
    <w:p>
      <w:pPr>
        <w:spacing w:before="165" w:line="265" w:lineRule="auto"/>
        <w:ind w:left="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达到以下条件，按照学校规定进行了选课、缴纳相关费用的方可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参加重修考试</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3"/>
          <w:sz w:val="24"/>
          <w:szCs w:val="24"/>
        </w:rPr>
        <w:t>1）补考不及格跟班进行课程重修的</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3"/>
          <w:sz w:val="24"/>
          <w:szCs w:val="24"/>
        </w:rPr>
        <w:t>2）补考不及格独立开班进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行课程重修的</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5"/>
          <w:sz w:val="24"/>
          <w:szCs w:val="24"/>
        </w:rPr>
        <w:t>3）</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5"/>
          <w:sz w:val="24"/>
          <w:szCs w:val="24"/>
        </w:rPr>
        <w:t>因不满意课程成绩需要提高绩点并已经参加了课程重修的</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5"/>
          <w:sz w:val="24"/>
          <w:szCs w:val="24"/>
        </w:rPr>
        <w:t>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因其他情况已经进行课程重修的；</w:t>
      </w:r>
    </w:p>
    <w:p>
      <w:pPr>
        <w:spacing w:before="151" w:line="273" w:lineRule="auto"/>
        <w:ind w:left="5" w:right="13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凡是符合重修考试条件需要进行考试的，需在考试前４周以开课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学院为单位，按照课程考试要求进行考试命题、考试组织等相关工作</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
          <w:sz w:val="24"/>
          <w:szCs w:val="24"/>
        </w:rPr>
        <w:t>。</w:t>
      </w:r>
    </w:p>
    <w:p>
      <w:pPr>
        <w:spacing w:before="8" w:line="290" w:lineRule="auto"/>
        <w:ind w:right="128"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第四十八条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原则上重修考试安排在全国大学英语四六级考试后</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2"/>
          <w:sz w:val="24"/>
          <w:szCs w:val="24"/>
        </w:rPr>
        <w:t>周进行。所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有重修课程考试在教务综合管理系统中安排，</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3"/>
          <w:sz w:val="24"/>
          <w:szCs w:val="24"/>
        </w:rPr>
        <w:t>各开课学院进入系统查看考试课程并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布置命题工作，学生应在考试前</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1"/>
          <w:sz w:val="24"/>
          <w:szCs w:val="24"/>
        </w:rPr>
        <w:t>2</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周到教务综合管理系统中查看并确认学生个人考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试安排，确保考试顺利进行。</w:t>
      </w:r>
    </w:p>
    <w:p>
      <w:pPr>
        <w:spacing w:before="5" w:line="248" w:lineRule="auto"/>
        <w:ind w:left="3415" w:right="967" w:hanging="29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第四十九条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所有重修考试材料的归档应按照课程考试相关规定进行。</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7"/>
          <w:sz w:val="24"/>
          <w:szCs w:val="24"/>
        </w:rPr>
        <w:t>第十一章</w:t>
      </w:r>
      <w:r>
        <w:rPr>
          <w:rFonts w:ascii="Microsoft JhengHei" w:hAnsi="Microsoft JhengHei" w:eastAsia="Microsoft JhengHei" w:cs="Microsoft JhengHei"/>
          <w:spacing w:val="7"/>
          <w:sz w:val="24"/>
          <w:szCs w:val="24"/>
        </w:rPr>
        <w:t xml:space="preserve">    </w:t>
      </w:r>
      <w:r>
        <w:rPr>
          <w:rFonts w:ascii="Microsoft JhengHei" w:hAnsi="Microsoft JhengHei" w:eastAsia="Microsoft JhengHei" w:cs="Microsoft JhengHei"/>
          <w:spacing w:val="-7"/>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7"/>
          <w:sz w:val="24"/>
          <w:szCs w:val="24"/>
        </w:rPr>
        <w:t>则</w:t>
      </w:r>
    </w:p>
    <w:p>
      <w:pPr>
        <w:spacing w:before="14" w:line="437" w:lineRule="exact"/>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position w:val="11"/>
          <w:sz w:val="24"/>
          <w:szCs w:val="24"/>
        </w:rPr>
        <w:t>第五十条</w:t>
      </w:r>
      <w:r>
        <w:rPr>
          <w:rFonts w:ascii="Microsoft JhengHei" w:hAnsi="Microsoft JhengHei" w:eastAsia="Microsoft JhengHei" w:cs="Microsoft JhengHei"/>
          <w:spacing w:val="2"/>
          <w:w w:val="101"/>
          <w:position w:val="11"/>
          <w:sz w:val="24"/>
          <w:szCs w:val="24"/>
        </w:rPr>
        <w:t xml:space="preserve">    </w:t>
      </w:r>
      <w:r>
        <w:rPr>
          <w:rFonts w:ascii="方正书宋简体" w:hAnsi="方正书宋简体" w:eastAsia="方正书宋简体" w:cs="方正书宋简体"/>
          <w:spacing w:val="-2"/>
          <w:position w:val="11"/>
          <w:sz w:val="24"/>
          <w:szCs w:val="24"/>
        </w:rPr>
        <w:t>本规定适用于我校普通本、专科课程考核工作。</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第五十一条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本规定由教务处负责解释。</w:t>
      </w:r>
    </w:p>
    <w:p>
      <w:pPr>
        <w:sectPr>
          <w:footerReference r:id="rId151" w:type="default"/>
          <w:pgSz w:w="11905" w:h="16840"/>
          <w:pgMar w:top="1431" w:right="1457" w:bottom="1365" w:left="1588" w:header="0" w:footer="1241" w:gutter="0"/>
          <w:cols w:space="720" w:num="1"/>
        </w:sectPr>
      </w:pPr>
    </w:p>
    <w:p>
      <w:pPr>
        <w:spacing w:before="349" w:line="180" w:lineRule="auto"/>
        <w:ind w:firstLine="277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吉首大学学生考试纪律</w:t>
      </w:r>
    </w:p>
    <w:p>
      <w:pPr>
        <w:spacing w:line="295" w:lineRule="auto"/>
        <w:rPr>
          <w:rFonts w:ascii="Malgun Gothic"/>
          <w:sz w:val="21"/>
        </w:rPr>
      </w:pPr>
    </w:p>
    <w:p>
      <w:pPr>
        <w:spacing w:before="104" w:line="180" w:lineRule="auto"/>
        <w:ind w:firstLine="49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一、考试前的准备及要求</w:t>
      </w:r>
    </w:p>
    <w:p>
      <w:pPr>
        <w:spacing w:before="154" w:line="314" w:lineRule="auto"/>
        <w:ind w:left="4" w:right="94"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w:t>
      </w:r>
      <w:r>
        <w:rPr>
          <w:rFonts w:ascii="宋体" w:hAnsi="宋体" w:eastAsia="宋体" w:cs="宋体"/>
          <w:spacing w:val="-3"/>
          <w:sz w:val="21"/>
          <w:szCs w:val="21"/>
        </w:rPr>
        <w:t>、</w:t>
      </w:r>
      <w:r>
        <w:rPr>
          <w:rFonts w:ascii="方正书宋简体" w:hAnsi="方正书宋简体" w:eastAsia="方正书宋简体" w:cs="方正书宋简体"/>
          <w:spacing w:val="-3"/>
          <w:sz w:val="24"/>
          <w:szCs w:val="24"/>
        </w:rPr>
        <w:t>考生必须也只能提前</w:t>
      </w:r>
      <w:r>
        <w:rPr>
          <w:rFonts w:ascii="方正书宋简体" w:hAnsi="方正书宋简体" w:eastAsia="方正书宋简体" w:cs="方正书宋简体"/>
          <w:spacing w:val="61"/>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分钟进入考场，开考</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3"/>
          <w:sz w:val="24"/>
          <w:szCs w:val="24"/>
        </w:rPr>
        <w:t>30</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分钟后不准进入考场，有特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殊要求的考试需按照相关规定执行。</w:t>
      </w:r>
    </w:p>
    <w:p>
      <w:pPr>
        <w:spacing w:before="2" w:line="239" w:lineRule="auto"/>
        <w:ind w:left="19" w:right="94" w:firstLine="46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进场后，考生须检查座位及周围可视范围内，即墙面、课桌等处是否有违规</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隐患，如果发现须立即报告监考老师，否则按照相关规定进行处理。</w:t>
      </w:r>
    </w:p>
    <w:p>
      <w:pPr>
        <w:spacing w:before="215"/>
        <w:ind w:left="2" w:right="90"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学生须携带考试有效证件：身份证和准考证（除期末考试外其他所有考试都</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要求准考证</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7"/>
          <w:sz w:val="24"/>
          <w:szCs w:val="24"/>
        </w:rPr>
        <w:t>入座后自觉将证件放在桌面左上角。</w:t>
      </w:r>
    </w:p>
    <w:p>
      <w:pPr>
        <w:spacing w:before="215" w:line="315" w:lineRule="auto"/>
        <w:ind w:left="4" w:right="9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w:t>
      </w:r>
      <w:r>
        <w:rPr>
          <w:rFonts w:ascii="宋体" w:hAnsi="宋体" w:eastAsia="宋体" w:cs="宋体"/>
          <w:spacing w:val="-11"/>
          <w:sz w:val="21"/>
          <w:szCs w:val="21"/>
        </w:rPr>
        <w:t>、</w:t>
      </w:r>
      <w:r>
        <w:rPr>
          <w:rFonts w:ascii="方正书宋简体" w:hAnsi="方正书宋简体" w:eastAsia="方正书宋简体" w:cs="方正书宋简体"/>
          <w:spacing w:val="-11"/>
          <w:sz w:val="24"/>
          <w:szCs w:val="24"/>
        </w:rPr>
        <w:t>若考生遗失身份证，</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1"/>
          <w:sz w:val="24"/>
          <w:szCs w:val="24"/>
        </w:rPr>
        <w:t>且来不及到公安部门补办，</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sz w:val="24"/>
          <w:szCs w:val="24"/>
        </w:rPr>
        <w:t>须到所在学院开具学校统一</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9"/>
          <w:sz w:val="24"/>
          <w:szCs w:val="24"/>
        </w:rPr>
        <w:t>格式的身份证明，</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9"/>
          <w:sz w:val="24"/>
          <w:szCs w:val="24"/>
        </w:rPr>
        <w:t>贴上本人照片，</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9"/>
          <w:sz w:val="24"/>
          <w:szCs w:val="24"/>
        </w:rPr>
        <w:t>并在照片、</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9"/>
          <w:sz w:val="24"/>
          <w:szCs w:val="24"/>
        </w:rPr>
        <w:t>骑缝和落款处加盖学院公章后，</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9"/>
          <w:sz w:val="24"/>
          <w:szCs w:val="24"/>
        </w:rPr>
        <w:t>方可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入场考试。</w:t>
      </w:r>
    </w:p>
    <w:p>
      <w:pPr>
        <w:spacing w:before="2" w:line="315" w:lineRule="auto"/>
        <w:ind w:right="9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参加闭卷考试，除必要的文具（包括任课教师准许带的计算器）外，书包、</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课本、讲义、笔记及通讯工具等物品一律不得带入考场。如确需带入考场者，应按</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照要求放在指定位置，否则按照相关规定进行处理。</w:t>
      </w:r>
    </w:p>
    <w:p>
      <w:pPr>
        <w:spacing w:before="4" w:line="277" w:lineRule="auto"/>
        <w:ind w:right="92"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考生不得无故缺考。因故请假要求缓考的，可按程序办理或请人办理缓考手</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续，将缓考手续交所在学院教学秘书以后，其缓考方可按照正常考试登记成绩。凡</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因没有办理缓考手续或没有将缓考手续交给学院教学秘书，所造成的后果均由考生</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本人负责，考试课程按缺考处理，不予正常期末补考。</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二、考场纪律</w:t>
      </w:r>
    </w:p>
    <w:p>
      <w:pPr>
        <w:spacing w:before="152" w:line="315" w:lineRule="auto"/>
        <w:ind w:left="7" w:right="94"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各级各类考试考生必须独立完成答卷。考试中，除因试卷印制、命题、记分</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等问题可向监考人员举手提问外，其它一律不得提问。</w:t>
      </w:r>
    </w:p>
    <w:p>
      <w:pPr>
        <w:spacing w:before="1" w:line="239" w:lineRule="auto"/>
        <w:ind w:left="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2</w:t>
      </w:r>
      <w:r>
        <w:rPr>
          <w:rFonts w:ascii="宋体" w:hAnsi="宋体" w:eastAsia="宋体" w:cs="宋体"/>
          <w:spacing w:val="-11"/>
          <w:w w:val="97"/>
          <w:sz w:val="21"/>
          <w:szCs w:val="21"/>
        </w:rPr>
        <w:t>、</w:t>
      </w:r>
      <w:r>
        <w:rPr>
          <w:rFonts w:ascii="方正书宋简体" w:hAnsi="方正书宋简体" w:eastAsia="方正书宋简体" w:cs="方正书宋简体"/>
          <w:spacing w:val="-11"/>
          <w:w w:val="97"/>
          <w:sz w:val="24"/>
          <w:szCs w:val="24"/>
        </w:rPr>
        <w:t>考场内应保持安静，</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1"/>
          <w:w w:val="97"/>
          <w:sz w:val="24"/>
          <w:szCs w:val="24"/>
        </w:rPr>
        <w:t>考生不得随意走动，</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1"/>
          <w:w w:val="97"/>
          <w:sz w:val="24"/>
          <w:szCs w:val="24"/>
        </w:rPr>
        <w:t>不得吸烟、说话，</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7"/>
          <w:sz w:val="24"/>
          <w:szCs w:val="24"/>
        </w:rPr>
        <w:t>更不得大声喧哗。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考生确有特殊情况需要暂时离开考场，</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必须由监考人员陪同，</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0"/>
          <w:sz w:val="24"/>
          <w:szCs w:val="24"/>
        </w:rPr>
        <w:t>且每次只能出去一人。</w:t>
      </w:r>
    </w:p>
    <w:p>
      <w:pPr>
        <w:spacing w:before="217" w:line="315" w:lineRule="auto"/>
        <w:ind w:left="4" w:right="94"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答卷只能用蓝色或黑色的钢笔、水笔或圆珠笔填写，不得使用红色笔或铅笔</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7"/>
          <w:sz w:val="24"/>
          <w:szCs w:val="24"/>
        </w:rPr>
        <w:t>填写（特殊规定的、必须用铅笔的除外）。</w:t>
      </w:r>
    </w:p>
    <w:p>
      <w:pPr>
        <w:ind w:left="5" w:right="94"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不得抄袭或协助他人抄袭试题答案或者与考试内容相关资料，不得偷看、使</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用暗号、传递、获取信息等。</w:t>
      </w:r>
    </w:p>
    <w:p>
      <w:pPr>
        <w:spacing w:before="215"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不得在试卷上填写与考生身份不符的姓名、考号等信息。</w:t>
      </w:r>
    </w:p>
    <w:p>
      <w:pPr>
        <w:spacing w:before="193"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不得在规定以外的地方填写姓名、考号或者标记信息。</w:t>
      </w:r>
    </w:p>
    <w:p>
      <w:pPr>
        <w:sectPr>
          <w:footerReference r:id="rId152" w:type="default"/>
          <w:pgSz w:w="11905" w:h="16840"/>
          <w:pgMar w:top="1431" w:right="1493" w:bottom="1365" w:left="1587" w:header="0" w:footer="1241" w:gutter="0"/>
          <w:cols w:space="720" w:num="1"/>
        </w:sectPr>
      </w:pPr>
    </w:p>
    <w:p>
      <w:pPr>
        <w:spacing w:before="42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不得传、接物品或者交换试卷、答卷、草稿纸。</w:t>
      </w:r>
    </w:p>
    <w:p>
      <w:pPr>
        <w:spacing w:before="195"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不得充当“枪手”替他人考试和雇佣“枪手”替考。</w:t>
      </w:r>
    </w:p>
    <w:p>
      <w:pPr>
        <w:spacing w:before="190" w:line="315" w:lineRule="auto"/>
        <w:ind w:right="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9</w:t>
      </w:r>
      <w:r>
        <w:rPr>
          <w:rFonts w:ascii="宋体" w:hAnsi="宋体" w:eastAsia="宋体" w:cs="宋体"/>
          <w:spacing w:val="-11"/>
          <w:w w:val="98"/>
          <w:sz w:val="21"/>
          <w:szCs w:val="21"/>
        </w:rPr>
        <w:t>、</w:t>
      </w:r>
      <w:r>
        <w:rPr>
          <w:rFonts w:ascii="方正书宋简体" w:hAnsi="方正书宋简体" w:eastAsia="方正书宋简体" w:cs="方正书宋简体"/>
          <w:spacing w:val="-11"/>
          <w:w w:val="98"/>
          <w:sz w:val="24"/>
          <w:szCs w:val="24"/>
        </w:rPr>
        <w:t>在开考</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w w:val="98"/>
          <w:sz w:val="24"/>
          <w:szCs w:val="24"/>
        </w:rPr>
        <w:t>30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w w:val="98"/>
          <w:sz w:val="24"/>
          <w:szCs w:val="24"/>
        </w:rPr>
        <w:t>分钟内，</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8"/>
          <w:sz w:val="24"/>
          <w:szCs w:val="24"/>
        </w:rPr>
        <w:t>强行离开考场者，</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8"/>
          <w:sz w:val="24"/>
          <w:szCs w:val="24"/>
        </w:rPr>
        <w:t>作罢考处理，</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8"/>
          <w:sz w:val="24"/>
          <w:szCs w:val="24"/>
        </w:rPr>
        <w:t>不允许参加补考和毕业补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5"/>
          <w:sz w:val="24"/>
          <w:szCs w:val="24"/>
        </w:rPr>
        <w:t>考。开考</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5"/>
          <w:sz w:val="24"/>
          <w:szCs w:val="24"/>
        </w:rPr>
        <w:t>45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5"/>
          <w:sz w:val="24"/>
          <w:szCs w:val="24"/>
        </w:rPr>
        <w:t>分钟后，</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5"/>
          <w:sz w:val="24"/>
          <w:szCs w:val="24"/>
        </w:rPr>
        <w:t>考生方能交卷出考场，</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擅自离开考场者，</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作自行交卷处理。因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突发急病或突发事件，经监考人员同意，可离开考场，并作缓考处理，但须有监考</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人员的相关记载和签名。</w:t>
      </w:r>
    </w:p>
    <w:p>
      <w:pPr>
        <w:spacing w:before="2" w:line="201"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10</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有特殊规定的考试，考生离开考场的时间及要求应按照规定执行。</w:t>
      </w:r>
    </w:p>
    <w:p>
      <w:pPr>
        <w:spacing w:before="158" w:line="193"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11</w:t>
      </w:r>
      <w:r>
        <w:rPr>
          <w:rFonts w:ascii="宋体" w:hAnsi="宋体" w:eastAsia="宋体" w:cs="宋体"/>
          <w:spacing w:val="-3"/>
          <w:sz w:val="21"/>
          <w:szCs w:val="21"/>
        </w:rPr>
        <w:t>、</w:t>
      </w:r>
      <w:r>
        <w:rPr>
          <w:rFonts w:ascii="方正书宋简体" w:hAnsi="方正书宋简体" w:eastAsia="方正书宋简体" w:cs="方正书宋简体"/>
          <w:spacing w:val="-3"/>
          <w:sz w:val="24"/>
          <w:szCs w:val="24"/>
        </w:rPr>
        <w:t>不得故意销毁试卷、答卷或者考试材料。</w:t>
      </w:r>
    </w:p>
    <w:p>
      <w:pPr>
        <w:spacing w:before="176" w:line="241" w:lineRule="auto"/>
        <w:ind w:left="1" w:right="2"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12</w:t>
      </w:r>
      <w:r>
        <w:rPr>
          <w:rFonts w:ascii="宋体" w:hAnsi="宋体" w:eastAsia="宋体" w:cs="宋体"/>
          <w:spacing w:val="-8"/>
          <w:sz w:val="21"/>
          <w:szCs w:val="21"/>
        </w:rPr>
        <w:t>、</w:t>
      </w:r>
      <w:r>
        <w:rPr>
          <w:rFonts w:ascii="方正书宋简体" w:hAnsi="方正书宋简体" w:eastAsia="方正书宋简体" w:cs="方正书宋简体"/>
          <w:spacing w:val="-8"/>
          <w:sz w:val="24"/>
          <w:szCs w:val="24"/>
        </w:rPr>
        <w:t>不得携带手机等通讯工具进入考场，</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8"/>
          <w:sz w:val="24"/>
          <w:szCs w:val="24"/>
        </w:rPr>
        <w:t>不得利用诸如对讲机、手机和接收机等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通讯工具接收和发送考试信息，</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不得使用手机在考场内上网。</w:t>
      </w:r>
    </w:p>
    <w:p>
      <w:pPr>
        <w:spacing w:before="203"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三、交卷要求</w:t>
      </w:r>
    </w:p>
    <w:p>
      <w:pPr>
        <w:spacing w:before="149" w:line="316" w:lineRule="auto"/>
        <w:ind w:left="7" w:right="3"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提前交卷者，应将试卷交至讲台上，然后离开考场。不得在考场内及考场附</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近停留、讨论、喧哗，影响他人考试。有特殊要求的考试应按照规定执行。</w:t>
      </w:r>
    </w:p>
    <w:p>
      <w:pPr>
        <w:spacing w:line="315" w:lineRule="auto"/>
        <w:ind w:left="5" w:right="3"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考试结束铃响，考生应立即停止答题，听从监考人员的指导，并依次交卷离</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8"/>
          <w:sz w:val="24"/>
          <w:szCs w:val="24"/>
        </w:rPr>
        <w:t>开考场。</w:t>
      </w:r>
    </w:p>
    <w:p>
      <w:pPr>
        <w:spacing w:before="3" w:line="201"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w:t>
      </w:r>
      <w:r>
        <w:rPr>
          <w:rFonts w:ascii="宋体" w:hAnsi="宋体" w:eastAsia="宋体" w:cs="宋体"/>
          <w:spacing w:val="-2"/>
          <w:sz w:val="21"/>
          <w:szCs w:val="21"/>
        </w:rPr>
        <w:t>、</w:t>
      </w:r>
      <w:r>
        <w:rPr>
          <w:rFonts w:ascii="方正书宋简体" w:hAnsi="方正书宋简体" w:eastAsia="方正书宋简体" w:cs="方正书宋简体"/>
          <w:spacing w:val="-2"/>
          <w:sz w:val="24"/>
          <w:szCs w:val="24"/>
        </w:rPr>
        <w:t>考生不得带走试卷、答题卡和草稿纸。</w:t>
      </w:r>
    </w:p>
    <w:p>
      <w:pPr>
        <w:spacing w:before="149" w:line="180"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四、考后成绩查询问题</w:t>
      </w:r>
    </w:p>
    <w:p>
      <w:pPr>
        <w:spacing w:before="150"/>
        <w:ind w:left="1" w:right="3"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考试结束后，学生不准在任课教师处打听成绩或要求加分，学生个人不得到</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考试中心查询成绩，学生可在网上教务管理系统中查询成绩。</w:t>
      </w:r>
    </w:p>
    <w:p>
      <w:pPr>
        <w:spacing w:before="218" w:line="315" w:lineRule="auto"/>
        <w:ind w:lef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w:t>
      </w:r>
      <w:r>
        <w:rPr>
          <w:rFonts w:ascii="宋体" w:hAnsi="宋体" w:eastAsia="宋体" w:cs="宋体"/>
          <w:spacing w:val="-1"/>
          <w:sz w:val="21"/>
          <w:szCs w:val="21"/>
        </w:rPr>
        <w:t>、</w:t>
      </w:r>
      <w:r>
        <w:rPr>
          <w:rFonts w:ascii="方正书宋简体" w:hAnsi="方正书宋简体" w:eastAsia="方正书宋简体" w:cs="方正书宋简体"/>
          <w:spacing w:val="-1"/>
          <w:sz w:val="24"/>
          <w:szCs w:val="24"/>
        </w:rPr>
        <w:t>成绩公布后，如发现考试成绩缺失或出入较大，要求查卷和改分，须在下一</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3"/>
          <w:sz w:val="24"/>
          <w:szCs w:val="24"/>
        </w:rPr>
        <w:t>学期开学后两周内，</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到教务处学籍科领取或者在网上下载相关表格，</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3"/>
          <w:sz w:val="24"/>
          <w:szCs w:val="24"/>
        </w:rPr>
        <w:t>向所在学院提出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书面申请，经主管教学的副院长同意后，</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0"/>
          <w:sz w:val="24"/>
          <w:szCs w:val="24"/>
        </w:rPr>
        <w:t>由原评定成绩的教师和所在学院教学秘书查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改并签字，将结果报送学籍科备案。查询时间结束后，学籍科不再接受查询申请。</w:t>
      </w:r>
    </w:p>
    <w:p>
      <w:pPr>
        <w:sectPr>
          <w:footerReference r:id="rId153" w:type="default"/>
          <w:pgSz w:w="11905" w:h="16840"/>
          <w:pgMar w:top="1431" w:right="1584" w:bottom="1365" w:left="1591" w:header="0" w:footer="1241" w:gutter="0"/>
          <w:cols w:space="720" w:num="1"/>
        </w:sectPr>
      </w:pPr>
    </w:p>
    <w:p>
      <w:pPr>
        <w:spacing w:before="349" w:line="180" w:lineRule="auto"/>
        <w:ind w:firstLine="245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吉首大学考试工作人员职责</w:t>
      </w:r>
    </w:p>
    <w:p>
      <w:pPr>
        <w:spacing w:line="295" w:lineRule="auto"/>
        <w:rPr>
          <w:rFonts w:ascii="Malgun Gothic"/>
          <w:sz w:val="21"/>
        </w:rPr>
      </w:pPr>
    </w:p>
    <w:p>
      <w:pPr>
        <w:spacing w:before="104" w:line="450" w:lineRule="exact"/>
        <w:ind w:firstLine="293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第一章</w:t>
      </w:r>
      <w:r>
        <w:rPr>
          <w:rFonts w:ascii="Microsoft JhengHei" w:hAnsi="Microsoft JhengHei" w:eastAsia="Microsoft JhengHei" w:cs="Microsoft JhengHei"/>
          <w:spacing w:val="5"/>
          <w:position w:val="12"/>
          <w:sz w:val="24"/>
          <w:szCs w:val="24"/>
        </w:rPr>
        <w:t xml:space="preserve">    </w:t>
      </w:r>
      <w:r>
        <w:rPr>
          <w:rFonts w:ascii="Microsoft JhengHei" w:hAnsi="Microsoft JhengHei" w:eastAsia="Microsoft JhengHei" w:cs="Microsoft JhengHei"/>
          <w:spacing w:val="-3"/>
          <w:position w:val="12"/>
          <w:sz w:val="24"/>
          <w:szCs w:val="24"/>
        </w:rPr>
        <w:t>考务工作人员职责</w:t>
      </w:r>
    </w:p>
    <w:p>
      <w:pPr>
        <w:spacing w:line="204"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第一条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3"/>
          <w:sz w:val="24"/>
          <w:szCs w:val="24"/>
        </w:rPr>
        <w:t>主考、副主考职责</w:t>
      </w:r>
    </w:p>
    <w:p>
      <w:pPr>
        <w:spacing w:before="105" w:line="193" w:lineRule="auto"/>
        <w:ind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1、主考负责本考点的全面工作，主持本考点的考务。副主考协助主考工作。</w:t>
      </w:r>
    </w:p>
    <w:p>
      <w:pPr>
        <w:spacing w:before="174"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2、负责组织布置考点及考场，做好考前准备工作。</w:t>
      </w:r>
    </w:p>
    <w:p>
      <w:pPr>
        <w:spacing w:before="173" w:line="304" w:lineRule="auto"/>
        <w:ind w:right="78"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3、负责本考点备用试卷的管理。如因试卷不完整、字迹模糊、错装等原因启封</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备用试卷，须经主考批准后，方可启封备用卷。</w:t>
      </w:r>
    </w:p>
    <w:p>
      <w:pPr>
        <w:spacing w:before="39" w:line="238" w:lineRule="auto"/>
        <w:ind w:right="7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4、切实组织好安全保卫工作，</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1"/>
          <w:sz w:val="24"/>
          <w:szCs w:val="24"/>
        </w:rPr>
        <w:t>发现问题及时处理，</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重大问题要立即报告学校或</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上级主管部门。</w:t>
      </w:r>
    </w:p>
    <w:p>
      <w:pPr>
        <w:spacing w:before="207"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
          <w:sz w:val="24"/>
          <w:szCs w:val="24"/>
        </w:rPr>
        <w:t>工作人员职责</w:t>
      </w:r>
    </w:p>
    <w:p>
      <w:pPr>
        <w:spacing w:before="148" w:line="316" w:lineRule="auto"/>
        <w:ind w:right="8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工作人员按具体分工分为考务组、考场指令执行组、考试用品发放组、考试违</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规处理组、试卷发放和验收组、安全保卫、保密组、后勤保障组和纪检监察组等。</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7"/>
          <w:sz w:val="24"/>
          <w:szCs w:val="24"/>
        </w:rPr>
        <w:t>职责分别如下：</w:t>
      </w:r>
    </w:p>
    <w:p>
      <w:pPr>
        <w:spacing w:before="2" w:line="201" w:lineRule="auto"/>
        <w:ind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1、考务组由教务处人员组成。主要职责为：</w:t>
      </w:r>
    </w:p>
    <w:p>
      <w:pPr>
        <w:spacing w:before="148"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①安排考场，选调监考人员、巡视人员和工作人员，制定考试工作手册。</w:t>
      </w:r>
    </w:p>
    <w:p>
      <w:pPr>
        <w:spacing w:before="204" w:line="450" w:lineRule="exact"/>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6"/>
          <w:sz w:val="24"/>
          <w:szCs w:val="24"/>
        </w:rPr>
        <w:t>②配合主考对监考人员、巡视人员和工作人员进行培训。</w:t>
      </w:r>
    </w:p>
    <w:p>
      <w:pPr>
        <w:spacing w:line="20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③通知信号种类及发布信号时间。</w:t>
      </w:r>
    </w:p>
    <w:p>
      <w:pPr>
        <w:spacing w:before="159"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④收发各类工作人员工作标志。</w:t>
      </w:r>
    </w:p>
    <w:p>
      <w:pPr>
        <w:spacing w:before="191"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⑤检查考点考场考前布置工作。</w:t>
      </w:r>
    </w:p>
    <w:p>
      <w:pPr>
        <w:spacing w:before="174" w:line="291" w:lineRule="auto"/>
        <w:ind w:left="480" w:right="1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⑥准备考场所需用品、用具。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⑦负责安排本考点的安全保卫、保密及医疗、后勤保障工作。</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⑧负责联系监察室做好考试过程的考试纪律和规则监督。</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⑨负责安排好本考点的考试宣传工作。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⑩负责本考点违规考生、违纪考务工作人员及偶发事件的处理。</w:t>
      </w:r>
    </w:p>
    <w:p>
      <w:pPr>
        <w:spacing w:before="179" w:line="239" w:lineRule="auto"/>
        <w:ind w:right="7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2、考试用品发放组由教务处和其他人员组成。主要职责为：</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屏蔽仪、金属探测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仪和其它考试用品的检查、发放和回收。</w:t>
      </w:r>
    </w:p>
    <w:p>
      <w:pPr>
        <w:spacing w:before="215" w:line="315"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3、考试违规处理组由教务处人员组成。主要职责为：</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收集违纪考生材料及取证，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通知学院及汇总违规材料。</w:t>
      </w:r>
    </w:p>
    <w:p>
      <w:pPr>
        <w:spacing w:line="204" w:lineRule="auto"/>
        <w:ind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4、试卷发放和验收组由教务处和其他人员组成。主要职责为：</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6"/>
          <w:sz w:val="24"/>
          <w:szCs w:val="24"/>
        </w:rPr>
        <w:t>考前试卷材料发</w:t>
      </w:r>
    </w:p>
    <w:p>
      <w:pPr>
        <w:sectPr>
          <w:footerReference r:id="rId154" w:type="default"/>
          <w:pgSz w:w="11905" w:h="16840"/>
          <w:pgMar w:top="1431" w:right="1508" w:bottom="1365" w:left="1592" w:header="0" w:footer="1241" w:gutter="0"/>
          <w:cols w:space="720" w:num="1"/>
        </w:sectPr>
      </w:pPr>
    </w:p>
    <w:p>
      <w:pPr>
        <w:spacing w:before="423" w:line="193"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放和考后材料的清点验收、装订和密封工作。</w:t>
      </w:r>
    </w:p>
    <w:p>
      <w:pPr>
        <w:spacing w:before="177"/>
        <w:ind w:left="1"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5、考场指令执行组由国际教育学院人员组成。主要职责为：</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播音设备调试及收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音、放音效果的检查，放音工作。</w:t>
      </w:r>
    </w:p>
    <w:p>
      <w:pPr>
        <w:spacing w:before="218" w:line="310" w:lineRule="auto"/>
        <w:ind w:left="2"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6、安全保卫、保密组由保卫处、考试中心和无线电管理委员会人员组成。主要</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职责为：试卷接送安全保卫、试卷保密室监控、考点安全巡逻和无线电监测等相关</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8"/>
          <w:sz w:val="24"/>
          <w:szCs w:val="24"/>
        </w:rPr>
        <w:t>工作。</w:t>
      </w:r>
    </w:p>
    <w:p>
      <w:pPr>
        <w:spacing w:before="22" w:line="290" w:lineRule="auto"/>
        <w:ind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7、后勤保障组由后勤产业处、校办、校医院人员组成。主要职责为：</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6"/>
          <w:sz w:val="24"/>
          <w:szCs w:val="24"/>
        </w:rPr>
        <w:t>保证考试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期间供水供电、考场动力电路及照明电路的正常运行，确保每间教室至少有一个插</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座供屏蔽仪正常取电；按照考试规定调整电铃时间，并在考试结束时及时调整回原</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位便于教师上课；保证教室清洁卫生、及时打开教室门锁；及时将考试用桌椅运送</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到位；保证考试期间的医务工作；保证考试用车。</w:t>
      </w:r>
    </w:p>
    <w:p>
      <w:pPr>
        <w:spacing w:before="179" w:line="238" w:lineRule="auto"/>
        <w:ind w:left="2"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8、纪检监察组由纪检监察室人员组成。主要职责为：</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试卷印制、考试、阅卷的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全过程监督。</w:t>
      </w:r>
    </w:p>
    <w:p>
      <w:pPr>
        <w:spacing w:before="208" w:line="180" w:lineRule="auto"/>
        <w:ind w:firstLine="317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监考人员职责</w:t>
      </w:r>
    </w:p>
    <w:p>
      <w:pPr>
        <w:spacing w:before="138"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考前职责</w:t>
      </w:r>
    </w:p>
    <w:p>
      <w:pPr>
        <w:spacing w:before="148" w:line="304" w:lineRule="auto"/>
        <w:ind w:left="8" w:right="96"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1、监考人员不得旷工和迟到。监考人员应提前</w:t>
      </w:r>
      <w:r>
        <w:rPr>
          <w:rFonts w:ascii="方正书宋简体" w:hAnsi="方正书宋简体" w:eastAsia="方正书宋简体" w:cs="方正书宋简体"/>
          <w:spacing w:val="85"/>
          <w:sz w:val="24"/>
          <w:szCs w:val="24"/>
        </w:rPr>
        <w:t xml:space="preserve"> </w:t>
      </w:r>
      <w:r>
        <w:rPr>
          <w:rFonts w:ascii="方正书宋简体" w:hAnsi="方正书宋简体" w:eastAsia="方正书宋简体" w:cs="方正书宋简体"/>
          <w:spacing w:val="-2"/>
          <w:sz w:val="24"/>
          <w:szCs w:val="24"/>
        </w:rPr>
        <w:t>40</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2"/>
          <w:sz w:val="24"/>
          <w:szCs w:val="24"/>
        </w:rPr>
        <w:t>分钟到指定地点签到和领取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与考试有关的资料，提前</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3"/>
          <w:sz w:val="24"/>
          <w:szCs w:val="24"/>
        </w:rPr>
        <w:t>20</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分钟进入考场。</w:t>
      </w:r>
    </w:p>
    <w:p>
      <w:pPr>
        <w:spacing w:before="22" w:line="268" w:lineRule="auto"/>
        <w:ind w:left="1"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2、监考人员应隔列单座（或隔行隔列）</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5"/>
          <w:sz w:val="24"/>
          <w:szCs w:val="24"/>
        </w:rPr>
        <w:t>安排考场座次（除发放了考试座位号的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考试外，</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其他考试一律重新调整座位</w:t>
      </w:r>
      <w:r>
        <w:rPr>
          <w:rFonts w:ascii="方正书宋简体" w:hAnsi="方正书宋简体" w:eastAsia="方正书宋简体" w:cs="方正书宋简体"/>
          <w:spacing w:val="-86"/>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清理和布置考场，</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不准考生在桌上、抽屉等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处放置任何物品，以清除违规隐患。</w:t>
      </w:r>
    </w:p>
    <w:p>
      <w:pPr>
        <w:spacing w:before="217" w:line="315" w:lineRule="auto"/>
        <w:ind w:left="2" w:right="95"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3、监考人员应认真核对考试证件及证件上的照片与考生是否相符，严防代考。</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4"/>
          <w:sz w:val="24"/>
          <w:szCs w:val="24"/>
        </w:rPr>
        <w:t>考试有效证件：身份证、准考证（除期末考试外其他所有考试都要求带准考证）。</w:t>
      </w:r>
    </w:p>
    <w:p>
      <w:pPr>
        <w:spacing w:before="1" w:line="201"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4、监考人员应在考生入场时用金属探测仪检查，</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1"/>
          <w:w w:val="98"/>
          <w:sz w:val="24"/>
          <w:szCs w:val="24"/>
        </w:rPr>
        <w:t>防止考生携带电子设备进入考场。</w:t>
      </w:r>
    </w:p>
    <w:p>
      <w:pPr>
        <w:spacing w:before="165"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5、监考人员只能而且应该提前</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分钟发放试卷。</w:t>
      </w:r>
    </w:p>
    <w:p>
      <w:pPr>
        <w:spacing w:before="190"/>
        <w:ind w:left="4"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6、监考人员应在考试前向学生强调考场规则和考试纪律，</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特殊考试应按照要求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宣读相关的考试规定，提醒考生不得违规。</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考中职责</w:t>
      </w:r>
    </w:p>
    <w:p>
      <w:pPr>
        <w:spacing w:before="151" w:line="315" w:lineRule="auto"/>
        <w:ind w:right="96"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1、监考人员应在考场登记表上对本考场的考试情况及各项目做好登记，</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对实考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人数的登记要准确无误。</w:t>
      </w:r>
    </w:p>
    <w:p>
      <w:pPr>
        <w:spacing w:before="6" w:line="199"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w w:val="88"/>
          <w:sz w:val="24"/>
          <w:szCs w:val="24"/>
        </w:rPr>
        <w:t>2、</w:t>
      </w:r>
      <w:r>
        <w:rPr>
          <w:rFonts w:ascii="方正书宋简体" w:hAnsi="方正书宋简体" w:eastAsia="方正书宋简体" w:cs="方正书宋简体"/>
          <w:spacing w:val="65"/>
          <w:sz w:val="24"/>
          <w:szCs w:val="24"/>
        </w:rPr>
        <w:t xml:space="preserve"> </w:t>
      </w:r>
      <w:r>
        <w:rPr>
          <w:rFonts w:ascii="方正书宋简体" w:hAnsi="方正书宋简体" w:eastAsia="方正书宋简体" w:cs="方正书宋简体"/>
          <w:spacing w:val="-10"/>
          <w:w w:val="88"/>
          <w:sz w:val="24"/>
          <w:szCs w:val="24"/>
        </w:rPr>
        <w:t>“八防”、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w w:val="88"/>
          <w:sz w:val="24"/>
          <w:szCs w:val="24"/>
        </w:rPr>
        <w:t>“十二不准”</w:t>
      </w:r>
    </w:p>
    <w:p>
      <w:pPr>
        <w:sectPr>
          <w:footerReference r:id="rId155" w:type="default"/>
          <w:pgSz w:w="11905" w:h="16840"/>
          <w:pgMar w:top="1431" w:right="1490" w:bottom="1365" w:left="1590" w:header="0" w:footer="1241" w:gutter="0"/>
          <w:cols w:space="720" w:num="1"/>
        </w:sectPr>
      </w:pPr>
    </w:p>
    <w:p>
      <w:pPr>
        <w:spacing w:before="424" w:line="315" w:lineRule="auto"/>
        <w:ind w:left="134" w:right="9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①八防：防代考；防通讯工具作弊；防夹带；</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3"/>
          <w:sz w:val="24"/>
          <w:szCs w:val="24"/>
        </w:rPr>
        <w:t>防偷看和抄袭；防传递答案；防</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8"/>
          <w:sz w:val="24"/>
          <w:szCs w:val="24"/>
        </w:rPr>
        <w:t>换卷；防考生带走试卷（答卷</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8"/>
          <w:sz w:val="24"/>
          <w:szCs w:val="24"/>
        </w:rPr>
        <w:t>防漏收答卷。</w:t>
      </w:r>
    </w:p>
    <w:p>
      <w:pPr>
        <w:spacing w:before="1" w:line="315" w:lineRule="auto"/>
        <w:ind w:left="133" w:right="1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②十二不准：</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1"/>
          <w:sz w:val="24"/>
          <w:szCs w:val="24"/>
        </w:rPr>
        <w:t>不准迟到、早退；</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不准解释题意；</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1"/>
          <w:sz w:val="24"/>
          <w:szCs w:val="24"/>
        </w:rPr>
        <w:t>不准抄题做题；</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不准看书看报；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不准抽烟；不准打瞌睡；不准在考场内谈笑；</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不准随意翻看考生试卷和答卷；不准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将试题传出考场外；不准串岗、脱岗；不准使用手机；不准穿响底鞋。</w:t>
      </w:r>
    </w:p>
    <w:p>
      <w:pPr>
        <w:spacing w:before="5" w:line="315" w:lineRule="auto"/>
        <w:ind w:left="134" w:right="91"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3、监考人员应在教室的前后各站一人，</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密切观察考生，</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做好考试违纪的防范工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作。如发现违规苗头时，</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6"/>
          <w:sz w:val="24"/>
          <w:szCs w:val="24"/>
        </w:rPr>
        <w:t>监考人员应提醒或警告学生，</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6"/>
          <w:sz w:val="24"/>
          <w:szCs w:val="24"/>
        </w:rPr>
        <w:t>对拒不听从劝告者，</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6"/>
          <w:sz w:val="24"/>
          <w:szCs w:val="24"/>
        </w:rPr>
        <w:t>按照《吉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首大学关于学生考试违规处理办法》进行处理。</w:t>
      </w:r>
    </w:p>
    <w:p>
      <w:pPr>
        <w:spacing w:before="1" w:line="315" w:lineRule="auto"/>
        <w:ind w:left="135" w:right="100"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4、监考人员应严格掌握考试时间。在考试结束前</w:t>
      </w:r>
      <w:r>
        <w:rPr>
          <w:rFonts w:ascii="方正书宋简体" w:hAnsi="方正书宋简体" w:eastAsia="方正书宋简体" w:cs="方正书宋简体"/>
          <w:spacing w:val="80"/>
          <w:sz w:val="24"/>
          <w:szCs w:val="24"/>
        </w:rPr>
        <w:t xml:space="preserve"> </w:t>
      </w:r>
      <w:r>
        <w:rPr>
          <w:rFonts w:ascii="方正书宋简体" w:hAnsi="方正书宋简体" w:eastAsia="方正书宋简体" w:cs="方正书宋简体"/>
          <w:spacing w:val="-2"/>
          <w:sz w:val="24"/>
          <w:szCs w:val="24"/>
        </w:rPr>
        <w:t>30</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2"/>
          <w:sz w:val="24"/>
          <w:szCs w:val="24"/>
        </w:rPr>
        <w:t>分钟，要提醒考生注意。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每次考试，监考人员不得任意缩短或延长时间，如因特殊情况需要更改，须经教务</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7"/>
          <w:sz w:val="24"/>
          <w:szCs w:val="24"/>
        </w:rPr>
        <w:t>处批准。</w:t>
      </w:r>
    </w:p>
    <w:p>
      <w:pPr>
        <w:spacing w:before="1" w:line="202"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5、考生确有特殊情况需要暂时离开考场，监考人员必须全程陪同。</w:t>
      </w:r>
    </w:p>
    <w:p>
      <w:pPr>
        <w:spacing w:before="161" w:line="315" w:lineRule="auto"/>
        <w:ind w:left="135" w:right="8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6、考试结束时，监考人员</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8"/>
          <w:sz w:val="24"/>
          <w:szCs w:val="24"/>
        </w:rPr>
        <w:t>1</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人收卷，1</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人维持纪律（70</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8"/>
          <w:sz w:val="24"/>
          <w:szCs w:val="24"/>
        </w:rPr>
        <w:t>人以上的考场</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2</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人维持纪</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律）。要求考生按监考人员要求，依次交卷离开考场，不准带走试卷、答卷和草稿纸。</w:t>
      </w:r>
    </w:p>
    <w:p>
      <w:pPr>
        <w:spacing w:before="2" w:line="201" w:lineRule="auto"/>
        <w:ind w:firstLine="61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7、考生离场后，监考人员应认真清理、核对试卷份数与考试人数是否相符。</w:t>
      </w:r>
    </w:p>
    <w:p>
      <w:pPr>
        <w:spacing w:before="149"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考后职责</w:t>
      </w:r>
    </w:p>
    <w:p>
      <w:pPr>
        <w:spacing w:before="149" w:line="274" w:lineRule="auto"/>
        <w:ind w:right="99"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1、填写好《考场情况登记表》，特别是对违规情况作详细登记，并及时将试卷</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（及答卷）、</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0"/>
          <w:sz w:val="24"/>
          <w:szCs w:val="24"/>
        </w:rPr>
        <w:t>《考场情况登记表》等送交领卷处验收，由验卷人员再次清点答卷份数，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核查无误后，将答卷装袋、回收试卷和草纸放到指定地点。</w:t>
      </w:r>
    </w:p>
    <w:p>
      <w:pPr>
        <w:spacing w:before="178"/>
        <w:ind w:left="135"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2、如果任课老师要领取答卷批阅，</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监考人员应按《考场情况登记表》的要求办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理试卷（或答卷）交接手续，并在相应处签名。</w:t>
      </w:r>
    </w:p>
    <w:p>
      <w:pPr>
        <w:spacing w:before="218" w:line="238" w:lineRule="auto"/>
        <w:ind w:left="134" w:right="91"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3、监考人员如出现违规现象，</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6"/>
          <w:sz w:val="24"/>
          <w:szCs w:val="24"/>
        </w:rPr>
        <w:t>严格按照《吉首大学教学事故认定办法》有关规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定进行处理。</w:t>
      </w:r>
    </w:p>
    <w:p>
      <w:pPr>
        <w:spacing w:before="207" w:line="180" w:lineRule="auto"/>
        <w:ind w:firstLine="330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巡视人员职责</w:t>
      </w:r>
    </w:p>
    <w:p>
      <w:pPr>
        <w:spacing w:before="137" w:line="278" w:lineRule="auto"/>
        <w:ind w:left="133" w:right="13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必须以高度的责任感和熟练的业务技能做好考场的监督、检查工作，</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严格维护考场纪律、制止违规行为，确保考试公正、顺利地进行。</w:t>
      </w:r>
    </w:p>
    <w:p>
      <w:pPr>
        <w:spacing w:before="23" w:line="19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第二条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2"/>
          <w:sz w:val="24"/>
          <w:szCs w:val="24"/>
        </w:rPr>
        <w:t>认真学习有关考试的文件和规章制度，</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2"/>
          <w:sz w:val="24"/>
          <w:szCs w:val="24"/>
        </w:rPr>
        <w:t>熟悉监考业务，</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2"/>
          <w:sz w:val="24"/>
          <w:szCs w:val="24"/>
        </w:rPr>
        <w:t>指导监考工作。</w:t>
      </w:r>
    </w:p>
    <w:p>
      <w:pPr>
        <w:spacing w:before="121" w:line="290" w:lineRule="auto"/>
        <w:ind w:left="139" w:right="90"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在履行巡考职责时必须佩戴规定标志，严格遵守考试作息制度，不迟 </w:t>
      </w:r>
      <w:r>
        <w:rPr>
          <w:rFonts w:ascii="方正书宋简体" w:hAnsi="方正书宋简体" w:eastAsia="方正书宋简体" w:cs="方正书宋简体"/>
          <w:spacing w:val="2"/>
          <w:sz w:val="24"/>
          <w:szCs w:val="24"/>
        </w:rPr>
        <w:t>到、不早退，不擅离职守，手机可以开机但是必须处于振动状态，便于与考点办公</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8"/>
          <w:sz w:val="24"/>
          <w:szCs w:val="24"/>
        </w:rPr>
        <w:t>室联系。</w:t>
      </w:r>
    </w:p>
    <w:p>
      <w:pPr>
        <w:sectPr>
          <w:footerReference r:id="rId156" w:type="default"/>
          <w:pgSz w:w="11905" w:h="16840"/>
          <w:pgMar w:top="1431" w:right="1495" w:bottom="1365" w:left="1457" w:header="0" w:footer="1241" w:gutter="0"/>
          <w:cols w:space="720" w:num="1"/>
        </w:sectPr>
      </w:pPr>
    </w:p>
    <w:p>
      <w:pPr>
        <w:spacing w:before="415" w:line="293" w:lineRule="auto"/>
        <w:ind w:left="3" w:right="78"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考试期间应在所负责考场的范围内流动巡视，果断处理好考场内的偶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发事件。如遇特殊情况或不能处理的情况，及时与主考联系。协助教务处做好违规</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学生的认定工作。</w:t>
      </w:r>
    </w:p>
    <w:p>
      <w:pPr>
        <w:spacing w:before="8" w:line="294" w:lineRule="auto"/>
        <w:ind w:left="2" w:right="7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抽查所负责考场的监考情况，抽查考生的准考证和有效身份证件等统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一规定的证件是否齐全，证件上的照片与本人是否相符，准考证上的考场号等是否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与本考场相符。</w:t>
      </w:r>
    </w:p>
    <w:p>
      <w:pPr>
        <w:spacing w:before="2" w:line="281" w:lineRule="auto"/>
        <w:ind w:left="1" w:right="80"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有权制止除佩戴规定标志以外的任何人进入考场，有权制止未经主管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部门允许的任何人在考场内照相、录像。</w:t>
      </w:r>
    </w:p>
    <w:p>
      <w:pPr>
        <w:spacing w:before="10"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9"/>
          <w:sz w:val="24"/>
          <w:szCs w:val="24"/>
        </w:rPr>
        <w:t>第七条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9"/>
          <w:sz w:val="24"/>
          <w:szCs w:val="24"/>
        </w:rPr>
        <w:t>熟悉监考员的“八防”、</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9"/>
          <w:sz w:val="24"/>
          <w:szCs w:val="24"/>
        </w:rPr>
        <w:t>“十二不准”，督促监考工作：</w:t>
      </w:r>
    </w:p>
    <w:p>
      <w:pPr>
        <w:spacing w:before="119" w:line="315" w:lineRule="auto"/>
        <w:ind w:right="78"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w w:val="90"/>
          <w:sz w:val="24"/>
          <w:szCs w:val="24"/>
        </w:rPr>
        <w:t>1、八防：</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0"/>
          <w:w w:val="90"/>
          <w:sz w:val="24"/>
          <w:szCs w:val="24"/>
        </w:rPr>
        <w:t>防代考；</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0"/>
          <w:w w:val="90"/>
          <w:sz w:val="24"/>
          <w:szCs w:val="24"/>
        </w:rPr>
        <w:t>防通讯工具作弊；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w w:val="90"/>
          <w:sz w:val="24"/>
          <w:szCs w:val="24"/>
        </w:rPr>
        <w:t>防夹带；</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0"/>
          <w:w w:val="90"/>
          <w:sz w:val="24"/>
          <w:szCs w:val="24"/>
        </w:rPr>
        <w:t>防偷看和抄袭；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w w:val="90"/>
          <w:sz w:val="24"/>
          <w:szCs w:val="24"/>
        </w:rPr>
        <w:t>防传递答案；</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0"/>
          <w:w w:val="90"/>
          <w:sz w:val="24"/>
          <w:szCs w:val="24"/>
        </w:rPr>
        <w:t>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换卷；防考生带走试卷（答卷</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8"/>
          <w:sz w:val="24"/>
          <w:szCs w:val="24"/>
        </w:rPr>
        <w:t>防漏收答卷。</w:t>
      </w:r>
    </w:p>
    <w:p>
      <w:pPr>
        <w:spacing w:before="2" w:line="274"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2、十二不准：</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1"/>
          <w:w w:val="95"/>
          <w:sz w:val="24"/>
          <w:szCs w:val="24"/>
        </w:rPr>
        <w:t>不准迟到、早退；</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1"/>
          <w:w w:val="95"/>
          <w:sz w:val="24"/>
          <w:szCs w:val="24"/>
        </w:rPr>
        <w:t>不准解释题意；</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5"/>
          <w:sz w:val="24"/>
          <w:szCs w:val="24"/>
        </w:rPr>
        <w:t>不准抄题做题；</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1"/>
          <w:w w:val="95"/>
          <w:sz w:val="24"/>
          <w:szCs w:val="24"/>
        </w:rPr>
        <w:t>不准看书看报；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不准抽烟；不准打瞌睡；不准在考场内谈笑；</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不准随意翻看考生试卷和答卷；不准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将试题传出考场外；不准串岗、脱岗；不准使用手机；不准穿响底鞋。</w:t>
      </w:r>
    </w:p>
    <w:p>
      <w:pPr>
        <w:spacing w:before="167" w:line="250" w:lineRule="auto"/>
        <w:ind w:left="1" w:right="8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不得协助或支持监考人员、考生违规，不得扰乱考场秩序、动用考场</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
          <w:sz w:val="24"/>
          <w:szCs w:val="24"/>
        </w:rPr>
        <w:t>的试卷资料，不得指使他人进行以上违规行为。违规者将按照有关规定给予处分，</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触犯刑律的，移送司法机关处理。</w:t>
      </w:r>
    </w:p>
    <w:p>
      <w:pPr>
        <w:spacing w:before="204" w:line="283" w:lineRule="auto"/>
        <w:ind w:left="19" w:right="77"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15"/>
          <w:sz w:val="24"/>
          <w:szCs w:val="24"/>
        </w:rPr>
        <w:t>第九条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5"/>
          <w:sz w:val="24"/>
          <w:szCs w:val="24"/>
        </w:rPr>
        <w:t>考试结束后，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5"/>
          <w:sz w:val="24"/>
          <w:szCs w:val="24"/>
        </w:rPr>
        <w:t>填好《吉首大学巡视登记表》，</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5"/>
          <w:sz w:val="24"/>
          <w:szCs w:val="24"/>
        </w:rPr>
        <w:t>对考试工作认真总结并作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出客观评价，及时交教务处考试中心。</w:t>
      </w:r>
    </w:p>
    <w:p>
      <w:pPr>
        <w:sectPr>
          <w:footerReference r:id="rId157" w:type="default"/>
          <w:pgSz w:w="11905" w:h="16840"/>
          <w:pgMar w:top="1431" w:right="1507" w:bottom="1365" w:left="1590" w:header="0" w:footer="1241" w:gutter="0"/>
          <w:cols w:space="720" w:num="1"/>
        </w:sectPr>
      </w:pPr>
    </w:p>
    <w:p>
      <w:pPr>
        <w:spacing w:before="349" w:line="180" w:lineRule="auto"/>
        <w:ind w:firstLine="1813"/>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吉首大学学生考试违规处理暂行办法</w:t>
      </w:r>
    </w:p>
    <w:p>
      <w:pPr>
        <w:spacing w:line="295" w:lineRule="auto"/>
        <w:rPr>
          <w:rFonts w:ascii="Malgun Gothic"/>
          <w:sz w:val="21"/>
        </w:rPr>
      </w:pPr>
    </w:p>
    <w:p>
      <w:pPr>
        <w:spacing w:before="104" w:line="180"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left="5" w:right="1"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2"/>
          <w:sz w:val="24"/>
          <w:szCs w:val="24"/>
        </w:rPr>
        <w:t>为进一步加强和规范教学管理，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严格考试纪律，</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2"/>
          <w:sz w:val="24"/>
          <w:szCs w:val="24"/>
        </w:rPr>
        <w:t>促进学风、考风建设，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根据《国家教育考试违规处理办法》《普通高等学校学生管理规定》和《高等学校学</w:t>
      </w:r>
      <w:r>
        <w:rPr>
          <w:rFonts w:ascii="方正书宋简体" w:hAnsi="方正书宋简体" w:eastAsia="方正书宋简体" w:cs="方正书宋简体"/>
          <w:spacing w:val="9"/>
          <w:w w:val="102"/>
          <w:sz w:val="24"/>
          <w:szCs w:val="24"/>
        </w:rPr>
        <w:t xml:space="preserve">  </w:t>
      </w:r>
      <w:r>
        <w:rPr>
          <w:rFonts w:ascii="方正书宋简体" w:hAnsi="方正书宋简体" w:eastAsia="方正书宋简体" w:cs="方正书宋简体"/>
          <w:spacing w:val="-1"/>
          <w:sz w:val="24"/>
          <w:szCs w:val="24"/>
        </w:rPr>
        <w:t>生行为准则》以及国家其他有关法律、法规，结合我校实际情况，特制定本办法。</w:t>
      </w:r>
    </w:p>
    <w:p>
      <w:pPr>
        <w:spacing w:before="204" w:line="260" w:lineRule="auto"/>
        <w:ind w:left="2455" w:right="918" w:hanging="196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本办法适用于在我校接受普通高等学历教育本科、专科学生。</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考试违规行为的认定及处理</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在学校及上级部门组织的各项考试中，学生有下列行为之一的，认定</w:t>
      </w:r>
    </w:p>
    <w:p>
      <w:pPr>
        <w:spacing w:before="114" w:line="180" w:lineRule="auto"/>
        <w:ind w:firstLine="10"/>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为考试违纪：</w:t>
      </w:r>
    </w:p>
    <w:p>
      <w:pPr>
        <w:spacing w:before="185" w:line="193"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1、不服从监考人员的安排和要求，未在规定的座位参加考试的；</w:t>
      </w:r>
    </w:p>
    <w:p>
      <w:pPr>
        <w:spacing w:before="178"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2、携带规定以外的物品（纸条、书籍、笔记、作业本、通讯设备等）</w:t>
      </w:r>
      <w:r>
        <w:rPr>
          <w:rFonts w:ascii="方正书宋简体" w:hAnsi="方正书宋简体" w:eastAsia="方正书宋简体" w:cs="方正书宋简体"/>
          <w:spacing w:val="65"/>
          <w:w w:val="101"/>
          <w:sz w:val="24"/>
          <w:szCs w:val="24"/>
        </w:rPr>
        <w:t xml:space="preserve"> </w:t>
      </w:r>
      <w:r>
        <w:rPr>
          <w:rFonts w:ascii="方正书宋简体" w:hAnsi="方正书宋简体" w:eastAsia="方正书宋简体" w:cs="方正书宋简体"/>
          <w:spacing w:val="-9"/>
          <w:sz w:val="24"/>
          <w:szCs w:val="24"/>
        </w:rPr>
        <w:t>进入考场，</w:t>
      </w:r>
    </w:p>
    <w:p>
      <w:pPr>
        <w:spacing w:before="187" w:line="311" w:lineRule="auto"/>
        <w:ind w:left="481" w:hanging="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未按要求放在指定位置的；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3、考试开始信号发出前答题或者考试结束信号发出后继续答题，</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8"/>
          <w:sz w:val="24"/>
          <w:szCs w:val="24"/>
        </w:rPr>
        <w:t>且不听劝告的；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4、考试过程中旁窥、交头接耳，互打暗号或手势的；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5、未经考试工作人员同意擅自离开考场的；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6、擅自将试卷、答卷（含答题卡、答题纸等，下同）、草稿纸等带出考场的；</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7、用规定以外的笔或者答题纸或者在试卷规定以外的地方书写姓名、考号或者</w:t>
      </w:r>
    </w:p>
    <w:p>
      <w:pPr>
        <w:spacing w:before="40" w:line="193" w:lineRule="auto"/>
        <w:ind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以其他方式在答卷上标记信息的；</w:t>
      </w:r>
    </w:p>
    <w:p>
      <w:pPr>
        <w:spacing w:before="178" w:line="253" w:lineRule="auto"/>
        <w:ind w:left="5" w:right="8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8、在考场或者教育考试机构禁止的范围内，</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6"/>
          <w:sz w:val="24"/>
          <w:szCs w:val="24"/>
        </w:rPr>
        <w:t>喧哗、吸烟或者实施其他影响考试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秩序的行为；</w:t>
      </w:r>
    </w:p>
    <w:p>
      <w:pPr>
        <w:spacing w:before="174" w:line="193"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9、他人强拿自己的试卷未加拒绝或未及时向监考教师报告的；</w:t>
      </w:r>
    </w:p>
    <w:p>
      <w:pPr>
        <w:spacing w:before="180"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10、其它违反考场纪律但尚未构成作弊行为的。</w:t>
      </w:r>
    </w:p>
    <w:p>
      <w:pPr>
        <w:spacing w:before="181" w:line="281" w:lineRule="auto"/>
        <w:ind w:left="10" w:right="93"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在学校及上级部门组织的各项考试中，学生有下列行为之一的，认定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为考试作弊：</w:t>
      </w:r>
    </w:p>
    <w:p>
      <w:pPr>
        <w:spacing w:before="21" w:line="315" w:lineRule="auto"/>
        <w:ind w:right="81"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1、利用携带与考试内容相关的文字材料或者存储有与考试内容相关资料的电子</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设备作弊的；</w:t>
      </w:r>
    </w:p>
    <w:p>
      <w:pPr>
        <w:spacing w:line="204"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2、在考试过程中利用通讯设备发送、传递、接收考试信息的；</w:t>
      </w:r>
    </w:p>
    <w:p>
      <w:pPr>
        <w:spacing w:before="159" w:line="193"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3、抢夺、窃取他人试卷、答卷或者强迫他人为自己抄袭提供方便的；</w:t>
      </w:r>
    </w:p>
    <w:p>
      <w:pPr>
        <w:spacing w:before="175"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4、抄袭或协助他人抄袭试题答案或者与考试内容相关的资料的；</w:t>
      </w:r>
    </w:p>
    <w:p>
      <w:pPr>
        <w:spacing w:before="295" w:line="180" w:lineRule="auto"/>
        <w:ind w:firstLine="425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154</w:t>
      </w:r>
    </w:p>
    <w:p>
      <w:pPr>
        <w:sectPr>
          <w:footerReference r:id="rId158" w:type="default"/>
          <w:pgSz w:w="11905" w:h="16840"/>
          <w:pgMar w:top="1431" w:right="1506" w:bottom="400" w:left="1588" w:header="0" w:footer="0" w:gutter="0"/>
          <w:cols w:space="720" w:num="1"/>
        </w:sectPr>
      </w:pPr>
    </w:p>
    <w:p>
      <w:pPr>
        <w:spacing w:before="423"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5、未经考试工作人员允许传接物品或者交换试卷、答卷、草稿纸的；</w:t>
      </w:r>
    </w:p>
    <w:p>
      <w:pPr>
        <w:spacing w:before="174" w:line="193"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6、在答卷上填写与本人身份不符的姓名、考号等信息的；</w:t>
      </w:r>
    </w:p>
    <w:p>
      <w:pPr>
        <w:spacing w:before="174"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7、销毁试卷、答卷或者考试材料的；</w:t>
      </w:r>
    </w:p>
    <w:p>
      <w:pPr>
        <w:spacing w:before="174"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8、交卷后未按要求离开考场，并向考场内未交卷学生提供答题信息的；</w:t>
      </w:r>
    </w:p>
    <w:p>
      <w:pPr>
        <w:spacing w:before="174"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9、通过伪造证件、证明、档案及其他材料获得考试资格和考试成绩的；</w:t>
      </w:r>
    </w:p>
    <w:p>
      <w:pPr>
        <w:spacing w:before="179" w:line="180"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10、其他应认定为作弊行为的。</w:t>
      </w:r>
    </w:p>
    <w:p>
      <w:pPr>
        <w:spacing w:before="182" w:line="281" w:lineRule="auto"/>
        <w:ind w:left="9" w:right="51"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在学校及上级部门组织的各项考试中，学生有下列行为之一的，认定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为考试严重作弊：</w:t>
      </w:r>
    </w:p>
    <w:p>
      <w:pPr>
        <w:spacing w:before="20" w:line="193"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1、违规行为被查实而威胁、侮辱、诽谤、诬陷考试工作人员或其他学生的；</w:t>
      </w:r>
    </w:p>
    <w:p>
      <w:pPr>
        <w:spacing w:before="175"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2、替他人考试或者由他人代替考试的；</w:t>
      </w:r>
    </w:p>
    <w:p>
      <w:pPr>
        <w:spacing w:before="174" w:line="193"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3、考前窃取试卷及试题答案的；</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4、集体作弊的组织者；</w:t>
      </w:r>
    </w:p>
    <w:p>
      <w:pPr>
        <w:spacing w:before="179"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5、其他考试严重作弊行为。</w:t>
      </w:r>
    </w:p>
    <w:p>
      <w:pPr>
        <w:spacing w:before="181" w:line="30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第六条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4"/>
          <w:sz w:val="24"/>
          <w:szCs w:val="24"/>
        </w:rPr>
        <w:t>学生在校期间有第三条所列考试违纪行为之一的，</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4"/>
          <w:sz w:val="24"/>
          <w:szCs w:val="24"/>
        </w:rPr>
        <w:t>凡第一次考试违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纪者，</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7"/>
          <w:sz w:val="24"/>
          <w:szCs w:val="24"/>
        </w:rPr>
        <w:t>给予严重警告处分，该课程考试成绩记为“零”分，准予正常补考；凡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第二次考试违纪者，给予记过处分，该课程考试成绩记为“零”分，不予补考；</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0"/>
          <w:sz w:val="24"/>
          <w:szCs w:val="24"/>
        </w:rPr>
        <w:t>凡第三次考试违纪者，给予留校察看一年处分，该课程考试成绩记为“零”分，</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3"/>
          <w:sz w:val="24"/>
          <w:szCs w:val="24"/>
        </w:rPr>
        <w:t>不予补考。</w:t>
      </w:r>
    </w:p>
    <w:p>
      <w:pPr>
        <w:spacing w:before="15" w:line="296" w:lineRule="auto"/>
        <w:ind w:left="1" w:right="3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第七条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学生在校期间有第四条所列考试作弊行为的，凡第一次考试作弊者，</w:t>
      </w:r>
      <w:r>
        <w:rPr>
          <w:rFonts w:ascii="方正书宋简体" w:hAnsi="方正书宋简体" w:eastAsia="方正书宋简体" w:cs="方正书宋简体"/>
          <w:spacing w:val="1"/>
          <w:sz w:val="24"/>
          <w:szCs w:val="24"/>
        </w:rPr>
        <w:t xml:space="preserve">  给予记过处分，该课程考试成绩记为“零”分，不予补考；凡第二次考试作弊者，</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
          <w:sz w:val="24"/>
          <w:szCs w:val="24"/>
        </w:rPr>
        <w:t>给予留校察看一年处分，该课程考试成绩记为</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
          <w:sz w:val="24"/>
          <w:szCs w:val="24"/>
        </w:rPr>
        <w:t>“零”分，不予补考；凡第三次考试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作弊者给予开除学籍处分。</w:t>
      </w:r>
    </w:p>
    <w:p>
      <w:pPr>
        <w:spacing w:before="24" w:line="290" w:lineRule="auto"/>
        <w:ind w:right="37"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学生在校期间有第五条所列考试严重作弊行为的，凡第一次考试严重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作弊者给予留校察看一年处分，该课程考试成绩记为无效，不予补考；凡第二次考</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3"/>
          <w:sz w:val="24"/>
          <w:szCs w:val="24"/>
        </w:rPr>
        <w:t>试作弊者给予开除学籍处分。</w:t>
      </w:r>
    </w:p>
    <w:p>
      <w:pPr>
        <w:spacing w:before="20" w:line="282" w:lineRule="auto"/>
        <w:ind w:left="4" w:right="4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因考试违规受记过及以上处分者，再次考试违规的，在上一次处分基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础上加重一级处分。</w:t>
      </w:r>
    </w:p>
    <w:p>
      <w:pPr>
        <w:spacing w:before="12" w:line="281" w:lineRule="auto"/>
        <w:ind w:left="4" w:right="4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毕业生在毕业学期考试违规受留校察看处分者，该课程不能参加毕业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补考，离校后一年内返校参加相应课程考试。</w:t>
      </w:r>
    </w:p>
    <w:p>
      <w:pPr>
        <w:spacing w:before="12"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凡考试违规受记过以上处分的学生，不授予学士学位。</w:t>
      </w:r>
    </w:p>
    <w:p>
      <w:pPr>
        <w:sectPr>
          <w:footerReference r:id="rId159" w:type="default"/>
          <w:pgSz w:w="11905" w:h="16840"/>
          <w:pgMar w:top="1431" w:right="1548" w:bottom="1365" w:left="1589" w:header="0" w:footer="1241" w:gutter="0"/>
          <w:cols w:space="720" w:num="1"/>
        </w:sectPr>
      </w:pPr>
    </w:p>
    <w:p>
      <w:pPr>
        <w:spacing w:before="414" w:line="450" w:lineRule="exact"/>
        <w:ind w:firstLine="233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第三章</w:t>
      </w:r>
      <w:r>
        <w:rPr>
          <w:rFonts w:ascii="Microsoft JhengHei" w:hAnsi="Microsoft JhengHei" w:eastAsia="Microsoft JhengHei" w:cs="Microsoft JhengHei"/>
          <w:spacing w:val="5"/>
          <w:position w:val="12"/>
          <w:sz w:val="24"/>
          <w:szCs w:val="24"/>
        </w:rPr>
        <w:t xml:space="preserve">    </w:t>
      </w:r>
      <w:r>
        <w:rPr>
          <w:rFonts w:ascii="Microsoft JhengHei" w:hAnsi="Microsoft JhengHei" w:eastAsia="Microsoft JhengHei" w:cs="Microsoft JhengHei"/>
          <w:spacing w:val="-2"/>
          <w:position w:val="12"/>
          <w:sz w:val="24"/>
          <w:szCs w:val="24"/>
        </w:rPr>
        <w:t>考试违规行为认定及处理程序</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考试违规认定程序</w:t>
      </w:r>
    </w:p>
    <w:p>
      <w:pPr>
        <w:spacing w:before="112" w:line="273" w:lineRule="auto"/>
        <w:ind w:right="78"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1、考试工作人员在考试过程中发现考生考试违规行为的，</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须及时处理，</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做好相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关工作：</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9"/>
          <w:sz w:val="24"/>
          <w:szCs w:val="24"/>
        </w:rPr>
        <w:t>终止考生考试、如实记录、提取考生试卷（含答卷）、考生用于违规的材料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及工具、</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考生证件等考试违规相关证明材料，其中考生证件应予暂扣。</w:t>
      </w:r>
    </w:p>
    <w:p>
      <w:pPr>
        <w:spacing w:before="180" w:line="264"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2、考试工作人员应认真填写《吉首大学学生考试违纪作弊情况登记表》并签名，</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且要求违规考生在表格上签字，拒绝签字或因特殊原因不能签字的，应当由两名以</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上（含两名）考试工作人员写明情况并签字确认。</w:t>
      </w:r>
    </w:p>
    <w:p>
      <w:pPr>
        <w:spacing w:before="215" w:line="312" w:lineRule="auto"/>
        <w:ind w:right="77"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3、考试结束后考试工作人员须及时将考生考试违规事实认定及相关证明材料交</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教务处考试中心，由教务处组织对考生违规事实和相关证据进行复核。违规考生对</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所认定事实存在异议的，可听取其陈述和申辩。</w:t>
      </w:r>
    </w:p>
    <w:p>
      <w:pPr>
        <w:spacing w:before="17" w:line="239" w:lineRule="auto"/>
        <w:ind w:left="2" w:right="7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4、考试结束后由他人揭发的学生考试违规行为，经认定后按照以上第</w:t>
      </w:r>
      <w:r>
        <w:rPr>
          <w:rFonts w:ascii="方正书宋简体" w:hAnsi="方正书宋简体" w:eastAsia="方正书宋简体" w:cs="方正书宋简体"/>
          <w:spacing w:val="71"/>
          <w:sz w:val="24"/>
          <w:szCs w:val="24"/>
        </w:rPr>
        <w:t xml:space="preserve"> </w:t>
      </w:r>
      <w:r>
        <w:rPr>
          <w:rFonts w:ascii="方正书宋简体" w:hAnsi="方正书宋简体" w:eastAsia="方正书宋简体" w:cs="方正书宋简体"/>
          <w:spacing w:val="-1"/>
          <w:sz w:val="24"/>
          <w:szCs w:val="24"/>
        </w:rPr>
        <w:t>2、3</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
          <w:sz w:val="24"/>
          <w:szCs w:val="24"/>
        </w:rPr>
        <w:t>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程序操作。</w:t>
      </w:r>
    </w:p>
    <w:p>
      <w:pPr>
        <w:spacing w:before="205"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考试违规处理程序</w:t>
      </w:r>
    </w:p>
    <w:p>
      <w:pPr>
        <w:spacing w:before="147"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1、教务处依据考生考试违规的事实，当天向学生所在学院通报考生违规情况；</w:t>
      </w:r>
    </w:p>
    <w:p>
      <w:pPr>
        <w:spacing w:before="176" w:line="315" w:lineRule="auto"/>
        <w:ind w:left="2" w:right="7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2、经核实考试违规学生无异议后，</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一周内由教务处将有关材料上报学校进行纪</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律处分并行文公布；</w:t>
      </w:r>
    </w:p>
    <w:p>
      <w:pPr>
        <w:spacing w:before="5" w:line="239" w:lineRule="auto"/>
        <w:ind w:left="3" w:right="7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3、处分文件通过学校</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
          <w:sz w:val="24"/>
          <w:szCs w:val="24"/>
        </w:rPr>
        <w:t>OA</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
          <w:sz w:val="24"/>
          <w:szCs w:val="24"/>
        </w:rPr>
        <w:t>办公系统下发，主管学生工作副书记及时告知被处分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学生本人，并做好违规学生思想工作。</w:t>
      </w:r>
    </w:p>
    <w:p>
      <w:pPr>
        <w:spacing w:before="204" w:line="281" w:lineRule="auto"/>
        <w:ind w:left="4" w:right="79"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受处分学生对学校作出的处分决定有异议，可向学校学生申诉处理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委员会提出申诉，具体参照《吉首大学学生申诉管理规定》执行。</w:t>
      </w:r>
    </w:p>
    <w:p>
      <w:pPr>
        <w:spacing w:before="13" w:line="195"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第四章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14" w:line="260" w:lineRule="auto"/>
        <w:ind w:left="489" w:right="163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本办法经校务会审议通过，并报湖南省教育厅备案。</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3"/>
          <w:sz w:val="24"/>
          <w:szCs w:val="24"/>
        </w:rPr>
        <w:t>第十六条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本办法由教务处负责解释。</w:t>
      </w:r>
    </w:p>
    <w:p>
      <w:pPr>
        <w:sectPr>
          <w:footerReference r:id="rId160" w:type="default"/>
          <w:pgSz w:w="11905" w:h="16840"/>
          <w:pgMar w:top="1431" w:right="1508" w:bottom="1365" w:left="1590" w:header="0" w:footer="1241" w:gutter="0"/>
          <w:cols w:space="720" w:num="1"/>
        </w:sectPr>
      </w:pPr>
    </w:p>
    <w:p>
      <w:pPr>
        <w:spacing w:before="349" w:line="180" w:lineRule="auto"/>
        <w:ind w:firstLine="165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吉首大学本专科生教学工作量核算办法</w:t>
      </w:r>
    </w:p>
    <w:p>
      <w:pPr>
        <w:spacing w:line="317" w:lineRule="auto"/>
        <w:rPr>
          <w:rFonts w:ascii="Malgun Gothic"/>
          <w:sz w:val="21"/>
        </w:rPr>
      </w:pPr>
    </w:p>
    <w:p>
      <w:pPr>
        <w:spacing w:before="86" w:line="277" w:lineRule="auto"/>
        <w:ind w:left="1" w:right="128"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为加强和规范教学管理，强化学院（部）和教师承担教学工作的责任，鼓励和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引导教师积极投入教学工作，深入开展教学研究和教学改革，不断提高学校教学质</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量和办学效益，根据教育部和省厅有关文件精神，按照《吉首大学绩效工资改革实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施方案》的总体要求，特制定本办法。</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一、教学工作量核算的基本规定</w:t>
      </w:r>
    </w:p>
    <w:p>
      <w:pPr>
        <w:spacing w:before="153" w:line="290" w:lineRule="auto"/>
        <w:ind w:left="2" w:right="128"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1、本办法的教学工作量是指教师承担普通全日制本专科生各项教学任务总量，</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包括“课程教学工作量”、</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8"/>
          <w:sz w:val="24"/>
          <w:szCs w:val="24"/>
        </w:rPr>
        <w:t>“教学建设工作量”以及其他与教师职责有关的工作量三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部分。课程教学工作量是各《专业培养方案》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中理论教学、实验及实践教学环节教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学工作任务量；教学建设工作量是教师承担教学建设工作任务，包括课程建设、教</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材建设、实践教学基地建设、实验教学示范中心建设、实验室建设等教学工作量。</w:t>
      </w:r>
    </w:p>
    <w:p>
      <w:pPr>
        <w:spacing w:before="177" w:line="265" w:lineRule="auto"/>
        <w:ind w:left="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rPr>
        <w:t>2、教学工作量是学校对学院（部）</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1"/>
          <w:w w:val="99"/>
          <w:sz w:val="24"/>
          <w:szCs w:val="24"/>
        </w:rPr>
        <w:t>教学工作量化核算，</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9"/>
          <w:sz w:val="24"/>
          <w:szCs w:val="24"/>
        </w:rPr>
        <w:t>按年度统计，</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9"/>
          <w:sz w:val="24"/>
          <w:szCs w:val="24"/>
        </w:rPr>
        <w:t>作为学校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对学院进行年度教学工作总量考核、绩效津贴和编制核定的主要依据，</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5"/>
          <w:sz w:val="24"/>
          <w:szCs w:val="24"/>
        </w:rPr>
        <w:t>各学院（部）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应根据实际情况，制定具体办法对教师个人教学工作量进行二次核算。</w:t>
      </w:r>
    </w:p>
    <w:p>
      <w:pPr>
        <w:spacing w:before="215" w:line="311" w:lineRule="auto"/>
        <w:ind w:right="127"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3、教学工作量以标准学时为计算单位。1</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7"/>
          <w:sz w:val="24"/>
          <w:szCs w:val="24"/>
        </w:rPr>
        <w:t>个标准学时是指给一个标准教学班讲授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w w:val="99"/>
          <w:sz w:val="24"/>
          <w:szCs w:val="24"/>
        </w:rPr>
        <w:t>45</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12"/>
          <w:w w:val="99"/>
          <w:sz w:val="24"/>
          <w:szCs w:val="24"/>
        </w:rPr>
        <w:t>分钟，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2"/>
          <w:w w:val="99"/>
          <w:sz w:val="24"/>
          <w:szCs w:val="24"/>
        </w:rPr>
        <w:t>并完成规定的各教学环节（含应承担的各相关任务）</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2"/>
          <w:w w:val="99"/>
          <w:sz w:val="24"/>
          <w:szCs w:val="24"/>
        </w:rPr>
        <w:t>的工作量。不同类型的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课程（或环节）、不同规模的编班人数，按规定的计算办法折算为标准学时工作量。</w:t>
      </w:r>
    </w:p>
    <w:p>
      <w:pPr>
        <w:spacing w:before="20" w:line="315" w:lineRule="auto"/>
        <w:ind w:left="23" w:right="37" w:firstLine="45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4、本专科教学工作量的核算以人才培养方案为依据，</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按每学期教务处审核批准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的教学执行计划进行审核。预科学院的教学工作量由学院提出方案后报教务处审核。</w:t>
      </w:r>
    </w:p>
    <w:p>
      <w:pPr>
        <w:spacing w:before="2" w:line="313" w:lineRule="auto"/>
        <w:ind w:left="5" w:right="3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5、根据教育部对高等院校师生比的要求，</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政治理论课、公共基础课（大学英语、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大学体育除外）课堂讲授应采取合班上课，合班情况由相应院（部）安排，教务处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根据学校实际按有关规定确定合班规模。</w:t>
      </w:r>
    </w:p>
    <w:p>
      <w:pPr>
        <w:spacing w:before="7" w:line="265" w:lineRule="auto"/>
        <w:ind w:left="6" w:right="124"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6、教师承担独立学院课程教学任务、全校通识选修课、辅修专业、课程重修、</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预科学院和成人教育等教学任务，由学院计入教师本人工作量，但不作为所在单位</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核定人员编制和教学绩效津贴的依据，酬金从学校相关专项经费中支出。</w:t>
      </w:r>
    </w:p>
    <w:p>
      <w:pPr>
        <w:spacing w:before="204"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二、教学工作量核算办法</w:t>
      </w:r>
    </w:p>
    <w:p>
      <w:pPr>
        <w:spacing w:before="153"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（一）课程教学工作量</w:t>
      </w:r>
    </w:p>
    <w:p>
      <w:pPr>
        <w:spacing w:before="197"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1、理论教学</w:t>
      </w:r>
    </w:p>
    <w:p>
      <w:pPr>
        <w:spacing w:before="186"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任务含量：备课、讲授、辅导答疑、批改作业</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2"/>
          <w:sz w:val="24"/>
          <w:szCs w:val="24"/>
        </w:rPr>
        <w:t>（按教学大纲布置作业，一般要</w:t>
      </w:r>
    </w:p>
    <w:p>
      <w:pPr>
        <w:sectPr>
          <w:footerReference r:id="rId161" w:type="default"/>
          <w:pgSz w:w="11905" w:h="16840"/>
          <w:pgMar w:top="1431" w:right="1457" w:bottom="1365" w:left="1588" w:header="0" w:footer="1241" w:gutter="0"/>
          <w:cols w:space="720" w:num="1"/>
        </w:sectPr>
      </w:pPr>
    </w:p>
    <w:p>
      <w:pPr>
        <w:spacing w:before="426" w:line="239" w:lineRule="auto"/>
        <w:ind w:left="13" w:right="8"/>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求全批全改，</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3"/>
          <w:sz w:val="24"/>
          <w:szCs w:val="24"/>
        </w:rPr>
        <w:t>某些课程只能部分批改时，</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批改量不得少于总量的三分之一）、考试命</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题（A、B</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8"/>
          <w:sz w:val="24"/>
          <w:szCs w:val="24"/>
        </w:rPr>
        <w:t>卷）、阅卷评阅、成绩登录等工作。</w:t>
      </w:r>
    </w:p>
    <w:p>
      <w:pPr>
        <w:spacing w:before="214" w:line="193" w:lineRule="auto"/>
        <w:ind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计算公式：标准学时数=</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
          <w:sz w:val="24"/>
          <w:szCs w:val="24"/>
        </w:rPr>
        <w:t>C×（K</w:t>
      </w:r>
      <w:r>
        <w:rPr>
          <w:rFonts w:ascii="方正书宋简体" w:hAnsi="方正书宋简体" w:eastAsia="方正书宋简体" w:cs="方正书宋简体"/>
          <w:spacing w:val="-1"/>
          <w:position w:val="-1"/>
          <w:sz w:val="12"/>
          <w:szCs w:val="12"/>
        </w:rPr>
        <w:t>1</w:t>
      </w:r>
      <w:r>
        <w:rPr>
          <w:rFonts w:ascii="方正书宋简体" w:hAnsi="方正书宋简体" w:eastAsia="方正书宋简体" w:cs="方正书宋简体"/>
          <w:spacing w:val="-1"/>
          <w:sz w:val="24"/>
          <w:szCs w:val="24"/>
        </w:rPr>
        <w:t>+K</w:t>
      </w:r>
      <w:r>
        <w:rPr>
          <w:rFonts w:ascii="方正书宋简体" w:hAnsi="方正书宋简体" w:eastAsia="方正书宋简体" w:cs="方正书宋简体"/>
          <w:spacing w:val="-1"/>
          <w:position w:val="-1"/>
          <w:sz w:val="12"/>
          <w:szCs w:val="12"/>
        </w:rPr>
        <w:t>2</w:t>
      </w:r>
      <w:r>
        <w:rPr>
          <w:rFonts w:ascii="方正书宋简体" w:hAnsi="方正书宋简体" w:eastAsia="方正书宋简体" w:cs="方正书宋简体"/>
          <w:spacing w:val="-1"/>
          <w:sz w:val="24"/>
          <w:szCs w:val="24"/>
        </w:rPr>
        <w:t>+K</w:t>
      </w:r>
      <w:r>
        <w:rPr>
          <w:rFonts w:ascii="方正书宋简体" w:hAnsi="方正书宋简体" w:eastAsia="方正书宋简体" w:cs="方正书宋简体"/>
          <w:spacing w:val="-1"/>
          <w:position w:val="-1"/>
          <w:sz w:val="12"/>
          <w:szCs w:val="12"/>
        </w:rPr>
        <w:t>3</w:t>
      </w:r>
      <w:r>
        <w:rPr>
          <w:rFonts w:ascii="方正书宋简体" w:hAnsi="方正书宋简体" w:eastAsia="方正书宋简体" w:cs="方正书宋简体"/>
          <w:spacing w:val="-20"/>
          <w:position w:val="-1"/>
          <w:sz w:val="12"/>
          <w:szCs w:val="12"/>
        </w:rPr>
        <w:t xml:space="preserve"> </w:t>
      </w:r>
      <w:r>
        <w:rPr>
          <w:rFonts w:ascii="方正书宋简体" w:hAnsi="方正书宋简体" w:eastAsia="方正书宋简体" w:cs="方正书宋简体"/>
          <w:spacing w:val="-1"/>
          <w:sz w:val="24"/>
          <w:szCs w:val="24"/>
        </w:rPr>
        <w:t>）</w:t>
      </w:r>
    </w:p>
    <w:p>
      <w:pPr>
        <w:spacing w:before="177"/>
        <w:ind w:left="14" w:right="8"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C</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7"/>
          <w:sz w:val="24"/>
          <w:szCs w:val="24"/>
        </w:rPr>
        <w:t>表示计划学时数，</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7"/>
          <w:sz w:val="24"/>
          <w:szCs w:val="24"/>
        </w:rPr>
        <w:t>应以教学任务书中落实的讲授学时数为准。没有完成教学计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划的，按实际完成数填写，未经批准，不得随意增加或减少学时。</w:t>
      </w:r>
    </w:p>
    <w:p>
      <w:pPr>
        <w:spacing w:before="214" w:line="180"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w w:val="96"/>
          <w:sz w:val="24"/>
          <w:szCs w:val="24"/>
        </w:rPr>
        <w:t>K</w:t>
      </w:r>
      <w:r>
        <w:rPr>
          <w:rFonts w:ascii="方正书宋简体" w:hAnsi="方正书宋简体" w:eastAsia="方正书宋简体" w:cs="方正书宋简体"/>
          <w:spacing w:val="-5"/>
          <w:w w:val="96"/>
          <w:position w:val="-1"/>
          <w:sz w:val="12"/>
          <w:szCs w:val="12"/>
        </w:rPr>
        <w:t>1、</w:t>
      </w:r>
      <w:r>
        <w:rPr>
          <w:rFonts w:ascii="方正书宋简体" w:hAnsi="方正书宋简体" w:eastAsia="方正书宋简体" w:cs="方正书宋简体"/>
          <w:spacing w:val="25"/>
          <w:position w:val="-1"/>
          <w:sz w:val="12"/>
          <w:szCs w:val="12"/>
        </w:rPr>
        <w:t xml:space="preserve">  </w:t>
      </w:r>
      <w:r>
        <w:rPr>
          <w:rFonts w:ascii="方正书宋简体" w:hAnsi="方正书宋简体" w:eastAsia="方正书宋简体" w:cs="方正书宋简体"/>
          <w:spacing w:val="-5"/>
          <w:w w:val="96"/>
          <w:sz w:val="24"/>
          <w:szCs w:val="24"/>
        </w:rPr>
        <w:t>K</w:t>
      </w:r>
      <w:r>
        <w:rPr>
          <w:rFonts w:ascii="方正书宋简体" w:hAnsi="方正书宋简体" w:eastAsia="方正书宋简体" w:cs="方正书宋简体"/>
          <w:spacing w:val="-5"/>
          <w:w w:val="96"/>
          <w:position w:val="-1"/>
          <w:sz w:val="12"/>
          <w:szCs w:val="12"/>
        </w:rPr>
        <w:t>2、</w:t>
      </w:r>
      <w:r>
        <w:rPr>
          <w:rFonts w:ascii="方正书宋简体" w:hAnsi="方正书宋简体" w:eastAsia="方正书宋简体" w:cs="方正书宋简体"/>
          <w:spacing w:val="9"/>
          <w:position w:val="-1"/>
          <w:sz w:val="12"/>
          <w:szCs w:val="12"/>
        </w:rPr>
        <w:t xml:space="preserve">  </w:t>
      </w:r>
      <w:r>
        <w:rPr>
          <w:rFonts w:ascii="方正书宋简体" w:hAnsi="方正书宋简体" w:eastAsia="方正书宋简体" w:cs="方正书宋简体"/>
          <w:spacing w:val="-5"/>
          <w:w w:val="96"/>
          <w:sz w:val="24"/>
          <w:szCs w:val="24"/>
        </w:rPr>
        <w:t>K</w:t>
      </w:r>
      <w:r>
        <w:rPr>
          <w:rFonts w:ascii="方正书宋简体" w:hAnsi="方正书宋简体" w:eastAsia="方正书宋简体" w:cs="方正书宋简体"/>
          <w:spacing w:val="-5"/>
          <w:w w:val="96"/>
          <w:position w:val="-1"/>
          <w:sz w:val="12"/>
          <w:szCs w:val="12"/>
        </w:rPr>
        <w:t>3、</w:t>
      </w:r>
      <w:r>
        <w:rPr>
          <w:rFonts w:ascii="方正书宋简体" w:hAnsi="方正书宋简体" w:eastAsia="方正书宋简体" w:cs="方正书宋简体"/>
          <w:spacing w:val="8"/>
          <w:w w:val="102"/>
          <w:position w:val="-1"/>
          <w:sz w:val="12"/>
          <w:szCs w:val="12"/>
        </w:rPr>
        <w:t xml:space="preserve">  </w:t>
      </w:r>
      <w:r>
        <w:rPr>
          <w:rFonts w:ascii="方正书宋简体" w:hAnsi="方正书宋简体" w:eastAsia="方正书宋简体" w:cs="方正书宋简体"/>
          <w:spacing w:val="-5"/>
          <w:w w:val="96"/>
          <w:sz w:val="24"/>
          <w:szCs w:val="24"/>
        </w:rPr>
        <w:t>K</w:t>
      </w:r>
      <w:r>
        <w:rPr>
          <w:rFonts w:ascii="方正书宋简体" w:hAnsi="方正书宋简体" w:eastAsia="方正书宋简体" w:cs="方正书宋简体"/>
          <w:spacing w:val="-5"/>
          <w:w w:val="96"/>
          <w:position w:val="-1"/>
          <w:sz w:val="12"/>
          <w:szCs w:val="12"/>
        </w:rPr>
        <w:t>4</w:t>
      </w:r>
      <w:r>
        <w:rPr>
          <w:rFonts w:ascii="方正书宋简体" w:hAnsi="方正书宋简体" w:eastAsia="方正书宋简体" w:cs="方正书宋简体"/>
          <w:spacing w:val="12"/>
          <w:w w:val="102"/>
          <w:position w:val="-1"/>
          <w:sz w:val="12"/>
          <w:szCs w:val="12"/>
        </w:rPr>
        <w:t xml:space="preserve"> </w:t>
      </w:r>
      <w:r>
        <w:rPr>
          <w:rFonts w:ascii="方正书宋简体" w:hAnsi="方正书宋简体" w:eastAsia="方正书宋简体" w:cs="方正书宋简体"/>
          <w:spacing w:val="-5"/>
          <w:w w:val="96"/>
          <w:sz w:val="24"/>
          <w:szCs w:val="24"/>
        </w:rPr>
        <w:t>为修正系数，具体赋值见下表。</w:t>
      </w:r>
    </w:p>
    <w:p>
      <w:pPr>
        <w:spacing w:line="117"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7"/>
        <w:gridCol w:w="1187"/>
        <w:gridCol w:w="1440"/>
        <w:gridCol w:w="1887"/>
        <w:gridCol w:w="3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37" w:type="dxa"/>
            <w:tcBorders>
              <w:top w:val="single" w:color="000000" w:sz="6" w:space="0"/>
              <w:left w:val="single" w:color="000000" w:sz="6" w:space="0"/>
            </w:tcBorders>
            <w:vAlign w:val="top"/>
          </w:tcPr>
          <w:p>
            <w:pPr>
              <w:spacing w:before="51" w:line="180" w:lineRule="auto"/>
              <w:ind w:firstLine="170"/>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系数</w:t>
            </w:r>
          </w:p>
        </w:tc>
        <w:tc>
          <w:tcPr>
            <w:tcW w:w="1187" w:type="dxa"/>
            <w:tcBorders>
              <w:top w:val="single" w:color="000000" w:sz="6" w:space="0"/>
            </w:tcBorders>
            <w:vAlign w:val="top"/>
          </w:tcPr>
          <w:p>
            <w:pPr>
              <w:spacing w:before="51" w:line="180" w:lineRule="auto"/>
              <w:ind w:firstLine="275"/>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代表项</w:t>
            </w:r>
          </w:p>
        </w:tc>
        <w:tc>
          <w:tcPr>
            <w:tcW w:w="1440" w:type="dxa"/>
            <w:tcBorders>
              <w:top w:val="single" w:color="000000" w:sz="6" w:space="0"/>
            </w:tcBorders>
            <w:vAlign w:val="top"/>
          </w:tcPr>
          <w:p>
            <w:pPr>
              <w:spacing w:before="51" w:line="180" w:lineRule="auto"/>
              <w:ind w:firstLine="29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赋值说明</w:t>
            </w:r>
          </w:p>
        </w:tc>
        <w:tc>
          <w:tcPr>
            <w:tcW w:w="1887" w:type="dxa"/>
            <w:tcBorders>
              <w:top w:val="single" w:color="000000" w:sz="6" w:space="0"/>
            </w:tcBorders>
            <w:vAlign w:val="top"/>
          </w:tcPr>
          <w:p>
            <w:pPr>
              <w:spacing w:before="51" w:line="180" w:lineRule="auto"/>
              <w:ind w:firstLine="734"/>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赋值</w:t>
            </w:r>
          </w:p>
        </w:tc>
        <w:tc>
          <w:tcPr>
            <w:tcW w:w="3483" w:type="dxa"/>
            <w:tcBorders>
              <w:top w:val="single" w:color="000000" w:sz="6" w:space="0"/>
              <w:right w:val="single" w:color="000000" w:sz="6" w:space="0"/>
            </w:tcBorders>
            <w:vAlign w:val="top"/>
          </w:tcPr>
          <w:p>
            <w:pPr>
              <w:spacing w:before="51" w:line="180" w:lineRule="auto"/>
              <w:ind w:firstLine="153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37" w:type="dxa"/>
            <w:vMerge w:val="restart"/>
            <w:tcBorders>
              <w:left w:val="single" w:color="000000" w:sz="6" w:space="0"/>
              <w:bottom w:val="nil"/>
            </w:tcBorders>
            <w:vAlign w:val="top"/>
          </w:tcPr>
          <w:p>
            <w:pPr>
              <w:spacing w:line="348" w:lineRule="auto"/>
              <w:rPr>
                <w:rFonts w:ascii="Malgun Gothic"/>
                <w:sz w:val="21"/>
              </w:rPr>
            </w:pPr>
            <w:r>
              <w:pict>
                <v:shape id="_x0000_s1026" o:spid="_x0000_s1026" o:spt="202" type="#_x0000_t202" style="position:absolute;left:0pt;margin-left:12.85pt;margin-top:50.3pt;height:13.7pt;width:8.6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K</w:t>
                        </w:r>
                      </w:p>
                    </w:txbxContent>
                  </v:textbox>
                </v:shape>
              </w:pict>
            </w:r>
          </w:p>
          <w:p>
            <w:pPr>
              <w:spacing w:line="348" w:lineRule="auto"/>
              <w:rPr>
                <w:rFonts w:ascii="Malgun Gothic"/>
                <w:sz w:val="21"/>
              </w:rPr>
            </w:pPr>
          </w:p>
          <w:p>
            <w:pPr>
              <w:spacing w:before="39" w:line="180" w:lineRule="auto"/>
              <w:ind w:firstLine="412"/>
              <w:rPr>
                <w:rFonts w:ascii="方正书宋简体" w:hAnsi="方正书宋简体" w:eastAsia="方正书宋简体" w:cs="方正书宋简体"/>
                <w:sz w:val="11"/>
                <w:szCs w:val="11"/>
              </w:rPr>
            </w:pPr>
            <w:r>
              <w:rPr>
                <w:rFonts w:ascii="方正书宋简体" w:hAnsi="方正书宋简体" w:eastAsia="方正书宋简体" w:cs="方正书宋简体"/>
                <w:sz w:val="11"/>
                <w:szCs w:val="11"/>
              </w:rPr>
              <w:t>1</w:t>
            </w:r>
          </w:p>
        </w:tc>
        <w:tc>
          <w:tcPr>
            <w:tcW w:w="1187" w:type="dxa"/>
            <w:vMerge w:val="restart"/>
            <w:tcBorders>
              <w:bottom w:val="nil"/>
            </w:tcBorders>
            <w:vAlign w:val="top"/>
          </w:tcPr>
          <w:p>
            <w:pPr>
              <w:spacing w:line="248" w:lineRule="auto"/>
              <w:rPr>
                <w:rFonts w:ascii="Malgun Gothic"/>
                <w:sz w:val="21"/>
              </w:rPr>
            </w:pPr>
          </w:p>
          <w:p>
            <w:pPr>
              <w:spacing w:line="249" w:lineRule="auto"/>
              <w:rPr>
                <w:rFonts w:ascii="Malgun Gothic"/>
                <w:sz w:val="21"/>
              </w:rPr>
            </w:pPr>
          </w:p>
          <w:p>
            <w:pPr>
              <w:spacing w:before="75" w:line="251" w:lineRule="auto"/>
              <w:ind w:left="165" w:right="173"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授课学生</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
                <w:sz w:val="21"/>
                <w:szCs w:val="21"/>
              </w:rPr>
              <w:t>人数系数</w:t>
            </w:r>
          </w:p>
        </w:tc>
        <w:tc>
          <w:tcPr>
            <w:tcW w:w="1440" w:type="dxa"/>
            <w:vAlign w:val="top"/>
          </w:tcPr>
          <w:p>
            <w:pPr>
              <w:spacing w:before="85" w:line="180" w:lineRule="auto"/>
              <w:ind w:firstLine="48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L≤N</w:t>
            </w:r>
          </w:p>
        </w:tc>
        <w:tc>
          <w:tcPr>
            <w:tcW w:w="1887" w:type="dxa"/>
            <w:vAlign w:val="top"/>
          </w:tcPr>
          <w:p>
            <w:pPr>
              <w:spacing w:before="83" w:line="180" w:lineRule="auto"/>
              <w:ind w:firstLine="90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3483" w:type="dxa"/>
            <w:vMerge w:val="restart"/>
            <w:tcBorders>
              <w:bottom w:val="nil"/>
              <w:right w:val="single" w:color="000000" w:sz="6" w:space="0"/>
            </w:tcBorders>
            <w:vAlign w:val="top"/>
          </w:tcPr>
          <w:p>
            <w:pPr>
              <w:spacing w:before="53" w:line="238" w:lineRule="auto"/>
              <w:ind w:left="104" w:right="13"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w w:val="97"/>
                <w:sz w:val="21"/>
                <w:szCs w:val="21"/>
              </w:rPr>
              <w:t>L</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1"/>
                <w:w w:val="97"/>
                <w:sz w:val="21"/>
                <w:szCs w:val="21"/>
              </w:rPr>
              <w:t>为学生人数，N</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1"/>
                <w:w w:val="97"/>
                <w:sz w:val="21"/>
                <w:szCs w:val="21"/>
              </w:rPr>
              <w:t>为标准教学班人数。</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w w:val="94"/>
                <w:sz w:val="21"/>
                <w:szCs w:val="21"/>
              </w:rPr>
              <w:t>标准班</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13"/>
                <w:w w:val="94"/>
                <w:sz w:val="21"/>
                <w:szCs w:val="21"/>
              </w:rPr>
              <w:t>N</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3"/>
                <w:w w:val="94"/>
                <w:sz w:val="21"/>
                <w:szCs w:val="21"/>
              </w:rPr>
              <w:t>取值：</w:t>
            </w:r>
            <w:r>
              <w:rPr>
                <w:rFonts w:ascii="方正书宋简体" w:hAnsi="方正书宋简体" w:eastAsia="方正书宋简体" w:cs="方正书宋简体"/>
                <w:spacing w:val="38"/>
                <w:w w:val="101"/>
                <w:sz w:val="21"/>
                <w:szCs w:val="21"/>
              </w:rPr>
              <w:t xml:space="preserve"> </w:t>
            </w:r>
            <w:r>
              <w:rPr>
                <w:rFonts w:ascii="方正书宋简体" w:hAnsi="方正书宋简体" w:eastAsia="方正书宋简体" w:cs="方正书宋简体"/>
                <w:spacing w:val="-13"/>
                <w:w w:val="94"/>
                <w:sz w:val="21"/>
                <w:szCs w:val="21"/>
              </w:rPr>
              <w:t>公共基础课课（含文化</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w w:val="92"/>
                <w:sz w:val="21"/>
                <w:szCs w:val="21"/>
              </w:rPr>
              <w:t>素质选修课）60</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9"/>
                <w:w w:val="92"/>
                <w:sz w:val="21"/>
                <w:szCs w:val="21"/>
              </w:rPr>
              <w:t>人，</w:t>
            </w:r>
            <w:r>
              <w:rPr>
                <w:rFonts w:ascii="方正书宋简体" w:hAnsi="方正书宋简体" w:eastAsia="方正书宋简体" w:cs="方正书宋简体"/>
                <w:spacing w:val="47"/>
                <w:w w:val="101"/>
                <w:sz w:val="21"/>
                <w:szCs w:val="21"/>
              </w:rPr>
              <w:t xml:space="preserve"> </w:t>
            </w:r>
            <w:r>
              <w:rPr>
                <w:rFonts w:ascii="方正书宋简体" w:hAnsi="方正书宋简体" w:eastAsia="方正书宋简体" w:cs="方正书宋简体"/>
                <w:spacing w:val="-9"/>
                <w:w w:val="92"/>
                <w:sz w:val="21"/>
                <w:szCs w:val="21"/>
              </w:rPr>
              <w:t>专业理论课、公共</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英语课</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2"/>
                <w:sz w:val="21"/>
                <w:szCs w:val="21"/>
              </w:rPr>
              <w:t>50</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sz w:val="21"/>
                <w:szCs w:val="21"/>
              </w:rPr>
              <w:t>人，外语专业课、公共体育</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6"/>
                <w:sz w:val="21"/>
                <w:szCs w:val="21"/>
              </w:rPr>
              <w:t>课</w:t>
            </w:r>
            <w:r>
              <w:rPr>
                <w:rFonts w:ascii="方正书宋简体" w:hAnsi="方正书宋简体" w:eastAsia="方正书宋简体" w:cs="方正书宋简体"/>
                <w:spacing w:val="38"/>
                <w:sz w:val="21"/>
                <w:szCs w:val="21"/>
              </w:rPr>
              <w:t xml:space="preserve"> </w:t>
            </w:r>
            <w:r>
              <w:rPr>
                <w:rFonts w:ascii="方正书宋简体" w:hAnsi="方正书宋简体" w:eastAsia="方正书宋简体" w:cs="方正书宋简体"/>
                <w:spacing w:val="-16"/>
                <w:sz w:val="21"/>
                <w:szCs w:val="21"/>
              </w:rPr>
              <w:t>40人，音体美专业术科不低于20人。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8"/>
                <w:sz w:val="21"/>
                <w:szCs w:val="21"/>
              </w:rPr>
              <w:t>如因招生原因，</w:t>
            </w:r>
            <w:r>
              <w:rPr>
                <w:rFonts w:ascii="方正书宋简体" w:hAnsi="方正书宋简体" w:eastAsia="方正书宋简体" w:cs="方正书宋简体"/>
                <w:spacing w:val="69"/>
                <w:w w:val="101"/>
                <w:sz w:val="21"/>
                <w:szCs w:val="21"/>
              </w:rPr>
              <w:t xml:space="preserve"> </w:t>
            </w:r>
            <w:r>
              <w:rPr>
                <w:rFonts w:ascii="方正书宋简体" w:hAnsi="方正书宋简体" w:eastAsia="方正书宋简体" w:cs="方正书宋简体"/>
                <w:spacing w:val="-20"/>
                <w:w w:val="98"/>
                <w:sz w:val="21"/>
                <w:szCs w:val="21"/>
              </w:rPr>
              <w:t>实际教学班修读学生数</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5"/>
                <w:sz w:val="21"/>
                <w:szCs w:val="21"/>
              </w:rPr>
              <w:t>少于标准班人数，按标准班人数计算。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7" w:type="dxa"/>
            <w:vMerge w:val="continue"/>
            <w:tcBorders>
              <w:top w:val="nil"/>
              <w:left w:val="single" w:color="000000" w:sz="6" w:space="0"/>
              <w:bottom w:val="nil"/>
            </w:tcBorders>
            <w:vAlign w:val="top"/>
          </w:tcPr>
          <w:p>
            <w:pPr>
              <w:rPr>
                <w:rFonts w:ascii="Malgun Gothic"/>
                <w:sz w:val="21"/>
              </w:rPr>
            </w:pPr>
          </w:p>
        </w:tc>
        <w:tc>
          <w:tcPr>
            <w:tcW w:w="1187" w:type="dxa"/>
            <w:vMerge w:val="continue"/>
            <w:tcBorders>
              <w:top w:val="nil"/>
              <w:bottom w:val="nil"/>
            </w:tcBorders>
            <w:vAlign w:val="top"/>
          </w:tcPr>
          <w:p>
            <w:pPr>
              <w:rPr>
                <w:rFonts w:ascii="Malgun Gothic"/>
                <w:sz w:val="21"/>
              </w:rPr>
            </w:pPr>
          </w:p>
        </w:tc>
        <w:tc>
          <w:tcPr>
            <w:tcW w:w="1440" w:type="dxa"/>
            <w:vAlign w:val="top"/>
          </w:tcPr>
          <w:p>
            <w:pPr>
              <w:spacing w:before="48" w:line="193" w:lineRule="auto"/>
              <w:ind w:firstLine="2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N＜L≤100</w:t>
            </w:r>
          </w:p>
        </w:tc>
        <w:tc>
          <w:tcPr>
            <w:tcW w:w="1887" w:type="dxa"/>
            <w:vAlign w:val="top"/>
          </w:tcPr>
          <w:p>
            <w:pPr>
              <w:spacing w:before="48" w:line="193" w:lineRule="auto"/>
              <w:ind w:firstLine="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1+（L－N）*</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pacing w:val="-4"/>
                <w:sz w:val="21"/>
                <w:szCs w:val="21"/>
              </w:rPr>
              <w:t>0.01</w:t>
            </w:r>
          </w:p>
        </w:tc>
        <w:tc>
          <w:tcPr>
            <w:tcW w:w="3483"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737" w:type="dxa"/>
            <w:vMerge w:val="continue"/>
            <w:tcBorders>
              <w:top w:val="nil"/>
              <w:left w:val="single" w:color="000000" w:sz="6" w:space="0"/>
              <w:bottom w:val="nil"/>
            </w:tcBorders>
            <w:vAlign w:val="top"/>
          </w:tcPr>
          <w:p>
            <w:pPr>
              <w:rPr>
                <w:rFonts w:ascii="Malgun Gothic"/>
                <w:sz w:val="21"/>
              </w:rPr>
            </w:pPr>
          </w:p>
        </w:tc>
        <w:tc>
          <w:tcPr>
            <w:tcW w:w="1187" w:type="dxa"/>
            <w:vMerge w:val="continue"/>
            <w:tcBorders>
              <w:top w:val="nil"/>
              <w:bottom w:val="nil"/>
            </w:tcBorders>
            <w:vAlign w:val="top"/>
          </w:tcPr>
          <w:p>
            <w:pPr>
              <w:rPr>
                <w:rFonts w:ascii="Malgun Gothic"/>
                <w:sz w:val="21"/>
              </w:rPr>
            </w:pPr>
          </w:p>
        </w:tc>
        <w:tc>
          <w:tcPr>
            <w:tcW w:w="1440" w:type="dxa"/>
            <w:vAlign w:val="top"/>
          </w:tcPr>
          <w:p>
            <w:pPr>
              <w:spacing w:before="400" w:line="180" w:lineRule="auto"/>
              <w:ind w:firstLine="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100＜L≤160</w:t>
            </w:r>
          </w:p>
        </w:tc>
        <w:tc>
          <w:tcPr>
            <w:tcW w:w="1887" w:type="dxa"/>
            <w:vAlign w:val="top"/>
          </w:tcPr>
          <w:p>
            <w:pPr>
              <w:spacing w:before="51" w:line="193" w:lineRule="auto"/>
              <w:ind w:firstLine="1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1+（100－N）*</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0"/>
                <w:w w:val="98"/>
                <w:sz w:val="21"/>
                <w:szCs w:val="21"/>
              </w:rPr>
              <w:t>0.01</w:t>
            </w:r>
          </w:p>
          <w:p>
            <w:pPr>
              <w:spacing w:before="72" w:line="193" w:lineRule="auto"/>
              <w:ind w:firstLine="3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9"/>
                <w:sz w:val="21"/>
                <w:szCs w:val="21"/>
              </w:rPr>
              <w:t>＋（</w:t>
            </w:r>
            <w:r>
              <w:rPr>
                <w:rFonts w:ascii="方正书宋简体" w:hAnsi="方正书宋简体" w:eastAsia="方正书宋简体" w:cs="方正书宋简体"/>
                <w:spacing w:val="-6"/>
                <w:sz w:val="21"/>
                <w:szCs w:val="21"/>
              </w:rPr>
              <w:t>L－100）</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6"/>
                <w:sz w:val="21"/>
                <w:szCs w:val="21"/>
              </w:rPr>
              <w:t>*</w:t>
            </w:r>
          </w:p>
          <w:p>
            <w:pPr>
              <w:spacing w:before="106" w:line="180" w:lineRule="auto"/>
              <w:ind w:firstLine="7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0.005</w:t>
            </w:r>
          </w:p>
        </w:tc>
        <w:tc>
          <w:tcPr>
            <w:tcW w:w="3483"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37" w:type="dxa"/>
            <w:vMerge w:val="continue"/>
            <w:tcBorders>
              <w:top w:val="nil"/>
              <w:left w:val="single" w:color="000000" w:sz="6" w:space="0"/>
            </w:tcBorders>
            <w:vAlign w:val="top"/>
          </w:tcPr>
          <w:p>
            <w:pPr>
              <w:rPr>
                <w:rFonts w:ascii="Malgun Gothic"/>
                <w:sz w:val="21"/>
              </w:rPr>
            </w:pPr>
          </w:p>
        </w:tc>
        <w:tc>
          <w:tcPr>
            <w:tcW w:w="1187" w:type="dxa"/>
            <w:vMerge w:val="continue"/>
            <w:tcBorders>
              <w:top w:val="nil"/>
            </w:tcBorders>
            <w:vAlign w:val="top"/>
          </w:tcPr>
          <w:p>
            <w:pPr>
              <w:rPr>
                <w:rFonts w:ascii="Malgun Gothic"/>
                <w:sz w:val="21"/>
              </w:rPr>
            </w:pPr>
          </w:p>
        </w:tc>
        <w:tc>
          <w:tcPr>
            <w:tcW w:w="1440" w:type="dxa"/>
            <w:vAlign w:val="top"/>
          </w:tcPr>
          <w:p>
            <w:pPr>
              <w:spacing w:before="186" w:line="180" w:lineRule="auto"/>
              <w:ind w:firstLine="3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L＞160</w:t>
            </w:r>
          </w:p>
        </w:tc>
        <w:tc>
          <w:tcPr>
            <w:tcW w:w="1887" w:type="dxa"/>
            <w:vAlign w:val="top"/>
          </w:tcPr>
          <w:p>
            <w:pPr>
              <w:spacing w:before="187" w:line="180" w:lineRule="auto"/>
              <w:ind w:firstLine="83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1.8</w:t>
            </w:r>
          </w:p>
        </w:tc>
        <w:tc>
          <w:tcPr>
            <w:tcW w:w="3483"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737" w:type="dxa"/>
            <w:vMerge w:val="restart"/>
            <w:tcBorders>
              <w:left w:val="single" w:color="000000" w:sz="6" w:space="0"/>
              <w:bottom w:val="nil"/>
            </w:tcBorders>
            <w:vAlign w:val="top"/>
          </w:tcPr>
          <w:p>
            <w:pPr>
              <w:spacing w:line="280" w:lineRule="auto"/>
              <w:rPr>
                <w:rFonts w:ascii="Malgun Gothic"/>
                <w:sz w:val="21"/>
              </w:rPr>
            </w:pPr>
            <w:r>
              <w:pict>
                <v:shape id="_x0000_s1027" o:spid="_x0000_s1027" o:spt="202" type="#_x0000_t202" style="position:absolute;left:0pt;margin-left:12.85pt;margin-top:61.4pt;height:13.7pt;width:8.6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K</w:t>
                        </w:r>
                      </w:p>
                    </w:txbxContent>
                  </v:textbox>
                </v:shape>
              </w:pict>
            </w:r>
          </w:p>
          <w:p>
            <w:pPr>
              <w:spacing w:line="281" w:lineRule="auto"/>
              <w:rPr>
                <w:rFonts w:ascii="Malgun Gothic"/>
                <w:sz w:val="21"/>
              </w:rPr>
            </w:pPr>
          </w:p>
          <w:p>
            <w:pPr>
              <w:spacing w:line="281" w:lineRule="auto"/>
              <w:rPr>
                <w:rFonts w:ascii="Malgun Gothic"/>
                <w:sz w:val="21"/>
              </w:rPr>
            </w:pPr>
          </w:p>
          <w:p>
            <w:pPr>
              <w:spacing w:before="40" w:line="180" w:lineRule="auto"/>
              <w:ind w:firstLine="403"/>
              <w:rPr>
                <w:rFonts w:ascii="方正书宋简体" w:hAnsi="方正书宋简体" w:eastAsia="方正书宋简体" w:cs="方正书宋简体"/>
                <w:sz w:val="11"/>
                <w:szCs w:val="11"/>
              </w:rPr>
            </w:pPr>
            <w:r>
              <w:rPr>
                <w:rFonts w:ascii="方正书宋简体" w:hAnsi="方正书宋简体" w:eastAsia="方正书宋简体" w:cs="方正书宋简体"/>
                <w:sz w:val="11"/>
                <w:szCs w:val="11"/>
              </w:rPr>
              <w:t>2</w:t>
            </w:r>
          </w:p>
        </w:tc>
        <w:tc>
          <w:tcPr>
            <w:tcW w:w="1187" w:type="dxa"/>
            <w:vMerge w:val="restart"/>
            <w:tcBorders>
              <w:bottom w:val="nil"/>
            </w:tcBorders>
            <w:vAlign w:val="top"/>
          </w:tcPr>
          <w:p>
            <w:pPr>
              <w:spacing w:line="321" w:lineRule="auto"/>
              <w:rPr>
                <w:rFonts w:ascii="Malgun Gothic"/>
                <w:sz w:val="21"/>
              </w:rPr>
            </w:pPr>
          </w:p>
          <w:p>
            <w:pPr>
              <w:spacing w:line="322" w:lineRule="auto"/>
              <w:rPr>
                <w:rFonts w:ascii="Malgun Gothic"/>
                <w:sz w:val="21"/>
              </w:rPr>
            </w:pPr>
          </w:p>
          <w:p>
            <w:pPr>
              <w:spacing w:before="75" w:line="251" w:lineRule="auto"/>
              <w:ind w:left="384" w:right="173" w:hanging="2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课程类别</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4"/>
                <w:sz w:val="21"/>
                <w:szCs w:val="21"/>
              </w:rPr>
              <w:t>系数</w:t>
            </w:r>
          </w:p>
        </w:tc>
        <w:tc>
          <w:tcPr>
            <w:tcW w:w="1440" w:type="dxa"/>
            <w:vAlign w:val="top"/>
          </w:tcPr>
          <w:p>
            <w:pPr>
              <w:spacing w:before="54" w:line="206" w:lineRule="auto"/>
              <w:ind w:left="297" w:right="193" w:hanging="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艺术类专业</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指导小课</w:t>
            </w:r>
          </w:p>
        </w:tc>
        <w:tc>
          <w:tcPr>
            <w:tcW w:w="1887" w:type="dxa"/>
            <w:vAlign w:val="top"/>
          </w:tcPr>
          <w:p>
            <w:pPr>
              <w:spacing w:before="245" w:line="180" w:lineRule="auto"/>
              <w:ind w:firstLine="7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c>
          <w:tcPr>
            <w:tcW w:w="3483" w:type="dxa"/>
            <w:tcBorders>
              <w:right w:val="single" w:color="000000" w:sz="6" w:space="0"/>
            </w:tcBorders>
            <w:vAlign w:val="top"/>
          </w:tcPr>
          <w:p>
            <w:pPr>
              <w:spacing w:before="212" w:line="180" w:lineRule="auto"/>
              <w:ind w:firstLine="7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声乐、器乐、钢琴等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737" w:type="dxa"/>
            <w:vMerge w:val="continue"/>
            <w:tcBorders>
              <w:top w:val="nil"/>
              <w:left w:val="single" w:color="000000" w:sz="6" w:space="0"/>
              <w:bottom w:val="nil"/>
            </w:tcBorders>
            <w:vAlign w:val="top"/>
          </w:tcPr>
          <w:p>
            <w:pPr>
              <w:rPr>
                <w:rFonts w:ascii="Malgun Gothic"/>
                <w:sz w:val="21"/>
              </w:rPr>
            </w:pPr>
          </w:p>
        </w:tc>
        <w:tc>
          <w:tcPr>
            <w:tcW w:w="1187" w:type="dxa"/>
            <w:vMerge w:val="continue"/>
            <w:tcBorders>
              <w:top w:val="nil"/>
              <w:bottom w:val="nil"/>
            </w:tcBorders>
            <w:vAlign w:val="top"/>
          </w:tcPr>
          <w:p>
            <w:pPr>
              <w:rPr>
                <w:rFonts w:ascii="Malgun Gothic"/>
                <w:sz w:val="21"/>
              </w:rPr>
            </w:pPr>
          </w:p>
        </w:tc>
        <w:tc>
          <w:tcPr>
            <w:tcW w:w="1440" w:type="dxa"/>
            <w:vAlign w:val="top"/>
          </w:tcPr>
          <w:p>
            <w:pPr>
              <w:spacing w:before="375" w:line="180"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双语教学</w:t>
            </w:r>
          </w:p>
        </w:tc>
        <w:tc>
          <w:tcPr>
            <w:tcW w:w="1887" w:type="dxa"/>
            <w:vAlign w:val="top"/>
          </w:tcPr>
          <w:p>
            <w:pPr>
              <w:spacing w:before="401" w:line="180" w:lineRule="auto"/>
              <w:ind w:firstLine="8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0.5</w:t>
            </w:r>
          </w:p>
        </w:tc>
        <w:tc>
          <w:tcPr>
            <w:tcW w:w="3483" w:type="dxa"/>
            <w:tcBorders>
              <w:right w:val="single" w:color="000000" w:sz="6" w:space="0"/>
            </w:tcBorders>
            <w:vAlign w:val="top"/>
          </w:tcPr>
          <w:p>
            <w:pPr>
              <w:spacing w:before="54" w:line="193" w:lineRule="auto"/>
              <w:ind w:firstLine="1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双语课程是指采用外文原版教材或</w:t>
            </w:r>
          </w:p>
          <w:p>
            <w:pPr>
              <w:spacing w:before="73" w:line="207" w:lineRule="auto"/>
              <w:ind w:left="803" w:right="102" w:hanging="699"/>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讲义，外语授课课时达到该课程课时</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的</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5"/>
                <w:sz w:val="21"/>
                <w:szCs w:val="21"/>
              </w:rPr>
              <w:t>50%以上的课程。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737" w:type="dxa"/>
            <w:vMerge w:val="continue"/>
            <w:tcBorders>
              <w:top w:val="nil"/>
              <w:left w:val="single" w:color="000000" w:sz="6" w:space="0"/>
              <w:bottom w:val="nil"/>
            </w:tcBorders>
            <w:vAlign w:val="top"/>
          </w:tcPr>
          <w:p>
            <w:pPr>
              <w:rPr>
                <w:rFonts w:ascii="Malgun Gothic"/>
                <w:sz w:val="21"/>
              </w:rPr>
            </w:pPr>
          </w:p>
        </w:tc>
        <w:tc>
          <w:tcPr>
            <w:tcW w:w="1187" w:type="dxa"/>
            <w:vMerge w:val="continue"/>
            <w:tcBorders>
              <w:top w:val="nil"/>
              <w:bottom w:val="nil"/>
            </w:tcBorders>
            <w:vAlign w:val="top"/>
          </w:tcPr>
          <w:p>
            <w:pPr>
              <w:rPr>
                <w:rFonts w:ascii="Malgun Gothic"/>
                <w:sz w:val="21"/>
              </w:rPr>
            </w:pPr>
          </w:p>
        </w:tc>
        <w:tc>
          <w:tcPr>
            <w:tcW w:w="1440" w:type="dxa"/>
            <w:vAlign w:val="top"/>
          </w:tcPr>
          <w:p>
            <w:pPr>
              <w:spacing w:before="219" w:line="180"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新开课程</w:t>
            </w:r>
          </w:p>
        </w:tc>
        <w:tc>
          <w:tcPr>
            <w:tcW w:w="1887" w:type="dxa"/>
            <w:vAlign w:val="top"/>
          </w:tcPr>
          <w:p>
            <w:pPr>
              <w:spacing w:before="249" w:line="180" w:lineRule="auto"/>
              <w:ind w:firstLine="8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0.2</w:t>
            </w:r>
          </w:p>
        </w:tc>
        <w:tc>
          <w:tcPr>
            <w:tcW w:w="3483" w:type="dxa"/>
            <w:tcBorders>
              <w:right w:val="single" w:color="000000" w:sz="6" w:space="0"/>
            </w:tcBorders>
            <w:vAlign w:val="top"/>
          </w:tcPr>
          <w:p>
            <w:pPr>
              <w:spacing w:before="62" w:line="205" w:lineRule="auto"/>
              <w:ind w:left="797" w:right="159" w:hanging="6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新开课程指首次列入教学计划且教</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4"/>
                <w:sz w:val="21"/>
                <w:szCs w:val="21"/>
              </w:rPr>
              <w:t>师首次开设的课程。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37" w:type="dxa"/>
            <w:vMerge w:val="continue"/>
            <w:tcBorders>
              <w:top w:val="nil"/>
              <w:left w:val="single" w:color="000000" w:sz="6" w:space="0"/>
            </w:tcBorders>
            <w:vAlign w:val="top"/>
          </w:tcPr>
          <w:p>
            <w:pPr>
              <w:rPr>
                <w:rFonts w:ascii="Malgun Gothic"/>
                <w:sz w:val="21"/>
              </w:rPr>
            </w:pPr>
          </w:p>
        </w:tc>
        <w:tc>
          <w:tcPr>
            <w:tcW w:w="1187" w:type="dxa"/>
            <w:vMerge w:val="continue"/>
            <w:tcBorders>
              <w:top w:val="nil"/>
            </w:tcBorders>
            <w:vAlign w:val="top"/>
          </w:tcPr>
          <w:p>
            <w:pPr>
              <w:rPr>
                <w:rFonts w:ascii="Malgun Gothic"/>
                <w:sz w:val="21"/>
              </w:rPr>
            </w:pPr>
          </w:p>
        </w:tc>
        <w:tc>
          <w:tcPr>
            <w:tcW w:w="1440" w:type="dxa"/>
            <w:vAlign w:val="top"/>
          </w:tcPr>
          <w:p>
            <w:pPr>
              <w:spacing w:before="63"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其它课程</w:t>
            </w:r>
          </w:p>
        </w:tc>
        <w:tc>
          <w:tcPr>
            <w:tcW w:w="1887" w:type="dxa"/>
            <w:vAlign w:val="top"/>
          </w:tcPr>
          <w:p>
            <w:pPr>
              <w:spacing w:before="96" w:line="180" w:lineRule="auto"/>
              <w:ind w:firstLine="89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0</w:t>
            </w:r>
          </w:p>
        </w:tc>
        <w:tc>
          <w:tcPr>
            <w:tcW w:w="3483" w:type="dxa"/>
            <w:tcBorders>
              <w:right w:val="single" w:color="000000" w:sz="6" w:space="0"/>
            </w:tcBorders>
            <w:vAlign w:val="top"/>
          </w:tcPr>
          <w:p>
            <w:pPr>
              <w:spacing w:line="342"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37" w:type="dxa"/>
            <w:vMerge w:val="restart"/>
            <w:tcBorders>
              <w:left w:val="single" w:color="000000" w:sz="6" w:space="0"/>
              <w:bottom w:val="nil"/>
            </w:tcBorders>
            <w:vAlign w:val="top"/>
          </w:tcPr>
          <w:p>
            <w:pPr>
              <w:spacing w:line="290" w:lineRule="auto"/>
              <w:rPr>
                <w:rFonts w:ascii="Malgun Gothic"/>
                <w:sz w:val="21"/>
              </w:rPr>
            </w:pPr>
            <w:r>
              <w:pict>
                <v:shape id="_x0000_s1028" o:spid="_x0000_s1028" o:spt="202" type="#_x0000_t202" style="position:absolute;left:0pt;margin-left:12.85pt;margin-top:19.6pt;height:13.7pt;width:8.6pt;mso-position-horizontal-relative:page;mso-position-vertical-relative:page;z-index:251659264;mso-width-relative:page;mso-height-relative:page;" filled="f" stroked="f" coordsize="21600,21600">
                  <v:path/>
                  <v:fill on="f" focussize="0,0"/>
                  <v:stroke on="f"/>
                  <v:imagedata o:title=""/>
                  <o:lock v:ext="edit" aspectratio="f"/>
                  <v:textbox inset="0mm,0mm,0mm,0mm">
                    <w:txbxContent>
                      <w:p>
                        <w:pPr>
                          <w:spacing w:before="20" w:line="187" w:lineRule="auto"/>
                          <w:ind w:firstLine="2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K</w:t>
                        </w:r>
                      </w:p>
                    </w:txbxContent>
                  </v:textbox>
                </v:shape>
              </w:pict>
            </w:r>
          </w:p>
          <w:p>
            <w:pPr>
              <w:spacing w:before="40" w:line="180" w:lineRule="auto"/>
              <w:ind w:firstLine="404"/>
              <w:rPr>
                <w:rFonts w:ascii="方正书宋简体" w:hAnsi="方正书宋简体" w:eastAsia="方正书宋简体" w:cs="方正书宋简体"/>
                <w:sz w:val="11"/>
                <w:szCs w:val="11"/>
              </w:rPr>
            </w:pPr>
            <w:r>
              <w:rPr>
                <w:rFonts w:ascii="方正书宋简体" w:hAnsi="方正书宋简体" w:eastAsia="方正书宋简体" w:cs="方正书宋简体"/>
                <w:sz w:val="11"/>
                <w:szCs w:val="11"/>
              </w:rPr>
              <w:t>3</w:t>
            </w:r>
          </w:p>
        </w:tc>
        <w:tc>
          <w:tcPr>
            <w:tcW w:w="1187" w:type="dxa"/>
            <w:vMerge w:val="restart"/>
            <w:tcBorders>
              <w:bottom w:val="nil"/>
            </w:tcBorders>
            <w:vAlign w:val="top"/>
          </w:tcPr>
          <w:p>
            <w:pPr>
              <w:spacing w:before="213" w:line="313" w:lineRule="exact"/>
              <w:ind w:firstLine="2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重复课</w:t>
            </w:r>
          </w:p>
          <w:p>
            <w:pPr>
              <w:spacing w:line="204" w:lineRule="auto"/>
              <w:ind w:firstLine="38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系数</w:t>
            </w:r>
          </w:p>
        </w:tc>
        <w:tc>
          <w:tcPr>
            <w:tcW w:w="1440" w:type="dxa"/>
            <w:vAlign w:val="top"/>
          </w:tcPr>
          <w:p>
            <w:pPr>
              <w:spacing w:before="64" w:line="180" w:lineRule="auto"/>
              <w:ind w:firstLine="4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重复课</w:t>
            </w:r>
          </w:p>
        </w:tc>
        <w:tc>
          <w:tcPr>
            <w:tcW w:w="1887" w:type="dxa"/>
            <w:vAlign w:val="top"/>
          </w:tcPr>
          <w:p>
            <w:pPr>
              <w:spacing w:before="95" w:line="180" w:lineRule="auto"/>
              <w:ind w:firstLine="75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w w:val="91"/>
                <w:sz w:val="21"/>
                <w:szCs w:val="21"/>
              </w:rPr>
              <w:t>－0.1</w:t>
            </w:r>
          </w:p>
        </w:tc>
        <w:tc>
          <w:tcPr>
            <w:tcW w:w="3483" w:type="dxa"/>
            <w:vMerge w:val="restart"/>
            <w:tcBorders>
              <w:bottom w:val="nil"/>
              <w:right w:val="single" w:color="000000" w:sz="6" w:space="0"/>
            </w:tcBorders>
            <w:vAlign w:val="top"/>
          </w:tcPr>
          <w:p>
            <w:pPr>
              <w:spacing w:before="63" w:line="180" w:lineRule="auto"/>
              <w:ind w:firstLine="1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重复课指同一名任课教师在同一学</w:t>
            </w:r>
          </w:p>
          <w:p>
            <w:pPr>
              <w:spacing w:before="85"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期对同一层次不同班级（组）重复讲</w:t>
            </w:r>
          </w:p>
          <w:p>
            <w:pPr>
              <w:spacing w:before="93" w:line="180" w:lineRule="auto"/>
              <w:ind w:firstLine="10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授的同一门课程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737" w:type="dxa"/>
            <w:vMerge w:val="continue"/>
            <w:tcBorders>
              <w:top w:val="nil"/>
              <w:left w:val="single" w:color="000000" w:sz="6" w:space="0"/>
              <w:bottom w:val="single" w:color="000000" w:sz="6" w:space="0"/>
            </w:tcBorders>
            <w:vAlign w:val="top"/>
          </w:tcPr>
          <w:p>
            <w:pPr>
              <w:rPr>
                <w:rFonts w:ascii="Malgun Gothic"/>
                <w:sz w:val="21"/>
              </w:rPr>
            </w:pPr>
          </w:p>
        </w:tc>
        <w:tc>
          <w:tcPr>
            <w:tcW w:w="1187" w:type="dxa"/>
            <w:vMerge w:val="continue"/>
            <w:tcBorders>
              <w:top w:val="nil"/>
              <w:bottom w:val="single" w:color="000000" w:sz="6" w:space="0"/>
            </w:tcBorders>
            <w:vAlign w:val="top"/>
          </w:tcPr>
          <w:p>
            <w:pPr>
              <w:rPr>
                <w:rFonts w:ascii="Malgun Gothic"/>
                <w:sz w:val="21"/>
              </w:rPr>
            </w:pPr>
          </w:p>
        </w:tc>
        <w:tc>
          <w:tcPr>
            <w:tcW w:w="1440" w:type="dxa"/>
            <w:tcBorders>
              <w:bottom w:val="single" w:color="000000" w:sz="6" w:space="0"/>
            </w:tcBorders>
            <w:vAlign w:val="top"/>
          </w:tcPr>
          <w:p>
            <w:pPr>
              <w:spacing w:before="202"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非重复课</w:t>
            </w:r>
          </w:p>
        </w:tc>
        <w:tc>
          <w:tcPr>
            <w:tcW w:w="1887" w:type="dxa"/>
            <w:tcBorders>
              <w:bottom w:val="single" w:color="000000" w:sz="6" w:space="0"/>
            </w:tcBorders>
            <w:vAlign w:val="top"/>
          </w:tcPr>
          <w:p>
            <w:pPr>
              <w:spacing w:before="234" w:line="180" w:lineRule="auto"/>
              <w:ind w:firstLine="89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0</w:t>
            </w:r>
          </w:p>
        </w:tc>
        <w:tc>
          <w:tcPr>
            <w:tcW w:w="3483" w:type="dxa"/>
            <w:vMerge w:val="continue"/>
            <w:tcBorders>
              <w:top w:val="nil"/>
              <w:bottom w:val="single" w:color="000000" w:sz="6" w:space="0"/>
              <w:right w:val="single" w:color="000000" w:sz="6" w:space="0"/>
            </w:tcBorders>
            <w:vAlign w:val="top"/>
          </w:tcPr>
          <w:p>
            <w:pPr>
              <w:rPr>
                <w:rFonts w:ascii="Malgun Gothic"/>
                <w:sz w:val="21"/>
              </w:rPr>
            </w:pPr>
          </w:p>
        </w:tc>
      </w:tr>
    </w:tbl>
    <w:p>
      <w:pPr>
        <w:spacing w:before="154"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2、实验及实践教学环节</w:t>
      </w:r>
    </w:p>
    <w:p>
      <w:pPr>
        <w:spacing w:before="183"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（1）实验教学</w:t>
      </w:r>
    </w:p>
    <w:p>
      <w:pPr>
        <w:spacing w:before="184"/>
        <w:ind w:left="15" w:right="3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任务含量：备课、准备实验、讲解指导实验过程、辅导答疑、批改实验报告、</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5"/>
          <w:sz w:val="24"/>
          <w:szCs w:val="24"/>
        </w:rPr>
        <w:t>考核等工作。</w:t>
      </w:r>
    </w:p>
    <w:p>
      <w:pPr>
        <w:spacing w:before="214" w:line="193" w:lineRule="auto"/>
        <w:ind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计算公式：标准课时数＝计划学时+计划学时×（n-1）</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6"/>
          <w:sz w:val="24"/>
          <w:szCs w:val="24"/>
        </w:rPr>
        <w:t>×0.8</w:t>
      </w:r>
    </w:p>
    <w:p>
      <w:pPr>
        <w:spacing w:before="166" w:line="199"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n</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为组数，实验分组以实验室容量和实验计划安排为依据。</w:t>
      </w:r>
    </w:p>
    <w:p>
      <w:pPr>
        <w:spacing w:before="183"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（2）实践教学环节</w:t>
      </w:r>
    </w:p>
    <w:p>
      <w:pPr>
        <w:spacing w:before="185" w:line="316" w:lineRule="auto"/>
        <w:ind w:left="12" w:right="1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①实习指导。含毕业实习、教学实习（含金工实习、野外实习、校外写生和专</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业认识实习）等各类实习教学。</w:t>
      </w:r>
    </w:p>
    <w:p>
      <w:pPr>
        <w:spacing w:before="1" w:line="202"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任务含量：联系实习、实习准备、指导实习、</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学生管理、批改实习报告、实习</w:t>
      </w:r>
    </w:p>
    <w:p>
      <w:pPr>
        <w:sectPr>
          <w:footerReference r:id="rId162" w:type="default"/>
          <w:pgSz w:w="11905" w:h="16840"/>
          <w:pgMar w:top="1431" w:right="1577" w:bottom="1365" w:left="1578" w:header="0" w:footer="1241" w:gutter="0"/>
          <w:cols w:space="720" w:num="1"/>
        </w:sectPr>
      </w:pPr>
    </w:p>
    <w:p>
      <w:pPr>
        <w:spacing w:before="427" w:line="180" w:lineRule="auto"/>
        <w:ind w:firstLine="1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考核等。</w:t>
      </w:r>
    </w:p>
    <w:p>
      <w:pPr>
        <w:spacing w:before="193" w:line="451" w:lineRule="exact"/>
        <w:ind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position w:val="17"/>
          <w:sz w:val="24"/>
          <w:szCs w:val="24"/>
        </w:rPr>
        <w:t>计算公式：标准课时数＝实习天数×2×N×K1</w:t>
      </w:r>
    </w:p>
    <w:p>
      <w:pPr>
        <w:spacing w:line="203"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N</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为学生数系数，学生数系数的确定见下表：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6"/>
        <w:gridCol w:w="2738"/>
        <w:gridCol w:w="32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746" w:type="dxa"/>
            <w:tcBorders>
              <w:top w:val="single" w:color="000000" w:sz="6" w:space="0"/>
              <w:left w:val="single" w:color="000000" w:sz="6" w:space="0"/>
            </w:tcBorders>
            <w:vAlign w:val="top"/>
          </w:tcPr>
          <w:p>
            <w:pPr>
              <w:spacing w:before="95" w:line="180" w:lineRule="auto"/>
              <w:ind w:firstLine="95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实习类型</w:t>
            </w:r>
          </w:p>
        </w:tc>
        <w:tc>
          <w:tcPr>
            <w:tcW w:w="2738" w:type="dxa"/>
            <w:tcBorders>
              <w:top w:val="single" w:color="000000" w:sz="6" w:space="0"/>
            </w:tcBorders>
            <w:vAlign w:val="top"/>
          </w:tcPr>
          <w:p>
            <w:pPr>
              <w:spacing w:before="93" w:line="180" w:lineRule="auto"/>
              <w:ind w:firstLine="7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集中毕业实习</w:t>
            </w:r>
          </w:p>
        </w:tc>
        <w:tc>
          <w:tcPr>
            <w:tcW w:w="3250" w:type="dxa"/>
            <w:tcBorders>
              <w:top w:val="single" w:color="000000" w:sz="6" w:space="0"/>
              <w:right w:val="single" w:color="000000" w:sz="6" w:space="0"/>
            </w:tcBorders>
            <w:vAlign w:val="top"/>
          </w:tcPr>
          <w:p>
            <w:pPr>
              <w:spacing w:before="97" w:line="180" w:lineRule="auto"/>
              <w:ind w:firstLine="8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教学实（见）习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746" w:type="dxa"/>
            <w:tcBorders>
              <w:left w:val="single" w:color="000000" w:sz="6" w:space="0"/>
            </w:tcBorders>
            <w:vAlign w:val="top"/>
          </w:tcPr>
          <w:p>
            <w:pPr>
              <w:spacing w:before="121" w:line="180" w:lineRule="auto"/>
              <w:ind w:firstLine="114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N＝1</w:t>
            </w:r>
          </w:p>
        </w:tc>
        <w:tc>
          <w:tcPr>
            <w:tcW w:w="2738" w:type="dxa"/>
            <w:vAlign w:val="top"/>
          </w:tcPr>
          <w:p>
            <w:pPr>
              <w:spacing w:before="90" w:line="180" w:lineRule="auto"/>
              <w:ind w:firstLine="8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学生数≤20</w:t>
            </w:r>
          </w:p>
        </w:tc>
        <w:tc>
          <w:tcPr>
            <w:tcW w:w="3250" w:type="dxa"/>
            <w:tcBorders>
              <w:right w:val="single" w:color="000000" w:sz="6" w:space="0"/>
            </w:tcBorders>
            <w:vAlign w:val="top"/>
          </w:tcPr>
          <w:p>
            <w:pPr>
              <w:spacing w:before="90" w:line="180" w:lineRule="auto"/>
              <w:ind w:firstLine="1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学生数≤30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746" w:type="dxa"/>
            <w:tcBorders>
              <w:left w:val="single" w:color="000000" w:sz="6" w:space="0"/>
            </w:tcBorders>
            <w:vAlign w:val="top"/>
          </w:tcPr>
          <w:p>
            <w:pPr>
              <w:spacing w:before="125" w:line="180" w:lineRule="auto"/>
              <w:ind w:firstLine="10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N＝1.1</w:t>
            </w:r>
          </w:p>
        </w:tc>
        <w:tc>
          <w:tcPr>
            <w:tcW w:w="2738" w:type="dxa"/>
            <w:vAlign w:val="top"/>
          </w:tcPr>
          <w:p>
            <w:pPr>
              <w:spacing w:before="94" w:line="180" w:lineRule="auto"/>
              <w:ind w:firstLine="6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21≤学生数≤30</w:t>
            </w:r>
          </w:p>
        </w:tc>
        <w:tc>
          <w:tcPr>
            <w:tcW w:w="3250" w:type="dxa"/>
            <w:tcBorders>
              <w:right w:val="single" w:color="000000" w:sz="6" w:space="0"/>
            </w:tcBorders>
            <w:vAlign w:val="top"/>
          </w:tcPr>
          <w:p>
            <w:pPr>
              <w:spacing w:before="94" w:line="180" w:lineRule="auto"/>
              <w:ind w:firstLine="8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31≤学生数≤40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746" w:type="dxa"/>
            <w:tcBorders>
              <w:left w:val="single" w:color="000000" w:sz="6" w:space="0"/>
              <w:bottom w:val="single" w:color="000000" w:sz="6" w:space="0"/>
            </w:tcBorders>
            <w:vAlign w:val="top"/>
          </w:tcPr>
          <w:p>
            <w:pPr>
              <w:spacing w:before="130" w:line="180" w:lineRule="auto"/>
              <w:ind w:firstLine="10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N＝1.2</w:t>
            </w:r>
          </w:p>
        </w:tc>
        <w:tc>
          <w:tcPr>
            <w:tcW w:w="2738" w:type="dxa"/>
            <w:tcBorders>
              <w:bottom w:val="single" w:color="000000" w:sz="6" w:space="0"/>
            </w:tcBorders>
            <w:vAlign w:val="top"/>
          </w:tcPr>
          <w:p>
            <w:pPr>
              <w:spacing w:before="99" w:line="180" w:lineRule="auto"/>
              <w:ind w:firstLine="8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学生数≥31</w:t>
            </w:r>
          </w:p>
        </w:tc>
        <w:tc>
          <w:tcPr>
            <w:tcW w:w="3250" w:type="dxa"/>
            <w:tcBorders>
              <w:bottom w:val="single" w:color="000000" w:sz="6" w:space="0"/>
              <w:right w:val="single" w:color="000000" w:sz="6" w:space="0"/>
            </w:tcBorders>
            <w:vAlign w:val="top"/>
          </w:tcPr>
          <w:p>
            <w:pPr>
              <w:spacing w:before="99" w:line="180" w:lineRule="auto"/>
              <w:ind w:firstLine="1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学生数≥41</w:t>
            </w:r>
          </w:p>
        </w:tc>
      </w:tr>
    </w:tbl>
    <w:p>
      <w:pPr>
        <w:spacing w:before="158" w:line="180"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K1</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5"/>
          <w:sz w:val="24"/>
          <w:szCs w:val="24"/>
        </w:rPr>
        <w:t>为工作系数，取值见下表：</w:t>
      </w:r>
    </w:p>
    <w:p>
      <w:pPr>
        <w:spacing w:line="37"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9"/>
        <w:gridCol w:w="2179"/>
        <w:gridCol w:w="2179"/>
        <w:gridCol w:w="21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2189" w:type="dxa"/>
            <w:tcBorders>
              <w:top w:val="single" w:color="000000" w:sz="6" w:space="0"/>
              <w:left w:val="single" w:color="000000" w:sz="6" w:space="0"/>
            </w:tcBorders>
            <w:vAlign w:val="top"/>
          </w:tcPr>
          <w:p>
            <w:pPr>
              <w:spacing w:before="100" w:line="193" w:lineRule="auto"/>
              <w:ind w:firstLine="6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实习地点</w:t>
            </w:r>
          </w:p>
        </w:tc>
        <w:tc>
          <w:tcPr>
            <w:tcW w:w="2179" w:type="dxa"/>
            <w:tcBorders>
              <w:top w:val="single" w:color="000000" w:sz="6" w:space="0"/>
            </w:tcBorders>
            <w:vAlign w:val="top"/>
          </w:tcPr>
          <w:p>
            <w:pPr>
              <w:spacing w:before="107" w:line="180" w:lineRule="auto"/>
              <w:ind w:firstLine="87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校内</w:t>
            </w:r>
          </w:p>
        </w:tc>
        <w:tc>
          <w:tcPr>
            <w:tcW w:w="2179" w:type="dxa"/>
            <w:tcBorders>
              <w:top w:val="single" w:color="000000" w:sz="6" w:space="0"/>
            </w:tcBorders>
            <w:vAlign w:val="top"/>
          </w:tcPr>
          <w:p>
            <w:pPr>
              <w:spacing w:before="106" w:line="180" w:lineRule="auto"/>
              <w:ind w:firstLine="7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市区内</w:t>
            </w:r>
          </w:p>
        </w:tc>
        <w:tc>
          <w:tcPr>
            <w:tcW w:w="2187" w:type="dxa"/>
            <w:tcBorders>
              <w:top w:val="single" w:color="000000" w:sz="6" w:space="0"/>
              <w:right w:val="single" w:color="000000" w:sz="6" w:space="0"/>
            </w:tcBorders>
            <w:vAlign w:val="top"/>
          </w:tcPr>
          <w:p>
            <w:pPr>
              <w:spacing w:before="106" w:line="180" w:lineRule="auto"/>
              <w:ind w:firstLine="7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市区外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2189" w:type="dxa"/>
            <w:tcBorders>
              <w:left w:val="single" w:color="000000" w:sz="6" w:space="0"/>
              <w:bottom w:val="single" w:color="000000" w:sz="6" w:space="0"/>
            </w:tcBorders>
            <w:vAlign w:val="top"/>
          </w:tcPr>
          <w:p>
            <w:pPr>
              <w:spacing w:before="137" w:line="180" w:lineRule="auto"/>
              <w:ind w:firstLine="97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K1</w:t>
            </w:r>
          </w:p>
        </w:tc>
        <w:tc>
          <w:tcPr>
            <w:tcW w:w="2179" w:type="dxa"/>
            <w:tcBorders>
              <w:bottom w:val="single" w:color="000000" w:sz="6" w:space="0"/>
            </w:tcBorders>
            <w:vAlign w:val="top"/>
          </w:tcPr>
          <w:p>
            <w:pPr>
              <w:spacing w:before="137" w:line="180" w:lineRule="auto"/>
              <w:ind w:firstLine="105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179" w:type="dxa"/>
            <w:tcBorders>
              <w:bottom w:val="single" w:color="000000" w:sz="6" w:space="0"/>
            </w:tcBorders>
            <w:vAlign w:val="top"/>
          </w:tcPr>
          <w:p>
            <w:pPr>
              <w:spacing w:before="136" w:line="180" w:lineRule="auto"/>
              <w:ind w:firstLine="97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1.1</w:t>
            </w:r>
          </w:p>
        </w:tc>
        <w:tc>
          <w:tcPr>
            <w:tcW w:w="2187" w:type="dxa"/>
            <w:tcBorders>
              <w:bottom w:val="single" w:color="000000" w:sz="6" w:space="0"/>
              <w:right w:val="single" w:color="000000" w:sz="6" w:space="0"/>
            </w:tcBorders>
            <w:vAlign w:val="top"/>
          </w:tcPr>
          <w:p>
            <w:pPr>
              <w:spacing w:before="136" w:line="180" w:lineRule="auto"/>
              <w:ind w:firstLine="98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1.2</w:t>
            </w:r>
          </w:p>
        </w:tc>
      </w:tr>
    </w:tbl>
    <w:p>
      <w:pPr>
        <w:spacing w:before="145" w:line="295" w:lineRule="auto"/>
        <w:ind w:left="494" w:right="332" w:hanging="13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（备注：指导吉首以外地区的实习按每周</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6"/>
          <w:sz w:val="24"/>
          <w:szCs w:val="24"/>
        </w:rPr>
        <w:t>7</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天计算，市内按每周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5</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6"/>
          <w:sz w:val="24"/>
          <w:szCs w:val="24"/>
        </w:rPr>
        <w:t>天计算。</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②学年论文、课程设计指导</w:t>
      </w:r>
    </w:p>
    <w:p>
      <w:pPr>
        <w:spacing w:before="40" w:line="309" w:lineRule="auto"/>
        <w:ind w:left="492" w:right="367"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任务含量：准备、集中讲授、指导、批改论文（设计）报告、成绩评定等。</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
          <w:sz w:val="24"/>
          <w:szCs w:val="24"/>
        </w:rPr>
        <w:t>计算公式：学年论文指导标准学时数=0.5×学生数</w:t>
      </w:r>
    </w:p>
    <w:p>
      <w:pPr>
        <w:spacing w:before="3" w:line="440" w:lineRule="exact"/>
        <w:ind w:firstLine="169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position w:val="16"/>
          <w:sz w:val="24"/>
          <w:szCs w:val="24"/>
        </w:rPr>
        <w:t>课程设计指导标准学时数=0.7×计划周数×学生数</w:t>
      </w:r>
    </w:p>
    <w:p>
      <w:pPr>
        <w:spacing w:line="204"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注：每名教师指导学年论文或课程设计原则上不超过</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15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人。</w:t>
      </w:r>
    </w:p>
    <w:p>
      <w:pPr>
        <w:spacing w:before="143" w:line="180" w:lineRule="auto"/>
        <w:ind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③毕业论文（设计）指导</w:t>
      </w:r>
    </w:p>
    <w:p>
      <w:pPr>
        <w:spacing w:before="185" w:line="309" w:lineRule="auto"/>
        <w:ind w:left="12" w:right="24"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任务含量：毕业设计或论文准备、拟题、开题、集中讲授、指导、评阅设计或</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3"/>
          <w:sz w:val="24"/>
          <w:szCs w:val="24"/>
        </w:rPr>
        <w:t>论文、答辩、成绩评定等工作。</w:t>
      </w:r>
    </w:p>
    <w:p>
      <w:pPr>
        <w:spacing w:before="1" w:line="202" w:lineRule="auto"/>
        <w:ind w:firstLine="492"/>
        <w:rPr>
          <w:rFonts w:ascii="方正书宋简体" w:hAnsi="方正书宋简体" w:eastAsia="方正书宋简体" w:cs="方正书宋简体"/>
          <w:sz w:val="12"/>
          <w:szCs w:val="12"/>
        </w:rPr>
      </w:pPr>
      <w:r>
        <w:rPr>
          <w:rFonts w:ascii="方正书宋简体" w:hAnsi="方正书宋简体" w:eastAsia="方正书宋简体" w:cs="方正书宋简体"/>
          <w:spacing w:val="-1"/>
          <w:sz w:val="24"/>
          <w:szCs w:val="24"/>
        </w:rPr>
        <w:t>计算公式：标准学时数＝学生数×8×K</w:t>
      </w:r>
      <w:r>
        <w:rPr>
          <w:rFonts w:ascii="方正书宋简体" w:hAnsi="方正书宋简体" w:eastAsia="方正书宋简体" w:cs="方正书宋简体"/>
          <w:spacing w:val="-1"/>
          <w:position w:val="-2"/>
          <w:sz w:val="12"/>
          <w:szCs w:val="12"/>
        </w:rPr>
        <w:t>1</w:t>
      </w:r>
    </w:p>
    <w:p>
      <w:pPr>
        <w:spacing w:before="151" w:line="308" w:lineRule="auto"/>
        <w:ind w:left="15" w:right="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w w:val="95"/>
          <w:sz w:val="24"/>
          <w:szCs w:val="24"/>
        </w:rPr>
        <w:t>K</w:t>
      </w:r>
      <w:r>
        <w:rPr>
          <w:rFonts w:ascii="方正书宋简体" w:hAnsi="方正书宋简体" w:eastAsia="方正书宋简体" w:cs="方正书宋简体"/>
          <w:spacing w:val="-5"/>
          <w:w w:val="95"/>
          <w:position w:val="-2"/>
          <w:sz w:val="12"/>
          <w:szCs w:val="12"/>
        </w:rPr>
        <w:t>1</w:t>
      </w:r>
      <w:r>
        <w:rPr>
          <w:rFonts w:ascii="方正书宋简体" w:hAnsi="方正书宋简体" w:eastAsia="方正书宋简体" w:cs="方正书宋简体"/>
          <w:spacing w:val="71"/>
          <w:w w:val="102"/>
          <w:position w:val="-2"/>
          <w:sz w:val="12"/>
          <w:szCs w:val="12"/>
        </w:rPr>
        <w:t xml:space="preserve"> </w:t>
      </w:r>
      <w:r>
        <w:rPr>
          <w:rFonts w:ascii="方正书宋简体" w:hAnsi="方正书宋简体" w:eastAsia="方正书宋简体" w:cs="方正书宋简体"/>
          <w:spacing w:val="-5"/>
          <w:w w:val="95"/>
          <w:sz w:val="24"/>
          <w:szCs w:val="24"/>
        </w:rPr>
        <w:t>为类型系数，</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w w:val="95"/>
          <w:sz w:val="24"/>
          <w:szCs w:val="24"/>
        </w:rPr>
        <w:t>本科：</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5"/>
          <w:w w:val="95"/>
          <w:sz w:val="24"/>
          <w:szCs w:val="24"/>
        </w:rPr>
        <w:t>理工科、外语专业、艺术设计专业取</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5"/>
          <w:w w:val="95"/>
          <w:sz w:val="24"/>
          <w:szCs w:val="24"/>
        </w:rPr>
        <w:t>1.2，</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5"/>
          <w:w w:val="95"/>
          <w:sz w:val="24"/>
          <w:szCs w:val="24"/>
        </w:rPr>
        <w:t>非理工科专业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取</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1。</w:t>
      </w:r>
    </w:p>
    <w:p>
      <w:pPr>
        <w:spacing w:before="1" w:line="202"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注：每名教师指导专业毕业论文（设计）原则上不超过</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2"/>
          <w:sz w:val="24"/>
          <w:szCs w:val="24"/>
        </w:rPr>
        <w:t>8</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人。</w:t>
      </w:r>
    </w:p>
    <w:p>
      <w:pPr>
        <w:spacing w:before="151"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（二）教学建设工作量</w:t>
      </w:r>
    </w:p>
    <w:p>
      <w:pPr>
        <w:spacing w:before="180" w:line="295" w:lineRule="auto"/>
        <w:ind w:left="10" w:right="11"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1、计算范围：</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7"/>
          <w:sz w:val="24"/>
          <w:szCs w:val="24"/>
        </w:rPr>
        <w:t>课程建设、教材建设、实践教学基地建设、实验教学示范中心建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设、实验室建设等。</w:t>
      </w:r>
    </w:p>
    <w:p>
      <w:pPr>
        <w:spacing w:before="41" w:line="180"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教学基本建设工作量包含项目及建设的申报立项、建设、研究、验收评估等。</w:t>
      </w:r>
    </w:p>
    <w:p>
      <w:pPr>
        <w:spacing w:before="187"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2、计算办法：</w:t>
      </w:r>
    </w:p>
    <w:p>
      <w:pPr>
        <w:spacing w:before="178" w:line="309" w:lineRule="auto"/>
        <w:ind w:left="18" w:right="10"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（1）课程建设：包括精品课程、视频公开课、双语课程、新开课程、独立设置</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实验课程、空间课程建设等。</w:t>
      </w:r>
    </w:p>
    <w:p>
      <w:pPr>
        <w:sectPr>
          <w:footerReference r:id="rId163" w:type="default"/>
          <w:pgSz w:w="11905" w:h="16840"/>
          <w:pgMar w:top="1431" w:right="1577" w:bottom="1365" w:left="1578" w:header="0" w:footer="1241"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2"/>
        <w:gridCol w:w="1323"/>
        <w:gridCol w:w="1321"/>
        <w:gridCol w:w="943"/>
        <w:gridCol w:w="1322"/>
        <w:gridCol w:w="943"/>
        <w:gridCol w:w="15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1362" w:type="dxa"/>
            <w:tcBorders>
              <w:top w:val="single" w:color="000000" w:sz="6" w:space="0"/>
              <w:left w:val="single" w:color="000000" w:sz="6" w:space="0"/>
            </w:tcBorders>
            <w:vAlign w:val="top"/>
          </w:tcPr>
          <w:p>
            <w:pPr>
              <w:spacing w:before="93" w:line="180" w:lineRule="auto"/>
              <w:ind w:firstLine="4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2644" w:type="dxa"/>
            <w:gridSpan w:val="2"/>
            <w:tcBorders>
              <w:top w:val="single" w:color="000000" w:sz="6" w:space="0"/>
            </w:tcBorders>
            <w:vAlign w:val="top"/>
          </w:tcPr>
          <w:p>
            <w:pPr>
              <w:spacing w:before="95" w:line="180" w:lineRule="auto"/>
              <w:ind w:firstLine="102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2265" w:type="dxa"/>
            <w:gridSpan w:val="2"/>
            <w:tcBorders>
              <w:top w:val="single" w:color="000000" w:sz="6" w:space="0"/>
            </w:tcBorders>
            <w:vAlign w:val="top"/>
          </w:tcPr>
          <w:p>
            <w:pPr>
              <w:spacing w:before="97" w:line="180" w:lineRule="auto"/>
              <w:ind w:firstLine="87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省</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级</w:t>
            </w:r>
          </w:p>
        </w:tc>
        <w:tc>
          <w:tcPr>
            <w:tcW w:w="2463" w:type="dxa"/>
            <w:gridSpan w:val="2"/>
            <w:tcBorders>
              <w:top w:val="single" w:color="000000" w:sz="6" w:space="0"/>
              <w:right w:val="single" w:color="000000" w:sz="6" w:space="0"/>
            </w:tcBorders>
            <w:vAlign w:val="top"/>
          </w:tcPr>
          <w:p>
            <w:pPr>
              <w:spacing w:before="98" w:line="180" w:lineRule="auto"/>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校</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2" w:type="dxa"/>
            <w:tcBorders>
              <w:left w:val="single" w:color="000000" w:sz="6" w:space="0"/>
            </w:tcBorders>
            <w:vAlign w:val="top"/>
          </w:tcPr>
          <w:p>
            <w:pPr>
              <w:spacing w:before="88" w:line="180"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1323" w:type="dxa"/>
            <w:vAlign w:val="top"/>
          </w:tcPr>
          <w:p>
            <w:pPr>
              <w:spacing w:before="93" w:line="180" w:lineRule="auto"/>
              <w:ind w:firstLine="44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321" w:type="dxa"/>
            <w:vAlign w:val="top"/>
          </w:tcPr>
          <w:p>
            <w:pPr>
              <w:spacing w:before="89" w:line="180" w:lineRule="auto"/>
              <w:ind w:firstLine="23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验收合格</w:t>
            </w:r>
          </w:p>
        </w:tc>
        <w:tc>
          <w:tcPr>
            <w:tcW w:w="943" w:type="dxa"/>
            <w:vAlign w:val="top"/>
          </w:tcPr>
          <w:p>
            <w:pPr>
              <w:spacing w:before="93" w:line="180" w:lineRule="auto"/>
              <w:ind w:firstLine="26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322" w:type="dxa"/>
            <w:vAlign w:val="top"/>
          </w:tcPr>
          <w:p>
            <w:pPr>
              <w:spacing w:before="89" w:line="180" w:lineRule="auto"/>
              <w:ind w:firstLine="24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验收合格</w:t>
            </w:r>
          </w:p>
        </w:tc>
        <w:tc>
          <w:tcPr>
            <w:tcW w:w="943" w:type="dxa"/>
            <w:vAlign w:val="top"/>
          </w:tcPr>
          <w:p>
            <w:pPr>
              <w:spacing w:before="93" w:line="180" w:lineRule="auto"/>
              <w:ind w:firstLine="26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520" w:type="dxa"/>
            <w:tcBorders>
              <w:right w:val="single" w:color="000000" w:sz="6" w:space="0"/>
            </w:tcBorders>
            <w:vAlign w:val="top"/>
          </w:tcPr>
          <w:p>
            <w:pPr>
              <w:spacing w:before="89" w:line="180" w:lineRule="auto"/>
              <w:ind w:firstLine="3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验收合格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362" w:type="dxa"/>
            <w:tcBorders>
              <w:left w:val="single" w:color="000000" w:sz="6" w:space="0"/>
            </w:tcBorders>
            <w:vAlign w:val="top"/>
          </w:tcPr>
          <w:p>
            <w:pPr>
              <w:spacing w:before="95" w:line="180" w:lineRule="auto"/>
              <w:ind w:firstLine="4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1323" w:type="dxa"/>
            <w:vAlign w:val="top"/>
          </w:tcPr>
          <w:p>
            <w:pPr>
              <w:spacing w:before="124" w:line="180" w:lineRule="auto"/>
              <w:ind w:firstLine="5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300</w:t>
            </w:r>
          </w:p>
        </w:tc>
        <w:tc>
          <w:tcPr>
            <w:tcW w:w="1321" w:type="dxa"/>
            <w:vAlign w:val="top"/>
          </w:tcPr>
          <w:p>
            <w:pPr>
              <w:spacing w:before="124" w:line="180" w:lineRule="auto"/>
              <w:ind w:firstLine="50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300</w:t>
            </w:r>
          </w:p>
        </w:tc>
        <w:tc>
          <w:tcPr>
            <w:tcW w:w="943" w:type="dxa"/>
            <w:vAlign w:val="top"/>
          </w:tcPr>
          <w:p>
            <w:pPr>
              <w:spacing w:before="122"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150</w:t>
            </w:r>
          </w:p>
        </w:tc>
        <w:tc>
          <w:tcPr>
            <w:tcW w:w="1322" w:type="dxa"/>
            <w:vAlign w:val="top"/>
          </w:tcPr>
          <w:p>
            <w:pPr>
              <w:spacing w:before="122" w:line="180" w:lineRule="auto"/>
              <w:ind w:firstLine="52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150</w:t>
            </w:r>
          </w:p>
        </w:tc>
        <w:tc>
          <w:tcPr>
            <w:tcW w:w="943" w:type="dxa"/>
            <w:vAlign w:val="top"/>
          </w:tcPr>
          <w:p>
            <w:pPr>
              <w:spacing w:before="124" w:line="180" w:lineRule="auto"/>
              <w:ind w:firstLine="3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80</w:t>
            </w:r>
          </w:p>
        </w:tc>
        <w:tc>
          <w:tcPr>
            <w:tcW w:w="1520" w:type="dxa"/>
            <w:tcBorders>
              <w:right w:val="single" w:color="000000" w:sz="6" w:space="0"/>
            </w:tcBorders>
            <w:vAlign w:val="top"/>
          </w:tcPr>
          <w:p>
            <w:pPr>
              <w:spacing w:before="122" w:line="180" w:lineRule="auto"/>
              <w:ind w:firstLine="6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8734" w:type="dxa"/>
            <w:gridSpan w:val="7"/>
            <w:tcBorders>
              <w:left w:val="single" w:color="000000" w:sz="6" w:space="0"/>
              <w:bottom w:val="single" w:color="000000" w:sz="6" w:space="0"/>
              <w:right w:val="single" w:color="000000" w:sz="6" w:space="0"/>
            </w:tcBorders>
            <w:vAlign w:val="top"/>
          </w:tcPr>
          <w:p>
            <w:pPr>
              <w:spacing w:before="94" w:line="180" w:lineRule="auto"/>
              <w:ind w:firstLine="6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注：</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9"/>
                <w:sz w:val="21"/>
                <w:szCs w:val="21"/>
              </w:rPr>
              <w:t>1、年得分：未验收年得分</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9"/>
                <w:sz w:val="21"/>
                <w:szCs w:val="21"/>
              </w:rPr>
              <w:t>=</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9"/>
                <w:sz w:val="21"/>
                <w:szCs w:val="21"/>
              </w:rPr>
              <w:t>立项得分/建设年限。</w:t>
            </w:r>
          </w:p>
          <w:p>
            <w:pPr>
              <w:spacing w:before="133" w:line="193" w:lineRule="auto"/>
              <w:ind w:firstLine="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2、验收合格年得分</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2"/>
                <w:sz w:val="21"/>
                <w:szCs w:val="21"/>
              </w:rPr>
              <w:t>=</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立项得分/建设年限</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2"/>
                <w:sz w:val="21"/>
                <w:szCs w:val="21"/>
              </w:rPr>
              <w:t>+</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验收合格得分。</w:t>
            </w:r>
          </w:p>
          <w:p>
            <w:pPr>
              <w:spacing w:before="124" w:line="180" w:lineRule="auto"/>
              <w:ind w:firstLine="6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3、重复立项工作量依就高原则。</w:t>
            </w:r>
          </w:p>
          <w:p>
            <w:pPr>
              <w:spacing w:before="134" w:line="180" w:lineRule="auto"/>
              <w:ind w:firstLine="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4、在平台建设中已经给予奖励的不重复计算。</w:t>
            </w:r>
          </w:p>
        </w:tc>
      </w:tr>
    </w:tbl>
    <w:p>
      <w:pPr>
        <w:spacing w:before="153" w:line="254" w:lineRule="auto"/>
        <w:ind w:left="60" w:right="9" w:firstLine="29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教材建设（含</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6"/>
          <w:sz w:val="24"/>
          <w:szCs w:val="24"/>
        </w:rPr>
        <w:t>CAI</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软件</w:t>
      </w:r>
      <w:r>
        <w:rPr>
          <w:rFonts w:ascii="方正书宋简体" w:hAnsi="方正书宋简体" w:eastAsia="方正书宋简体" w:cs="方正书宋简体"/>
          <w:spacing w:val="-93"/>
          <w:sz w:val="24"/>
          <w:szCs w:val="24"/>
        </w:rPr>
        <w:t>）：</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6"/>
          <w:sz w:val="24"/>
          <w:szCs w:val="24"/>
        </w:rPr>
        <w:t>包括各级规划教材立项或获各级重点建设教材项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目和教材出版等。</w:t>
      </w:r>
    </w:p>
    <w:p>
      <w:pPr>
        <w:spacing w:line="21"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3"/>
        <w:gridCol w:w="2314"/>
        <w:gridCol w:w="2123"/>
        <w:gridCol w:w="2123"/>
        <w:gridCol w:w="13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13" w:type="dxa"/>
            <w:tcBorders>
              <w:top w:val="single" w:color="000000" w:sz="6" w:space="0"/>
              <w:left w:val="single" w:color="000000" w:sz="6" w:space="0"/>
            </w:tcBorders>
            <w:vAlign w:val="top"/>
          </w:tcPr>
          <w:p>
            <w:pPr>
              <w:spacing w:before="93" w:line="180"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2314" w:type="dxa"/>
            <w:tcBorders>
              <w:top w:val="single" w:color="000000" w:sz="6" w:space="0"/>
            </w:tcBorders>
            <w:vAlign w:val="top"/>
          </w:tcPr>
          <w:p>
            <w:pPr>
              <w:spacing w:before="95" w:line="180" w:lineRule="auto"/>
              <w:ind w:firstLine="8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2123" w:type="dxa"/>
            <w:tcBorders>
              <w:top w:val="single" w:color="000000" w:sz="6" w:space="0"/>
            </w:tcBorders>
            <w:vAlign w:val="top"/>
          </w:tcPr>
          <w:p>
            <w:pPr>
              <w:spacing w:before="97" w:line="180" w:lineRule="auto"/>
              <w:ind w:firstLine="7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省</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级</w:t>
            </w:r>
          </w:p>
        </w:tc>
        <w:tc>
          <w:tcPr>
            <w:tcW w:w="2123" w:type="dxa"/>
            <w:tcBorders>
              <w:top w:val="single" w:color="000000" w:sz="6" w:space="0"/>
            </w:tcBorders>
            <w:vAlign w:val="top"/>
          </w:tcPr>
          <w:p>
            <w:pPr>
              <w:spacing w:before="98" w:line="180" w:lineRule="auto"/>
              <w:ind w:firstLine="80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校</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级</w:t>
            </w:r>
          </w:p>
        </w:tc>
        <w:tc>
          <w:tcPr>
            <w:tcW w:w="1361" w:type="dxa"/>
            <w:tcBorders>
              <w:top w:val="single" w:color="000000" w:sz="6" w:space="0"/>
              <w:right w:val="single" w:color="000000" w:sz="6" w:space="0"/>
            </w:tcBorders>
            <w:vAlign w:val="top"/>
          </w:tcPr>
          <w:p>
            <w:pPr>
              <w:spacing w:before="95" w:line="180" w:lineRule="auto"/>
              <w:ind w:firstLine="2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一般出版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13" w:type="dxa"/>
            <w:tcBorders>
              <w:left w:val="single" w:color="000000" w:sz="6" w:space="0"/>
            </w:tcBorders>
            <w:vAlign w:val="top"/>
          </w:tcPr>
          <w:p>
            <w:pPr>
              <w:spacing w:before="92"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2314" w:type="dxa"/>
            <w:vAlign w:val="top"/>
          </w:tcPr>
          <w:p>
            <w:pPr>
              <w:spacing w:before="121" w:line="180" w:lineRule="auto"/>
              <w:ind w:firstLine="99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200</w:t>
            </w:r>
          </w:p>
        </w:tc>
        <w:tc>
          <w:tcPr>
            <w:tcW w:w="2123" w:type="dxa"/>
            <w:vAlign w:val="top"/>
          </w:tcPr>
          <w:p>
            <w:pPr>
              <w:spacing w:before="121" w:line="180" w:lineRule="auto"/>
              <w:ind w:firstLine="923"/>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100</w:t>
            </w:r>
          </w:p>
        </w:tc>
        <w:tc>
          <w:tcPr>
            <w:tcW w:w="2123" w:type="dxa"/>
            <w:vAlign w:val="top"/>
          </w:tcPr>
          <w:p>
            <w:pPr>
              <w:spacing w:before="118" w:line="180" w:lineRule="auto"/>
              <w:ind w:firstLine="9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1361" w:type="dxa"/>
            <w:tcBorders>
              <w:right w:val="single" w:color="000000" w:sz="6" w:space="0"/>
            </w:tcBorders>
            <w:vAlign w:val="top"/>
          </w:tcPr>
          <w:p>
            <w:pPr>
              <w:spacing w:before="118" w:line="180" w:lineRule="auto"/>
              <w:ind w:firstLine="57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3" w:hRule="atLeast"/>
        </w:trPr>
        <w:tc>
          <w:tcPr>
            <w:tcW w:w="8734" w:type="dxa"/>
            <w:gridSpan w:val="5"/>
            <w:tcBorders>
              <w:left w:val="single" w:color="000000" w:sz="6" w:space="0"/>
              <w:bottom w:val="single" w:color="000000" w:sz="6" w:space="0"/>
              <w:right w:val="single" w:color="000000" w:sz="6" w:space="0"/>
            </w:tcBorders>
            <w:vAlign w:val="top"/>
          </w:tcPr>
          <w:p>
            <w:pPr>
              <w:spacing w:before="87" w:line="251" w:lineRule="auto"/>
              <w:ind w:left="56" w:right="49" w:firstLine="4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注：</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3"/>
                <w:sz w:val="21"/>
                <w:szCs w:val="21"/>
              </w:rPr>
              <w:t>1、国家级教材建设项目为教育部公布的“十一五”或“十二五”等规划教材或精品</w:t>
            </w:r>
            <w:r>
              <w:rPr>
                <w:rFonts w:ascii="方正书宋简体" w:hAnsi="方正书宋简体" w:eastAsia="方正书宋简体" w:cs="方正书宋简体"/>
                <w:sz w:val="21"/>
                <w:szCs w:val="21"/>
              </w:rPr>
              <w:t xml:space="preserve"> 教材、教育部审批立项的教材以及获得国家级奖励的教材等；省级教材建设项目为省教育厅立</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z w:val="21"/>
                <w:szCs w:val="21"/>
              </w:rPr>
              <w:t>项的省重点教材以及获得省、部级奖励的教材等；校级教材建设项目为学校立项的教材建设项</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rPr>
              <w:t>目以及获得校级奖励的教材；</w:t>
            </w:r>
          </w:p>
          <w:p>
            <w:pPr>
              <w:spacing w:before="53" w:line="180" w:lineRule="auto"/>
              <w:ind w:firstLine="53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2、得分在项目结题或出版后计算。</w:t>
            </w:r>
          </w:p>
          <w:p>
            <w:pPr>
              <w:spacing w:before="130" w:line="251" w:lineRule="auto"/>
              <w:ind w:left="57" w:firstLine="4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3、重复立项或获奖时取高者，</w:t>
            </w:r>
            <w:r>
              <w:rPr>
                <w:rFonts w:ascii="方正书宋简体" w:hAnsi="方正书宋简体" w:eastAsia="方正书宋简体" w:cs="方正书宋简体"/>
                <w:spacing w:val="25"/>
                <w:sz w:val="21"/>
                <w:szCs w:val="21"/>
              </w:rPr>
              <w:t xml:space="preserve">  </w:t>
            </w:r>
            <w:r>
              <w:rPr>
                <w:rFonts w:ascii="方正书宋简体" w:hAnsi="方正书宋简体" w:eastAsia="方正书宋简体" w:cs="方正书宋简体"/>
                <w:spacing w:val="-10"/>
                <w:sz w:val="21"/>
                <w:szCs w:val="21"/>
              </w:rPr>
              <w:t>包含在精品课程建设中的教材，</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10"/>
                <w:sz w:val="21"/>
                <w:szCs w:val="21"/>
              </w:rPr>
              <w:t>归到精品课程建设中计算，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教材建设中不重复计算。</w:t>
            </w:r>
          </w:p>
        </w:tc>
      </w:tr>
    </w:tbl>
    <w:p>
      <w:pPr>
        <w:spacing w:before="156"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（3）实践教学基地建设</w:t>
      </w:r>
    </w:p>
    <w:p>
      <w:pPr>
        <w:spacing w:line="36"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1059"/>
        <w:gridCol w:w="1193"/>
        <w:gridCol w:w="1016"/>
        <w:gridCol w:w="1261"/>
        <w:gridCol w:w="766"/>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87" w:type="dxa"/>
            <w:tcBorders>
              <w:top w:val="single" w:color="000000" w:sz="6" w:space="0"/>
              <w:left w:val="single" w:color="000000" w:sz="6" w:space="0"/>
            </w:tcBorders>
            <w:vAlign w:val="top"/>
          </w:tcPr>
          <w:p>
            <w:pPr>
              <w:spacing w:before="93"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2252" w:type="dxa"/>
            <w:gridSpan w:val="2"/>
            <w:tcBorders>
              <w:top w:val="single" w:color="000000" w:sz="6" w:space="0"/>
            </w:tcBorders>
            <w:vAlign w:val="top"/>
          </w:tcPr>
          <w:p>
            <w:pPr>
              <w:spacing w:before="95" w:line="180" w:lineRule="auto"/>
              <w:ind w:firstLine="829"/>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2277" w:type="dxa"/>
            <w:gridSpan w:val="2"/>
            <w:tcBorders>
              <w:top w:val="single" w:color="000000" w:sz="6" w:space="0"/>
            </w:tcBorders>
            <w:vAlign w:val="top"/>
          </w:tcPr>
          <w:p>
            <w:pPr>
              <w:spacing w:before="97" w:line="180" w:lineRule="auto"/>
              <w:ind w:firstLine="93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省级</w:t>
            </w:r>
          </w:p>
        </w:tc>
        <w:tc>
          <w:tcPr>
            <w:tcW w:w="2018" w:type="dxa"/>
            <w:gridSpan w:val="2"/>
            <w:tcBorders>
              <w:top w:val="single" w:color="000000" w:sz="6" w:space="0"/>
              <w:right w:val="single" w:color="000000" w:sz="6" w:space="0"/>
            </w:tcBorders>
            <w:vAlign w:val="top"/>
          </w:tcPr>
          <w:p>
            <w:pPr>
              <w:spacing w:before="98" w:line="180" w:lineRule="auto"/>
              <w:ind w:firstLine="79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187" w:type="dxa"/>
            <w:tcBorders>
              <w:left w:val="single" w:color="000000" w:sz="6" w:space="0"/>
            </w:tcBorders>
            <w:vAlign w:val="top"/>
          </w:tcPr>
          <w:p>
            <w:pPr>
              <w:spacing w:before="88" w:line="180" w:lineRule="auto"/>
              <w:ind w:firstLine="8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1059" w:type="dxa"/>
            <w:vAlign w:val="top"/>
          </w:tcPr>
          <w:p>
            <w:pPr>
              <w:spacing w:before="93" w:line="180" w:lineRule="auto"/>
              <w:ind w:firstLine="31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193" w:type="dxa"/>
            <w:vAlign w:val="top"/>
          </w:tcPr>
          <w:p>
            <w:pPr>
              <w:spacing w:before="92" w:line="180" w:lineRule="auto"/>
              <w:ind w:firstLine="17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1016" w:type="dxa"/>
            <w:vAlign w:val="top"/>
          </w:tcPr>
          <w:p>
            <w:pPr>
              <w:spacing w:before="93"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立项</w:t>
            </w:r>
          </w:p>
        </w:tc>
        <w:tc>
          <w:tcPr>
            <w:tcW w:w="1261" w:type="dxa"/>
            <w:vAlign w:val="top"/>
          </w:tcPr>
          <w:p>
            <w:pPr>
              <w:spacing w:before="92" w:line="180" w:lineRule="auto"/>
              <w:ind w:firstLine="2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766" w:type="dxa"/>
            <w:vAlign w:val="top"/>
          </w:tcPr>
          <w:p>
            <w:pPr>
              <w:spacing w:before="93" w:line="180" w:lineRule="auto"/>
              <w:ind w:firstLine="17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252" w:type="dxa"/>
            <w:tcBorders>
              <w:right w:val="single" w:color="000000" w:sz="6" w:space="0"/>
            </w:tcBorders>
            <w:vAlign w:val="top"/>
          </w:tcPr>
          <w:p>
            <w:pPr>
              <w:spacing w:before="92" w:line="180" w:lineRule="auto"/>
              <w:ind w:firstLine="2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87" w:type="dxa"/>
            <w:tcBorders>
              <w:left w:val="single" w:color="000000" w:sz="6" w:space="0"/>
            </w:tcBorders>
            <w:vAlign w:val="top"/>
          </w:tcPr>
          <w:p>
            <w:pPr>
              <w:spacing w:before="95" w:line="180" w:lineRule="auto"/>
              <w:ind w:firstLine="8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1059" w:type="dxa"/>
            <w:vAlign w:val="top"/>
          </w:tcPr>
          <w:p>
            <w:pPr>
              <w:spacing w:before="124"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200</w:t>
            </w:r>
          </w:p>
        </w:tc>
        <w:tc>
          <w:tcPr>
            <w:tcW w:w="1193" w:type="dxa"/>
            <w:vAlign w:val="top"/>
          </w:tcPr>
          <w:p>
            <w:pPr>
              <w:spacing w:before="124" w:line="180" w:lineRule="auto"/>
              <w:ind w:firstLine="45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100</w:t>
            </w:r>
          </w:p>
        </w:tc>
        <w:tc>
          <w:tcPr>
            <w:tcW w:w="1016" w:type="dxa"/>
            <w:vAlign w:val="top"/>
          </w:tcPr>
          <w:p>
            <w:pPr>
              <w:spacing w:before="124"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100</w:t>
            </w:r>
          </w:p>
        </w:tc>
        <w:tc>
          <w:tcPr>
            <w:tcW w:w="1261" w:type="dxa"/>
            <w:vAlign w:val="top"/>
          </w:tcPr>
          <w:p>
            <w:pPr>
              <w:spacing w:before="122"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766" w:type="dxa"/>
            <w:vAlign w:val="top"/>
          </w:tcPr>
          <w:p>
            <w:pPr>
              <w:spacing w:before="124"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1252" w:type="dxa"/>
            <w:tcBorders>
              <w:right w:val="single" w:color="000000" w:sz="6" w:space="0"/>
            </w:tcBorders>
            <w:vAlign w:val="top"/>
          </w:tcPr>
          <w:p>
            <w:pPr>
              <w:spacing w:before="124" w:line="180" w:lineRule="auto"/>
              <w:ind w:firstLine="5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5" w:hRule="atLeast"/>
        </w:trPr>
        <w:tc>
          <w:tcPr>
            <w:tcW w:w="8734" w:type="dxa"/>
            <w:gridSpan w:val="7"/>
            <w:tcBorders>
              <w:left w:val="single" w:color="000000" w:sz="6" w:space="0"/>
              <w:bottom w:val="single" w:color="000000" w:sz="6" w:space="0"/>
              <w:right w:val="single" w:color="000000" w:sz="6" w:space="0"/>
            </w:tcBorders>
            <w:vAlign w:val="top"/>
          </w:tcPr>
          <w:p>
            <w:pPr>
              <w:spacing w:before="94"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注：</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9"/>
                <w:sz w:val="21"/>
                <w:szCs w:val="21"/>
              </w:rPr>
              <w:t>1、未验收年得分＝立项得分/建设年限</w:t>
            </w:r>
          </w:p>
          <w:p>
            <w:pPr>
              <w:spacing w:before="136" w:line="362" w:lineRule="exact"/>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验收合格年得分＝立项得分/建设年限＋验收合格得分</w:t>
            </w:r>
          </w:p>
          <w:p>
            <w:pPr>
              <w:spacing w:line="204"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2、重复立项工作量依就高原则。</w:t>
            </w:r>
          </w:p>
          <w:p>
            <w:pPr>
              <w:spacing w:before="104"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3、在平台建设中已经给予奖励的不重复计算。</w:t>
            </w:r>
          </w:p>
        </w:tc>
      </w:tr>
    </w:tbl>
    <w:p>
      <w:pPr>
        <w:spacing w:before="156"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（4）实验教学示范中心建设</w:t>
      </w:r>
    </w:p>
    <w:p>
      <w:pPr>
        <w:spacing w:line="3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1059"/>
        <w:gridCol w:w="1120"/>
        <w:gridCol w:w="1089"/>
        <w:gridCol w:w="1090"/>
        <w:gridCol w:w="937"/>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187" w:type="dxa"/>
            <w:tcBorders>
              <w:top w:val="single" w:color="000000" w:sz="6" w:space="0"/>
              <w:left w:val="single" w:color="000000" w:sz="6" w:space="0"/>
            </w:tcBorders>
            <w:vAlign w:val="top"/>
          </w:tcPr>
          <w:p>
            <w:pPr>
              <w:spacing w:before="93"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2179" w:type="dxa"/>
            <w:gridSpan w:val="2"/>
            <w:tcBorders>
              <w:top w:val="single" w:color="000000" w:sz="6" w:space="0"/>
            </w:tcBorders>
            <w:vAlign w:val="top"/>
          </w:tcPr>
          <w:p>
            <w:pPr>
              <w:spacing w:before="95" w:line="180" w:lineRule="auto"/>
              <w:ind w:firstLine="79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2179" w:type="dxa"/>
            <w:gridSpan w:val="2"/>
            <w:tcBorders>
              <w:top w:val="single" w:color="000000" w:sz="6" w:space="0"/>
            </w:tcBorders>
            <w:vAlign w:val="top"/>
          </w:tcPr>
          <w:p>
            <w:pPr>
              <w:spacing w:before="97" w:line="180" w:lineRule="auto"/>
              <w:ind w:firstLine="8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省级</w:t>
            </w:r>
          </w:p>
        </w:tc>
        <w:tc>
          <w:tcPr>
            <w:tcW w:w="2189" w:type="dxa"/>
            <w:gridSpan w:val="2"/>
            <w:tcBorders>
              <w:top w:val="single" w:color="000000" w:sz="6" w:space="0"/>
              <w:right w:val="single" w:color="000000" w:sz="6" w:space="0"/>
            </w:tcBorders>
            <w:vAlign w:val="top"/>
          </w:tcPr>
          <w:p>
            <w:pPr>
              <w:spacing w:before="98" w:line="180" w:lineRule="auto"/>
              <w:ind w:firstLine="88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87" w:type="dxa"/>
            <w:tcBorders>
              <w:left w:val="single" w:color="000000" w:sz="6" w:space="0"/>
            </w:tcBorders>
            <w:vAlign w:val="top"/>
          </w:tcPr>
          <w:p>
            <w:pPr>
              <w:spacing w:before="88" w:line="180" w:lineRule="auto"/>
              <w:ind w:firstLine="8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1059" w:type="dxa"/>
            <w:vAlign w:val="top"/>
          </w:tcPr>
          <w:p>
            <w:pPr>
              <w:spacing w:before="93" w:line="180" w:lineRule="auto"/>
              <w:ind w:firstLine="31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120" w:type="dxa"/>
            <w:vAlign w:val="top"/>
          </w:tcPr>
          <w:p>
            <w:pPr>
              <w:spacing w:before="92" w:line="180" w:lineRule="auto"/>
              <w:ind w:firstLine="1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1089" w:type="dxa"/>
            <w:vAlign w:val="top"/>
          </w:tcPr>
          <w:p>
            <w:pPr>
              <w:spacing w:before="93"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立项</w:t>
            </w:r>
          </w:p>
        </w:tc>
        <w:tc>
          <w:tcPr>
            <w:tcW w:w="1090" w:type="dxa"/>
            <w:vAlign w:val="top"/>
          </w:tcPr>
          <w:p>
            <w:pPr>
              <w:spacing w:before="92" w:line="180" w:lineRule="auto"/>
              <w:ind w:firstLine="12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937" w:type="dxa"/>
            <w:vAlign w:val="top"/>
          </w:tcPr>
          <w:p>
            <w:pPr>
              <w:spacing w:before="93" w:line="180" w:lineRule="auto"/>
              <w:ind w:firstLine="2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立项</w:t>
            </w:r>
          </w:p>
        </w:tc>
        <w:tc>
          <w:tcPr>
            <w:tcW w:w="1252" w:type="dxa"/>
            <w:tcBorders>
              <w:right w:val="single" w:color="000000" w:sz="6" w:space="0"/>
            </w:tcBorders>
            <w:vAlign w:val="top"/>
          </w:tcPr>
          <w:p>
            <w:pPr>
              <w:spacing w:before="92" w:line="180" w:lineRule="auto"/>
              <w:ind w:firstLine="2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87" w:type="dxa"/>
            <w:tcBorders>
              <w:left w:val="single" w:color="000000" w:sz="6" w:space="0"/>
            </w:tcBorders>
            <w:vAlign w:val="top"/>
          </w:tcPr>
          <w:p>
            <w:pPr>
              <w:spacing w:before="95" w:line="180" w:lineRule="auto"/>
              <w:ind w:firstLine="8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1059" w:type="dxa"/>
            <w:vAlign w:val="top"/>
          </w:tcPr>
          <w:p>
            <w:pPr>
              <w:spacing w:before="124"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200</w:t>
            </w:r>
          </w:p>
        </w:tc>
        <w:tc>
          <w:tcPr>
            <w:tcW w:w="1120" w:type="dxa"/>
            <w:vAlign w:val="top"/>
          </w:tcPr>
          <w:p>
            <w:pPr>
              <w:spacing w:before="124" w:line="180" w:lineRule="auto"/>
              <w:ind w:firstLine="42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100</w:t>
            </w:r>
          </w:p>
        </w:tc>
        <w:tc>
          <w:tcPr>
            <w:tcW w:w="1089" w:type="dxa"/>
            <w:vAlign w:val="top"/>
          </w:tcPr>
          <w:p>
            <w:pPr>
              <w:spacing w:before="124" w:line="180" w:lineRule="auto"/>
              <w:ind w:firstLine="406"/>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100</w:t>
            </w:r>
          </w:p>
        </w:tc>
        <w:tc>
          <w:tcPr>
            <w:tcW w:w="1090" w:type="dxa"/>
            <w:vAlign w:val="top"/>
          </w:tcPr>
          <w:p>
            <w:pPr>
              <w:spacing w:before="122"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937" w:type="dxa"/>
            <w:vAlign w:val="top"/>
          </w:tcPr>
          <w:p>
            <w:pPr>
              <w:spacing w:before="124"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1252" w:type="dxa"/>
            <w:tcBorders>
              <w:right w:val="single" w:color="000000" w:sz="6" w:space="0"/>
            </w:tcBorders>
            <w:vAlign w:val="top"/>
          </w:tcPr>
          <w:p>
            <w:pPr>
              <w:spacing w:before="124" w:line="180" w:lineRule="auto"/>
              <w:ind w:firstLine="5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8734" w:type="dxa"/>
            <w:gridSpan w:val="7"/>
            <w:tcBorders>
              <w:left w:val="single" w:color="000000" w:sz="6" w:space="0"/>
              <w:bottom w:val="single" w:color="000000" w:sz="6" w:space="0"/>
              <w:right w:val="single" w:color="000000" w:sz="6" w:space="0"/>
            </w:tcBorders>
            <w:vAlign w:val="top"/>
          </w:tcPr>
          <w:p>
            <w:pPr>
              <w:spacing w:before="94"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注：</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9"/>
                <w:sz w:val="21"/>
                <w:szCs w:val="21"/>
              </w:rPr>
              <w:t>1、未验收年得分＝立项得分/建设年限</w:t>
            </w:r>
          </w:p>
          <w:p>
            <w:pPr>
              <w:spacing w:before="136" w:line="362" w:lineRule="exact"/>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验收合格年得分＝立项得分/建设年限＋验收合格得分</w:t>
            </w:r>
          </w:p>
          <w:p>
            <w:pPr>
              <w:spacing w:line="204"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2、重复立项工作量依就高原则。</w:t>
            </w:r>
          </w:p>
          <w:p>
            <w:pPr>
              <w:spacing w:before="104"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3、在平台建设中已经给予奖励的不重复计算。</w:t>
            </w:r>
          </w:p>
        </w:tc>
      </w:tr>
    </w:tbl>
    <w:p>
      <w:pPr>
        <w:spacing w:line="280" w:lineRule="exact"/>
        <w:rPr>
          <w:rFonts w:ascii="Malgun Gothic"/>
          <w:sz w:val="16"/>
        </w:rPr>
      </w:pPr>
    </w:p>
    <w:p>
      <w:pPr>
        <w:sectPr>
          <w:footerReference r:id="rId164" w:type="default"/>
          <w:pgSz w:w="11905" w:h="16840"/>
          <w:pgMar w:top="1431" w:right="1577" w:bottom="1365" w:left="1578" w:header="0" w:footer="1241" w:gutter="0"/>
          <w:cols w:space="720" w:num="1"/>
        </w:sectPr>
      </w:pPr>
    </w:p>
    <w:p>
      <w:pPr>
        <w:spacing w:before="425"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（5）实验室（本科教学）项目建设</w:t>
      </w:r>
    </w:p>
    <w:p>
      <w:pPr>
        <w:spacing w:before="195" w:line="180"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实验室立项计</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
          <w:sz w:val="24"/>
          <w:szCs w:val="24"/>
        </w:rPr>
        <w:t>50</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课时，验收评估合格计</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50</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课时。</w:t>
      </w:r>
    </w:p>
    <w:p>
      <w:pPr>
        <w:spacing w:before="192"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（三）其他特殊工作量</w:t>
      </w:r>
    </w:p>
    <w:p>
      <w:pPr>
        <w:spacing w:before="192" w:line="180" w:lineRule="auto"/>
        <w:ind w:firstLine="51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1、指导学科和专业技能竞赛（竞赛方案的制定、竞赛活动的组织和培训）</w:t>
      </w:r>
    </w:p>
    <w:p>
      <w:pPr>
        <w:spacing w:line="36"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5"/>
        <w:gridCol w:w="1435"/>
        <w:gridCol w:w="1254"/>
        <w:gridCol w:w="1435"/>
        <w:gridCol w:w="1076"/>
        <w:gridCol w:w="1433"/>
        <w:gridCol w:w="1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835" w:type="dxa"/>
            <w:tcBorders>
              <w:top w:val="single" w:color="000000" w:sz="6" w:space="0"/>
              <w:left w:val="single" w:color="000000" w:sz="6" w:space="0"/>
            </w:tcBorders>
            <w:vAlign w:val="top"/>
          </w:tcPr>
          <w:p>
            <w:pPr>
              <w:spacing w:before="81" w:line="180" w:lineRule="auto"/>
              <w:ind w:firstLine="1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2689" w:type="dxa"/>
            <w:gridSpan w:val="2"/>
            <w:tcBorders>
              <w:top w:val="single" w:color="000000" w:sz="6" w:space="0"/>
            </w:tcBorders>
            <w:vAlign w:val="top"/>
          </w:tcPr>
          <w:p>
            <w:pPr>
              <w:spacing w:before="79" w:line="180" w:lineRule="auto"/>
              <w:ind w:firstLine="3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教育厅规定竞赛项目</w:t>
            </w:r>
          </w:p>
        </w:tc>
        <w:tc>
          <w:tcPr>
            <w:tcW w:w="2511" w:type="dxa"/>
            <w:gridSpan w:val="2"/>
            <w:tcBorders>
              <w:top w:val="single" w:color="000000" w:sz="6" w:space="0"/>
            </w:tcBorders>
            <w:vAlign w:val="top"/>
          </w:tcPr>
          <w:p>
            <w:pPr>
              <w:spacing w:before="79" w:line="180" w:lineRule="auto"/>
              <w:ind w:firstLine="4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学校认定竞赛项目</w:t>
            </w:r>
          </w:p>
        </w:tc>
        <w:tc>
          <w:tcPr>
            <w:tcW w:w="2699" w:type="dxa"/>
            <w:gridSpan w:val="2"/>
            <w:tcBorders>
              <w:top w:val="single" w:color="000000" w:sz="6" w:space="0"/>
              <w:right w:val="single" w:color="000000" w:sz="6" w:space="0"/>
            </w:tcBorders>
            <w:vAlign w:val="top"/>
          </w:tcPr>
          <w:p>
            <w:pPr>
              <w:spacing w:before="80" w:line="180" w:lineRule="auto"/>
              <w:ind w:firstLine="5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其它专业竞赛项目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35" w:type="dxa"/>
            <w:tcBorders>
              <w:left w:val="single" w:color="000000" w:sz="6" w:space="0"/>
            </w:tcBorders>
            <w:vAlign w:val="top"/>
          </w:tcPr>
          <w:p>
            <w:pPr>
              <w:spacing w:before="76" w:line="180" w:lineRule="auto"/>
              <w:ind w:firstLine="2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1435" w:type="dxa"/>
            <w:vAlign w:val="top"/>
          </w:tcPr>
          <w:p>
            <w:pPr>
              <w:spacing w:before="79"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省级及以上</w:t>
            </w:r>
          </w:p>
        </w:tc>
        <w:tc>
          <w:tcPr>
            <w:tcW w:w="1254" w:type="dxa"/>
            <w:vAlign w:val="top"/>
          </w:tcPr>
          <w:p>
            <w:pPr>
              <w:spacing w:before="81" w:line="180" w:lineRule="auto"/>
              <w:ind w:firstLine="4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c>
          <w:tcPr>
            <w:tcW w:w="1435" w:type="dxa"/>
            <w:vAlign w:val="top"/>
          </w:tcPr>
          <w:p>
            <w:pPr>
              <w:spacing w:before="79" w:line="180"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省级及以上</w:t>
            </w:r>
          </w:p>
        </w:tc>
        <w:tc>
          <w:tcPr>
            <w:tcW w:w="1076" w:type="dxa"/>
            <w:vAlign w:val="top"/>
          </w:tcPr>
          <w:p>
            <w:pPr>
              <w:spacing w:before="81" w:line="180" w:lineRule="auto"/>
              <w:ind w:firstLine="3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c>
          <w:tcPr>
            <w:tcW w:w="1433" w:type="dxa"/>
            <w:vAlign w:val="top"/>
          </w:tcPr>
          <w:p>
            <w:pPr>
              <w:spacing w:before="79"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省级及以上</w:t>
            </w:r>
          </w:p>
        </w:tc>
        <w:tc>
          <w:tcPr>
            <w:tcW w:w="1266" w:type="dxa"/>
            <w:tcBorders>
              <w:right w:val="single" w:color="000000" w:sz="6" w:space="0"/>
            </w:tcBorders>
            <w:vAlign w:val="top"/>
          </w:tcPr>
          <w:p>
            <w:pPr>
              <w:spacing w:before="81" w:line="180" w:lineRule="auto"/>
              <w:ind w:firstLine="42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835" w:type="dxa"/>
            <w:tcBorders>
              <w:left w:val="single" w:color="000000" w:sz="6" w:space="0"/>
            </w:tcBorders>
            <w:vAlign w:val="top"/>
          </w:tcPr>
          <w:p>
            <w:pPr>
              <w:spacing w:before="83" w:line="180" w:lineRule="auto"/>
              <w:ind w:firstLine="1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1435" w:type="dxa"/>
            <w:vAlign w:val="top"/>
          </w:tcPr>
          <w:p>
            <w:pPr>
              <w:spacing w:before="112" w:line="180" w:lineRule="auto"/>
              <w:ind w:firstLine="57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100</w:t>
            </w:r>
          </w:p>
        </w:tc>
        <w:tc>
          <w:tcPr>
            <w:tcW w:w="1254" w:type="dxa"/>
            <w:vAlign w:val="top"/>
          </w:tcPr>
          <w:p>
            <w:pPr>
              <w:spacing w:before="110" w:line="180" w:lineRule="auto"/>
              <w:ind w:firstLine="52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1435" w:type="dxa"/>
            <w:vAlign w:val="top"/>
          </w:tcPr>
          <w:p>
            <w:pPr>
              <w:spacing w:before="110" w:line="180" w:lineRule="auto"/>
              <w:ind w:firstLine="6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1076" w:type="dxa"/>
            <w:vAlign w:val="top"/>
          </w:tcPr>
          <w:p>
            <w:pPr>
              <w:spacing w:before="112" w:line="180" w:lineRule="auto"/>
              <w:ind w:firstLine="43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c>
          <w:tcPr>
            <w:tcW w:w="1433" w:type="dxa"/>
            <w:vAlign w:val="top"/>
          </w:tcPr>
          <w:p>
            <w:pPr>
              <w:spacing w:before="112" w:line="180" w:lineRule="auto"/>
              <w:ind w:firstLine="61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1266" w:type="dxa"/>
            <w:tcBorders>
              <w:right w:val="single" w:color="000000" w:sz="6" w:space="0"/>
            </w:tcBorders>
            <w:vAlign w:val="top"/>
          </w:tcPr>
          <w:p>
            <w:pPr>
              <w:spacing w:before="112" w:line="180" w:lineRule="auto"/>
              <w:ind w:firstLine="546"/>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8734" w:type="dxa"/>
            <w:gridSpan w:val="7"/>
            <w:tcBorders>
              <w:left w:val="single" w:color="000000" w:sz="6" w:space="0"/>
              <w:bottom w:val="single" w:color="000000" w:sz="6" w:space="0"/>
              <w:right w:val="single" w:color="000000" w:sz="6" w:space="0"/>
            </w:tcBorders>
            <w:vAlign w:val="top"/>
          </w:tcPr>
          <w:p>
            <w:pPr>
              <w:spacing w:before="79" w:line="193"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注：</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0"/>
                <w:sz w:val="21"/>
                <w:szCs w:val="21"/>
              </w:rPr>
              <w:t>1、所有竞赛项目须经教务处认可方可执行；</w:t>
            </w:r>
          </w:p>
          <w:p>
            <w:pPr>
              <w:spacing w:before="110"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2、原则上省级以上竞赛项目须先进行校级选拔。</w:t>
            </w:r>
          </w:p>
          <w:p>
            <w:pPr>
              <w:spacing w:before="127"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3、重复项目工作量按就高原则核算。</w:t>
            </w:r>
          </w:p>
        </w:tc>
      </w:tr>
    </w:tbl>
    <w:p>
      <w:pPr>
        <w:spacing w:before="160"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2、指导大学生创新项目（项目的申报、指导、检查、总结验收）</w:t>
      </w:r>
    </w:p>
    <w:p>
      <w:pPr>
        <w:spacing w:line="33"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87"/>
        <w:gridCol w:w="897"/>
        <w:gridCol w:w="1282"/>
        <w:gridCol w:w="940"/>
        <w:gridCol w:w="1239"/>
        <w:gridCol w:w="937"/>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187" w:type="dxa"/>
            <w:tcBorders>
              <w:top w:val="single" w:color="000000" w:sz="6" w:space="0"/>
              <w:left w:val="single" w:color="000000" w:sz="6" w:space="0"/>
            </w:tcBorders>
            <w:vAlign w:val="top"/>
          </w:tcPr>
          <w:p>
            <w:pPr>
              <w:spacing w:before="69" w:line="180" w:lineRule="auto"/>
              <w:ind w:firstLine="8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2179" w:type="dxa"/>
            <w:gridSpan w:val="2"/>
            <w:tcBorders>
              <w:top w:val="single" w:color="000000" w:sz="6" w:space="0"/>
            </w:tcBorders>
            <w:vAlign w:val="top"/>
          </w:tcPr>
          <w:p>
            <w:pPr>
              <w:spacing w:before="71" w:line="180" w:lineRule="auto"/>
              <w:ind w:firstLine="79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国家级</w:t>
            </w:r>
          </w:p>
        </w:tc>
        <w:tc>
          <w:tcPr>
            <w:tcW w:w="2179" w:type="dxa"/>
            <w:gridSpan w:val="2"/>
            <w:tcBorders>
              <w:top w:val="single" w:color="000000" w:sz="6" w:space="0"/>
            </w:tcBorders>
            <w:vAlign w:val="top"/>
          </w:tcPr>
          <w:p>
            <w:pPr>
              <w:spacing w:before="73" w:line="180" w:lineRule="auto"/>
              <w:ind w:firstLine="8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省级</w:t>
            </w:r>
          </w:p>
        </w:tc>
        <w:tc>
          <w:tcPr>
            <w:tcW w:w="2189" w:type="dxa"/>
            <w:gridSpan w:val="2"/>
            <w:tcBorders>
              <w:top w:val="single" w:color="000000" w:sz="6" w:space="0"/>
              <w:right w:val="single" w:color="000000" w:sz="6" w:space="0"/>
            </w:tcBorders>
            <w:vAlign w:val="top"/>
          </w:tcPr>
          <w:p>
            <w:pPr>
              <w:spacing w:before="74" w:line="180" w:lineRule="auto"/>
              <w:ind w:firstLine="88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187" w:type="dxa"/>
            <w:tcBorders>
              <w:left w:val="single" w:color="000000" w:sz="6" w:space="0"/>
            </w:tcBorders>
            <w:vAlign w:val="top"/>
          </w:tcPr>
          <w:p>
            <w:pPr>
              <w:spacing w:before="65" w:line="180" w:lineRule="auto"/>
              <w:ind w:firstLine="8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897" w:type="dxa"/>
            <w:vAlign w:val="top"/>
          </w:tcPr>
          <w:p>
            <w:pPr>
              <w:spacing w:before="70" w:line="180" w:lineRule="auto"/>
              <w:ind w:firstLine="23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282" w:type="dxa"/>
            <w:vAlign w:val="top"/>
          </w:tcPr>
          <w:p>
            <w:pPr>
              <w:spacing w:before="69" w:line="180" w:lineRule="auto"/>
              <w:ind w:firstLine="2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940" w:type="dxa"/>
            <w:vAlign w:val="top"/>
          </w:tcPr>
          <w:p>
            <w:pPr>
              <w:spacing w:before="70" w:line="180" w:lineRule="auto"/>
              <w:ind w:firstLine="26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239" w:type="dxa"/>
            <w:vAlign w:val="top"/>
          </w:tcPr>
          <w:p>
            <w:pPr>
              <w:spacing w:before="69" w:line="180" w:lineRule="auto"/>
              <w:ind w:firstLine="2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c>
          <w:tcPr>
            <w:tcW w:w="937" w:type="dxa"/>
            <w:vAlign w:val="top"/>
          </w:tcPr>
          <w:p>
            <w:pPr>
              <w:spacing w:before="70" w:line="180" w:lineRule="auto"/>
              <w:ind w:firstLine="26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立项</w:t>
            </w:r>
          </w:p>
        </w:tc>
        <w:tc>
          <w:tcPr>
            <w:tcW w:w="1252" w:type="dxa"/>
            <w:tcBorders>
              <w:right w:val="single" w:color="000000" w:sz="6" w:space="0"/>
            </w:tcBorders>
            <w:vAlign w:val="top"/>
          </w:tcPr>
          <w:p>
            <w:pPr>
              <w:spacing w:before="69" w:line="180" w:lineRule="auto"/>
              <w:ind w:firstLine="2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验收通过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187" w:type="dxa"/>
            <w:tcBorders>
              <w:left w:val="single" w:color="000000" w:sz="6" w:space="0"/>
            </w:tcBorders>
            <w:vAlign w:val="top"/>
          </w:tcPr>
          <w:p>
            <w:pPr>
              <w:spacing w:before="72" w:line="180" w:lineRule="auto"/>
              <w:ind w:firstLine="8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897" w:type="dxa"/>
            <w:vAlign w:val="top"/>
          </w:tcPr>
          <w:p>
            <w:pPr>
              <w:spacing w:before="99" w:line="180" w:lineRule="auto"/>
              <w:ind w:firstLine="3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1282" w:type="dxa"/>
            <w:vAlign w:val="top"/>
          </w:tcPr>
          <w:p>
            <w:pPr>
              <w:spacing w:before="101" w:line="180" w:lineRule="auto"/>
              <w:ind w:firstLine="53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c>
          <w:tcPr>
            <w:tcW w:w="940" w:type="dxa"/>
            <w:vAlign w:val="top"/>
          </w:tcPr>
          <w:p>
            <w:pPr>
              <w:spacing w:before="101"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c>
          <w:tcPr>
            <w:tcW w:w="1239" w:type="dxa"/>
            <w:vAlign w:val="top"/>
          </w:tcPr>
          <w:p>
            <w:pPr>
              <w:spacing w:before="101" w:line="180" w:lineRule="auto"/>
              <w:ind w:firstLine="51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937" w:type="dxa"/>
            <w:vAlign w:val="top"/>
          </w:tcPr>
          <w:p>
            <w:pPr>
              <w:spacing w:before="101"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1252" w:type="dxa"/>
            <w:tcBorders>
              <w:right w:val="single" w:color="000000" w:sz="6" w:space="0"/>
            </w:tcBorders>
            <w:vAlign w:val="top"/>
          </w:tcPr>
          <w:p>
            <w:pPr>
              <w:spacing w:before="101" w:line="180" w:lineRule="auto"/>
              <w:ind w:firstLine="54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8734" w:type="dxa"/>
            <w:gridSpan w:val="7"/>
            <w:tcBorders>
              <w:left w:val="single" w:color="000000" w:sz="6" w:space="0"/>
              <w:bottom w:val="single" w:color="000000" w:sz="6" w:space="0"/>
              <w:right w:val="single" w:color="000000" w:sz="6" w:space="0"/>
            </w:tcBorders>
            <w:vAlign w:val="top"/>
          </w:tcPr>
          <w:p>
            <w:pPr>
              <w:spacing w:before="71" w:line="337" w:lineRule="exact"/>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position w:val="10"/>
                <w:sz w:val="21"/>
                <w:szCs w:val="21"/>
              </w:rPr>
              <w:t>注：</w:t>
            </w:r>
            <w:r>
              <w:rPr>
                <w:rFonts w:ascii="方正书宋简体" w:hAnsi="方正书宋简体" w:eastAsia="方正书宋简体" w:cs="方正书宋简体"/>
                <w:spacing w:val="5"/>
                <w:position w:val="10"/>
                <w:sz w:val="21"/>
                <w:szCs w:val="21"/>
              </w:rPr>
              <w:t xml:space="preserve">   </w:t>
            </w:r>
            <w:r>
              <w:rPr>
                <w:rFonts w:ascii="方正书宋简体" w:hAnsi="方正书宋简体" w:eastAsia="方正书宋简体" w:cs="方正书宋简体"/>
                <w:spacing w:val="-9"/>
                <w:position w:val="10"/>
                <w:sz w:val="21"/>
                <w:szCs w:val="21"/>
              </w:rPr>
              <w:t>1、未验收年得分＝立项得分/建设年限</w:t>
            </w:r>
          </w:p>
          <w:p>
            <w:pPr>
              <w:spacing w:before="1" w:line="204"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2、验收合格年得分＝立项得分/建设年限＋验收合格得分</w:t>
            </w:r>
          </w:p>
          <w:p>
            <w:pPr>
              <w:spacing w:before="83"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3、重复项目工作量按就高原则核算。</w:t>
            </w:r>
          </w:p>
        </w:tc>
      </w:tr>
    </w:tbl>
    <w:p>
      <w:pPr>
        <w:spacing w:before="156" w:line="180"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3、教师代表学校参加课程教学竞赛</w:t>
      </w:r>
    </w:p>
    <w:p>
      <w:pPr>
        <w:spacing w:line="3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20"/>
        <w:gridCol w:w="3418"/>
        <w:gridCol w:w="39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320" w:type="dxa"/>
            <w:tcBorders>
              <w:top w:val="single" w:color="000000" w:sz="6" w:space="0"/>
              <w:left w:val="single" w:color="000000" w:sz="6" w:space="0"/>
            </w:tcBorders>
            <w:vAlign w:val="top"/>
          </w:tcPr>
          <w:p>
            <w:pPr>
              <w:spacing w:before="93" w:line="180" w:lineRule="auto"/>
              <w:ind w:firstLine="44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级别</w:t>
            </w:r>
          </w:p>
        </w:tc>
        <w:tc>
          <w:tcPr>
            <w:tcW w:w="3418" w:type="dxa"/>
            <w:tcBorders>
              <w:top w:val="single" w:color="000000" w:sz="6" w:space="0"/>
            </w:tcBorders>
            <w:vAlign w:val="top"/>
          </w:tcPr>
          <w:p>
            <w:pPr>
              <w:spacing w:before="97" w:line="180" w:lineRule="auto"/>
              <w:ind w:firstLine="1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省级及以上</w:t>
            </w:r>
          </w:p>
        </w:tc>
        <w:tc>
          <w:tcPr>
            <w:tcW w:w="3996" w:type="dxa"/>
            <w:tcBorders>
              <w:top w:val="single" w:color="000000" w:sz="6" w:space="0"/>
              <w:right w:val="single" w:color="000000" w:sz="6" w:space="0"/>
            </w:tcBorders>
            <w:vAlign w:val="top"/>
          </w:tcPr>
          <w:p>
            <w:pPr>
              <w:spacing w:before="98" w:line="180" w:lineRule="auto"/>
              <w:ind w:firstLine="17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校级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320" w:type="dxa"/>
            <w:tcBorders>
              <w:left w:val="single" w:color="000000" w:sz="6" w:space="0"/>
              <w:bottom w:val="single" w:color="000000" w:sz="6" w:space="0"/>
            </w:tcBorders>
            <w:vAlign w:val="top"/>
          </w:tcPr>
          <w:p>
            <w:pPr>
              <w:spacing w:before="97" w:line="180" w:lineRule="auto"/>
              <w:ind w:firstLine="44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课时</w:t>
            </w:r>
          </w:p>
        </w:tc>
        <w:tc>
          <w:tcPr>
            <w:tcW w:w="3418" w:type="dxa"/>
            <w:tcBorders>
              <w:bottom w:val="single" w:color="000000" w:sz="6" w:space="0"/>
            </w:tcBorders>
            <w:vAlign w:val="top"/>
          </w:tcPr>
          <w:p>
            <w:pPr>
              <w:spacing w:before="123" w:line="180" w:lineRule="auto"/>
              <w:ind w:firstLine="16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50</w:t>
            </w:r>
          </w:p>
        </w:tc>
        <w:tc>
          <w:tcPr>
            <w:tcW w:w="3996" w:type="dxa"/>
            <w:tcBorders>
              <w:bottom w:val="single" w:color="000000" w:sz="6" w:space="0"/>
              <w:right w:val="single" w:color="000000" w:sz="6" w:space="0"/>
            </w:tcBorders>
            <w:vAlign w:val="top"/>
          </w:tcPr>
          <w:p>
            <w:pPr>
              <w:spacing w:before="126" w:line="180" w:lineRule="auto"/>
              <w:ind w:firstLine="18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r>
    </w:tbl>
    <w:p>
      <w:pPr>
        <w:spacing w:before="155" w:line="313" w:lineRule="auto"/>
        <w:ind w:left="493" w:right="1332"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4、指导开放实验项目及省级专业类大学生创新训练项目</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①项目立项每项计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5"/>
          <w:sz w:val="24"/>
          <w:szCs w:val="24"/>
        </w:rPr>
        <w:t>30</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5"/>
          <w:sz w:val="24"/>
          <w:szCs w:val="24"/>
        </w:rPr>
        <w:t>课时；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②结题验收：优秀、良好、合格分别计</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10</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学时、8</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学时、6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注：项目以实验室与设备管理中心下文批准的为准。</w:t>
      </w:r>
    </w:p>
    <w:p>
      <w:pPr>
        <w:spacing w:before="18" w:line="19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5、指导青年教师并按学校有关规定考核合格的每年计</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10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个标准课时。</w:t>
      </w:r>
    </w:p>
    <w:p>
      <w:pPr>
        <w:spacing w:before="165" w:line="320" w:lineRule="auto"/>
        <w:ind w:left="18" w:right="1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6、学校统一安排课程期末监考和巡视工作，</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0"/>
          <w:sz w:val="24"/>
          <w:szCs w:val="24"/>
        </w:rPr>
        <w:t>每人每次（按</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0"/>
          <w:sz w:val="24"/>
          <w:szCs w:val="24"/>
        </w:rPr>
        <w:t>小时计）</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10"/>
          <w:sz w:val="24"/>
          <w:szCs w:val="24"/>
        </w:rPr>
        <w:t>计</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0"/>
          <w:sz w:val="24"/>
          <w:szCs w:val="24"/>
        </w:rPr>
        <w:t>个标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准学时。</w:t>
      </w:r>
    </w:p>
    <w:p>
      <w:pPr>
        <w:spacing w:before="1" w:line="202" w:lineRule="auto"/>
        <w:ind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7、编写教学文件</w:t>
      </w:r>
    </w:p>
    <w:p>
      <w:pPr>
        <w:spacing w:before="159" w:line="253" w:lineRule="auto"/>
        <w:ind w:left="13" w:right="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制订并获得批准使用的课程教学大纲每门计</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4"/>
          <w:sz w:val="24"/>
          <w:szCs w:val="24"/>
        </w:rPr>
        <w:t>4</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4"/>
          <w:sz w:val="24"/>
          <w:szCs w:val="24"/>
        </w:rPr>
        <w:t>标准课时、课程考试大纲每门计</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标准课时；按学院统一安排修订课程教学大纲每门计</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标准课时。</w:t>
      </w:r>
    </w:p>
    <w:p>
      <w:pPr>
        <w:spacing w:before="175" w:line="299" w:lineRule="auto"/>
        <w:ind w:left="14" w:right="1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制订并获得批准使用的新专业人才培养方案每个计</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6"/>
          <w:sz w:val="24"/>
          <w:szCs w:val="24"/>
        </w:rPr>
        <w:t>15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标准课时；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按学院统一安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排修订专业人才培养方案每个计</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10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3"/>
          <w:sz w:val="24"/>
          <w:szCs w:val="24"/>
        </w:rPr>
        <w:t>标准课时。</w:t>
      </w:r>
    </w:p>
    <w:p>
      <w:pPr>
        <w:sectPr>
          <w:footerReference r:id="rId165" w:type="default"/>
          <w:pgSz w:w="11905" w:h="16840"/>
          <w:pgMar w:top="1431" w:right="1577" w:bottom="1365" w:left="1578" w:header="0" w:footer="1241" w:gutter="0"/>
          <w:cols w:space="720" w:num="1"/>
        </w:sectPr>
      </w:pPr>
    </w:p>
    <w:p>
      <w:pPr>
        <w:spacing w:before="429" w:line="238" w:lineRule="auto"/>
        <w:ind w:left="3" w:right="78"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8、教学单位“双肩挑”党政领导、教学基层组织按下列标准补助教学工作量至</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6"/>
          <w:sz w:val="24"/>
          <w:szCs w:val="24"/>
        </w:rPr>
        <w:t>学院进行二次分配：</w:t>
      </w:r>
    </w:p>
    <w:p>
      <w:pPr>
        <w:spacing w:before="21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正职每年补助</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5"/>
          <w:sz w:val="24"/>
          <w:szCs w:val="24"/>
        </w:rPr>
        <w:t>130</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5"/>
          <w:sz w:val="24"/>
          <w:szCs w:val="24"/>
        </w:rPr>
        <w:t>个教学工作量；</w:t>
      </w:r>
    </w:p>
    <w:p>
      <w:pPr>
        <w:spacing w:before="174" w:line="193"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副职补助</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6"/>
          <w:sz w:val="24"/>
          <w:szCs w:val="24"/>
        </w:rPr>
        <w:t>110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6"/>
          <w:sz w:val="24"/>
          <w:szCs w:val="24"/>
        </w:rPr>
        <w:t>个教学工作量；</w:t>
      </w:r>
    </w:p>
    <w:p>
      <w:pPr>
        <w:spacing w:before="174" w:line="193" w:lineRule="auto"/>
        <w:ind w:firstLine="49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系主任（教研室主任）、实验室主任补助</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7"/>
          <w:sz w:val="24"/>
          <w:szCs w:val="24"/>
        </w:rPr>
        <w:t>40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7"/>
          <w:sz w:val="24"/>
          <w:szCs w:val="24"/>
        </w:rPr>
        <w:t>个教学工作量；</w:t>
      </w:r>
    </w:p>
    <w:p>
      <w:pPr>
        <w:spacing w:before="180" w:line="180"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院级督导组每年补助</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4"/>
          <w:sz w:val="24"/>
          <w:szCs w:val="24"/>
        </w:rPr>
        <w:t>50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4"/>
          <w:sz w:val="24"/>
          <w:szCs w:val="24"/>
        </w:rPr>
        <w:t>个工作量。</w:t>
      </w:r>
    </w:p>
    <w:p>
      <w:pPr>
        <w:spacing w:before="19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（四）教学学院本专科教学工作总量</w:t>
      </w:r>
    </w:p>
    <w:p>
      <w:pPr>
        <w:spacing w:before="190" w:line="254" w:lineRule="auto"/>
        <w:ind w:left="1" w:right="7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学院本专科教学工作总量=∑[本院承担的课程教学工作量+教学建设工作量+其</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
          <w:sz w:val="24"/>
          <w:szCs w:val="24"/>
        </w:rPr>
        <w:t>他特殊教学工作量]</w:t>
      </w:r>
    </w:p>
    <w:p>
      <w:pPr>
        <w:spacing w:before="166"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三、教学工作量的统计与审核</w:t>
      </w:r>
    </w:p>
    <w:p>
      <w:pPr>
        <w:spacing w:before="151" w:line="265" w:lineRule="auto"/>
        <w:ind w:right="76"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1、教师教学工作量采取每学期统计、年度结算的方式，</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7"/>
          <w:sz w:val="24"/>
          <w:szCs w:val="24"/>
        </w:rPr>
        <w:t>由学校教学管理部门统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一审核。教学工作量一般计算到开课单位，非开课单位人员兼课的教学工作量均计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算到开课单位，学院互开课统计到任课教师所在单位。</w:t>
      </w:r>
    </w:p>
    <w:p>
      <w:pPr>
        <w:spacing w:before="214" w:line="315" w:lineRule="auto"/>
        <w:ind w:right="7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2、每年年底各学院组织教师填写《教师教学工作量登记表》，</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经所在教研室初</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审，学院复核并签署意见，由教务处、实验室与设备管理中心审核，并在全校张榜</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7"/>
          <w:sz w:val="24"/>
          <w:szCs w:val="24"/>
        </w:rPr>
        <w:t>公示。</w:t>
      </w:r>
    </w:p>
    <w:p>
      <w:pPr>
        <w:spacing w:before="4" w:line="315" w:lineRule="auto"/>
        <w:ind w:left="10" w:right="7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3、附属医院承担本科教学任务的人员，</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由附属医院参照本办法计算教学工作量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和核发课时酬金。</w:t>
      </w:r>
    </w:p>
    <w:p>
      <w:pPr>
        <w:spacing w:before="2" w:line="277" w:lineRule="auto"/>
        <w:ind w:left="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4、教师教学工作量的统计与核算应本着实事求是的精神，</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8"/>
          <w:sz w:val="24"/>
          <w:szCs w:val="24"/>
        </w:rPr>
        <w:t>教师个人应据实填报，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各教学单位领导应严格把关，严禁弄虚作假。</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年度结算时，如发现上报教学工作量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有假和严重失职的，将视情节扣发所在单位绩效津贴，并追究该部门主要负责人的</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8"/>
          <w:sz w:val="24"/>
          <w:szCs w:val="24"/>
        </w:rPr>
        <w:t>责任。</w:t>
      </w:r>
    </w:p>
    <w:p>
      <w:pPr>
        <w:spacing w:before="205" w:line="180" w:lineRule="auto"/>
        <w:ind w:firstLine="505"/>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四、</w:t>
      </w:r>
      <w:r>
        <w:rPr>
          <w:rFonts w:ascii="Microsoft JhengHei" w:hAnsi="Microsoft JhengHei" w:eastAsia="Microsoft JhengHei" w:cs="Microsoft JhengHei"/>
          <w:spacing w:val="12"/>
          <w:w w:val="101"/>
          <w:sz w:val="24"/>
          <w:szCs w:val="24"/>
        </w:rPr>
        <w:t xml:space="preserve">  </w:t>
      </w:r>
      <w:r>
        <w:rPr>
          <w:rFonts w:ascii="方正书宋简体" w:hAnsi="方正书宋简体" w:eastAsia="方正书宋简体" w:cs="方正书宋简体"/>
          <w:spacing w:val="-8"/>
          <w:sz w:val="24"/>
          <w:szCs w:val="24"/>
        </w:rPr>
        <w:t>本办法由教务处、实验室与设备管理中心负责解释。</w:t>
      </w:r>
    </w:p>
    <w:p>
      <w:pPr>
        <w:sectPr>
          <w:footerReference r:id="rId166" w:type="default"/>
          <w:pgSz w:w="11905" w:h="16840"/>
          <w:pgMar w:top="1431" w:right="1509" w:bottom="1365" w:left="1590" w:header="0" w:footer="1241" w:gutter="0"/>
          <w:cols w:space="720" w:num="1"/>
        </w:sectPr>
      </w:pPr>
    </w:p>
    <w:p>
      <w:pPr>
        <w:spacing w:before="349" w:line="180" w:lineRule="auto"/>
        <w:ind w:firstLine="101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吉首大学教学秘书岗位设置与聘用管理实施办法</w:t>
      </w:r>
    </w:p>
    <w:p>
      <w:pPr>
        <w:spacing w:before="110" w:line="184" w:lineRule="auto"/>
        <w:ind w:firstLine="3431"/>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1" w:lineRule="auto"/>
        <w:rPr>
          <w:rFonts w:ascii="Malgun Gothic"/>
          <w:sz w:val="21"/>
        </w:rPr>
      </w:pPr>
    </w:p>
    <w:p>
      <w:pPr>
        <w:spacing w:before="87" w:line="284" w:lineRule="auto"/>
        <w:ind w:left="2" w:right="76"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为进一步加强教学管理队伍建设，规范教学秘书岗位设置，规范教学秘书队伍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的选拔和管理工作，明确教学秘书工作职责及待遇，增强教学秘书的工作责任感，</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2"/>
          <w:sz w:val="24"/>
          <w:szCs w:val="24"/>
        </w:rPr>
        <w:t>不断提高学校教学管理质量和水平，结合我校实际情况，现对《吉首大学教学秘书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8"/>
          <w:sz w:val="24"/>
          <w:szCs w:val="24"/>
        </w:rPr>
        <w:t>岗位设置与聘用管理实施办法》</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8"/>
          <w:sz w:val="24"/>
          <w:szCs w:val="24"/>
        </w:rPr>
        <w:t>（吉大发</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8"/>
          <w:sz w:val="24"/>
          <w:szCs w:val="24"/>
        </w:rPr>
        <w:t>2009[89]号）文件进行修订。</w:t>
      </w:r>
    </w:p>
    <w:p>
      <w:pPr>
        <w:spacing w:before="166"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一、教学秘书的任职条件与岗位职责</w:t>
      </w:r>
    </w:p>
    <w:p>
      <w:pPr>
        <w:spacing w:before="149"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（一）任职基本条件</w:t>
      </w:r>
    </w:p>
    <w:p>
      <w:pPr>
        <w:spacing w:before="194"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1、思想政治素质高，道德品质良好，为人正派，坚持原则，爱岗敬业。</w:t>
      </w:r>
    </w:p>
    <w:p>
      <w:pPr>
        <w:spacing w:before="189"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2、热心教学管理，办事认真，工作踏实，责任感和服务意识强。</w:t>
      </w:r>
    </w:p>
    <w:p>
      <w:pPr>
        <w:spacing w:before="178"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3、具有所任职岗位相应或相近专业硕士研究生及以上学历。</w:t>
      </w:r>
    </w:p>
    <w:p>
      <w:pPr>
        <w:spacing w:before="191" w:line="303" w:lineRule="auto"/>
        <w:ind w:left="7" w:firstLine="47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0"/>
          <w:sz w:val="24"/>
          <w:szCs w:val="24"/>
        </w:rPr>
        <w:t>熟悉高校教育教学规律，</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0"/>
          <w:sz w:val="24"/>
          <w:szCs w:val="24"/>
        </w:rPr>
        <w:t>具有一定的教育管理基本理论知识和教学管理经验，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能独立组织开展工作。</w:t>
      </w:r>
    </w:p>
    <w:p>
      <w:pPr>
        <w:spacing w:before="3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5、能熟练运用计算机处理教学管理相关业务。</w:t>
      </w:r>
    </w:p>
    <w:p>
      <w:pPr>
        <w:spacing w:before="180"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（二）岗位职责</w:t>
      </w:r>
    </w:p>
    <w:p>
      <w:pPr>
        <w:spacing w:before="195" w:line="277" w:lineRule="auto"/>
        <w:ind w:left="1" w:right="7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教学秘书实行校、院两级管理，行政上受所在学院领导，业务上接受学校教务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处指导。教学秘书是连接学校与学院之间、教师之间、师生之间教学活动的桥梁和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纽带，具有承上启下、协调左右、沟通信息和改善关系的作用，对维护学校正常的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教学秩序的建立和运行至关重要，教学秘书应承担以下岗位职责：</w:t>
      </w:r>
    </w:p>
    <w:p>
      <w:pPr>
        <w:spacing w:before="216"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1、协助学院领导制（修）订学院各专业的教学计划、课程教学大纲。</w:t>
      </w:r>
    </w:p>
    <w:p>
      <w:pPr>
        <w:spacing w:before="180"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2、根据教学计划要求协助落实理论及实践教学任务，落实学院课程安排表。</w:t>
      </w:r>
    </w:p>
    <w:p>
      <w:pPr>
        <w:spacing w:before="209" w:line="315"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3、切实抓好教学计划执行的过程管理各环节，</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9"/>
          <w:sz w:val="24"/>
          <w:szCs w:val="24"/>
        </w:rPr>
        <w:t>检查、了解教学计划的执行情况，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协助院领导组织常规教学检查，做好教学考勤工作，组织召开学生座谈会，深入调</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查了解教学的情况，及时向院领导和教务处反馈教学信息。</w:t>
      </w:r>
    </w:p>
    <w:p>
      <w:pPr>
        <w:spacing w:before="2" w:line="314" w:lineRule="auto"/>
        <w:ind w:left="21" w:right="78" w:firstLine="458"/>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4、做好临时性调（停）</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9"/>
          <w:sz w:val="24"/>
          <w:szCs w:val="24"/>
        </w:rPr>
        <w:t>课和突发性教学事故的应急处理并及时上报，</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维护正常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的教学秩序。</w:t>
      </w:r>
    </w:p>
    <w:p>
      <w:pPr>
        <w:spacing w:before="3" w:line="315" w:lineRule="auto"/>
        <w:ind w:right="7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5、根据学校有关规定认真做好本单位学生的学籍管理工作，</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包括学生的报到注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册、学籍异动、学籍处理、毕业资格及学位授予资格等工作的登记、审查和上报，</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严格学籍管理，确保学籍管理的严肃性。</w:t>
      </w:r>
    </w:p>
    <w:p>
      <w:pPr>
        <w:sectPr>
          <w:footerReference r:id="rId167" w:type="default"/>
          <w:pgSz w:w="11905" w:h="16840"/>
          <w:pgMar w:top="1431" w:right="1509" w:bottom="1365" w:left="1590" w:header="0" w:footer="1241" w:gutter="0"/>
          <w:cols w:space="720" w:num="1"/>
        </w:sectPr>
      </w:pPr>
    </w:p>
    <w:p>
      <w:pPr>
        <w:spacing w:before="415" w:line="243" w:lineRule="auto"/>
        <w:ind w:right="8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6、协助做好各类考试安排及组织管理，</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安排考场、监考人员，</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及时做好学生成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绩的收集、登录审核、统计分析、归档等工作。</w:t>
      </w:r>
    </w:p>
    <w:p>
      <w:pPr>
        <w:spacing w:before="214"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7、协助做好教材计划上报和使用管理工作。</w:t>
      </w:r>
    </w:p>
    <w:p>
      <w:pPr>
        <w:spacing w:before="180"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8、负责学院教师教学工作量的登记、审核和统计工作。</w:t>
      </w:r>
    </w:p>
    <w:p>
      <w:pPr>
        <w:spacing w:before="19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9、协助做好本单位教学质量考核评估工作。</w:t>
      </w:r>
    </w:p>
    <w:p>
      <w:pPr>
        <w:spacing w:before="193"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10、协助做好本单位创新创业、实践教学活动的组织与管理工作。</w:t>
      </w:r>
    </w:p>
    <w:p>
      <w:pPr>
        <w:spacing w:before="185" w:line="303" w:lineRule="auto"/>
        <w:ind w:left="3" w:right="80"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11、负责院教学档案材料的收集、整理，</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3"/>
          <w:sz w:val="24"/>
          <w:szCs w:val="24"/>
        </w:rPr>
        <w:t>按照学校规范要求，做好本单位教学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档案的建设和管理工作。</w:t>
      </w:r>
    </w:p>
    <w:p>
      <w:pPr>
        <w:spacing w:before="4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12、完成院主管领导和教务处交办的与教学相关的其他工作。</w:t>
      </w:r>
    </w:p>
    <w:p>
      <w:pPr>
        <w:spacing w:before="180"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二、教学秘书的岗位设置和选聘</w:t>
      </w:r>
    </w:p>
    <w:p>
      <w:pPr>
        <w:spacing w:before="154"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（一）岗位设置</w:t>
      </w:r>
    </w:p>
    <w:p>
      <w:pPr>
        <w:spacing w:before="192" w:line="312"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院教学秘书岗位设置按学校教学及管理人员定编方案确定。教学秘书工作岗位</w:t>
      </w:r>
      <w:r>
        <w:rPr>
          <w:rFonts w:ascii="方正书宋简体" w:hAnsi="方正书宋简体" w:eastAsia="方正书宋简体" w:cs="方正书宋简体"/>
          <w:spacing w:val="15"/>
          <w:w w:val="102"/>
          <w:sz w:val="24"/>
          <w:szCs w:val="24"/>
        </w:rPr>
        <w:t xml:space="preserve">  </w:t>
      </w:r>
      <w:r>
        <w:rPr>
          <w:rFonts w:ascii="方正书宋简体" w:hAnsi="方正书宋简体" w:eastAsia="方正书宋简体" w:cs="方正书宋简体"/>
          <w:spacing w:val="2"/>
          <w:sz w:val="24"/>
          <w:szCs w:val="24"/>
        </w:rPr>
        <w:t>采取专兼职结合方式配备，各学院教学秘书职数按在校全日制本专科学生人数和专</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业设置情况进行配置。学院本专科学生人数在</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6"/>
          <w:sz w:val="24"/>
          <w:szCs w:val="24"/>
        </w:rPr>
        <w:t>1000</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人以下的配备</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6"/>
          <w:sz w:val="24"/>
          <w:szCs w:val="24"/>
        </w:rPr>
        <w:t>1</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名专职教学秘书；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学院本专科学生人数在</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0"/>
          <w:sz w:val="24"/>
          <w:szCs w:val="24"/>
        </w:rPr>
        <w:t>1000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0"/>
          <w:sz w:val="24"/>
          <w:szCs w:val="24"/>
        </w:rPr>
        <w:t>人以上，</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且专业数超过</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0"/>
          <w:sz w:val="24"/>
          <w:szCs w:val="24"/>
        </w:rPr>
        <w:t>4</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0"/>
          <w:sz w:val="24"/>
          <w:szCs w:val="24"/>
        </w:rPr>
        <w:t>个（含</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4</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0"/>
          <w:sz w:val="24"/>
          <w:szCs w:val="24"/>
        </w:rPr>
        <w:t>个）</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0"/>
          <w:sz w:val="24"/>
          <w:szCs w:val="24"/>
        </w:rPr>
        <w:t>的配备</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名专职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教学秘书；独立设置的公共教学院配备</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
          <w:sz w:val="24"/>
          <w:szCs w:val="24"/>
        </w:rPr>
        <w:t>1</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
          <w:sz w:val="24"/>
          <w:szCs w:val="24"/>
        </w:rPr>
        <w:t>名专职教学秘书。各院专兼职教学秘书总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职数控制在</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名以内。</w:t>
      </w:r>
    </w:p>
    <w:p>
      <w:pPr>
        <w:spacing w:before="27" w:line="184"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（二）教学秘书选拨与聘任</w:t>
      </w:r>
    </w:p>
    <w:p>
      <w:pPr>
        <w:spacing w:before="187"/>
        <w:ind w:left="3" w:right="93"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1、各学院根据学校岗位设置办法核定专职教学秘书缺岗职数，确定招聘计划，</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报学校审定，由学校发布公开招聘公告。</w:t>
      </w:r>
    </w:p>
    <w:p>
      <w:pPr>
        <w:spacing w:before="214" w:line="315" w:lineRule="auto"/>
        <w:ind w:right="8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2、招聘工作采取笔试、面试相结合的方式进行，</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依据总分从高到低录取，</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体检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合格后签订聘用合同。</w:t>
      </w:r>
    </w:p>
    <w:p>
      <w:pPr>
        <w:spacing w:before="3" w:line="239" w:lineRule="auto"/>
        <w:ind w:left="2" w:right="80"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3、兼职教学秘书由所在院从本单位在职教师和管理干部中选聘，</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报教务处和人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事处审核备案。</w:t>
      </w:r>
    </w:p>
    <w:p>
      <w:pPr>
        <w:spacing w:before="205"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三、教学秘书的培养与待遇</w:t>
      </w:r>
    </w:p>
    <w:p>
      <w:pPr>
        <w:spacing w:before="154"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（一）教学秘书的培养</w:t>
      </w:r>
    </w:p>
    <w:p>
      <w:pPr>
        <w:spacing w:before="191" w:line="313" w:lineRule="auto"/>
        <w:ind w:left="2" w:right="7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学校坚持选拔使用和培养管理提高相结合原则，逐步完善教学秘书队伍培养使</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用机制，采取措施，逐步建立专职教学秘书的培训与培养机制，对教学秘书的长远</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发展进行统筹安排。</w:t>
      </w:r>
    </w:p>
    <w:p>
      <w:pPr>
        <w:spacing w:before="11" w:line="194"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1、教学秘书的业务培训由教务处负责组织。教学秘书的培训采用岗前培训与在</w:t>
      </w:r>
    </w:p>
    <w:p>
      <w:pPr>
        <w:sectPr>
          <w:footerReference r:id="rId168" w:type="default"/>
          <w:pgSz w:w="11905" w:h="16840"/>
          <w:pgMar w:top="1431" w:right="1506" w:bottom="1365" w:left="1590" w:header="0" w:footer="1241" w:gutter="0"/>
          <w:cols w:space="720" w:num="1"/>
        </w:sectPr>
      </w:pPr>
    </w:p>
    <w:p>
      <w:pPr>
        <w:spacing w:before="428" w:line="239" w:lineRule="auto"/>
        <w:ind w:left="12" w:right="8" w:firstLine="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职岗位培训相结合、平时业务培训、骨干培训相结合的形式，保证在一届任期内培</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训次数不少于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次，学校在师资培训费中给予适当的经费支持。</w:t>
      </w:r>
    </w:p>
    <w:p>
      <w:pPr>
        <w:spacing w:before="217" w:line="315" w:lineRule="auto"/>
        <w:ind w:left="14" w:right="1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2、学校鼓励和支持优秀的专职教学秘书进行脱产、半脱产或在职定向攻读与岗</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
          <w:sz w:val="24"/>
          <w:szCs w:val="24"/>
        </w:rPr>
        <w:t>位相关的学位。工作四年以上表现优秀的专职教学秘书，经本人申请和单位推荐，</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2"/>
          <w:sz w:val="24"/>
          <w:szCs w:val="24"/>
        </w:rPr>
        <w:t>列入学校教师培养培训计划，其培训费按学校文件规定执行。</w:t>
      </w:r>
    </w:p>
    <w:p>
      <w:pPr>
        <w:spacing w:before="1" w:line="315" w:lineRule="auto"/>
        <w:ind w:left="17" w:right="1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3、学校鼓励和支持专职教学秘书从事教育管理学科的研究工作，</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每年设立教学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管理专项教改课题</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2-5</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项，学校在政策上给予适当倾斜。</w:t>
      </w:r>
    </w:p>
    <w:p>
      <w:pPr>
        <w:spacing w:line="315" w:lineRule="auto"/>
        <w:ind w:left="16" w:right="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4、专职教学秘书可根据自身情况申报社会科学研究系列中的高校管理专业技术</w:t>
      </w:r>
      <w:r>
        <w:rPr>
          <w:rFonts w:ascii="方正书宋简体" w:hAnsi="方正书宋简体" w:eastAsia="方正书宋简体" w:cs="方正书宋简体"/>
          <w:spacing w:val="2"/>
          <w:sz w:val="24"/>
          <w:szCs w:val="24"/>
        </w:rPr>
        <w:t xml:space="preserve"> 职务，也可申报相应学科专业技术职务。学校在推荐和评审专业技术职务时，在坚</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持工作实绩、教研、科研能力和研究成果相结合的基础上给予适当倾斜。</w:t>
      </w:r>
    </w:p>
    <w:p>
      <w:pPr>
        <w:spacing w:before="1" w:line="201"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（二）教学秘书的待遇</w:t>
      </w:r>
    </w:p>
    <w:p>
      <w:pPr>
        <w:spacing w:before="163" w:line="180" w:lineRule="auto"/>
        <w:ind w:firstLine="51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1、学校对优秀专职教学秘书在评优、评先和职务、职称晋升中给予优先考虑。</w:t>
      </w:r>
    </w:p>
    <w:p>
      <w:pPr>
        <w:spacing w:before="188" w:line="304" w:lineRule="auto"/>
        <w:ind w:left="14" w:right="1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2、学校结合教学秘书工作特点和实际工作需要，</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对在职在岗的教学秘书每月发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放</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6"/>
          <w:sz w:val="24"/>
          <w:szCs w:val="24"/>
        </w:rPr>
        <w:t>200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6"/>
          <w:sz w:val="24"/>
          <w:szCs w:val="24"/>
        </w:rPr>
        <w:t>元岗位专项工作补贴（包括工作经费</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100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6"/>
          <w:sz w:val="24"/>
          <w:szCs w:val="24"/>
        </w:rPr>
        <w:t>元、通讯补贴</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100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6"/>
          <w:sz w:val="24"/>
          <w:szCs w:val="24"/>
        </w:rPr>
        <w:t>元）。</w:t>
      </w:r>
    </w:p>
    <w:p>
      <w:pPr>
        <w:spacing w:before="36"/>
        <w:ind w:left="21" w:right="25"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3、学校结合工作年限以及年度考核结论，将专职教学秘书分为</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至</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3"/>
          <w:sz w:val="24"/>
          <w:szCs w:val="24"/>
        </w:rPr>
        <w:t>4</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3"/>
          <w:sz w:val="24"/>
          <w:szCs w:val="24"/>
        </w:rPr>
        <w:t>个等级，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给予相应待遇，具体如下：</w:t>
      </w:r>
    </w:p>
    <w:p>
      <w:pPr>
        <w:spacing w:line="60"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4"/>
        <w:gridCol w:w="846"/>
        <w:gridCol w:w="990"/>
        <w:gridCol w:w="2241"/>
        <w:gridCol w:w="3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64" w:type="dxa"/>
            <w:vMerge w:val="restart"/>
            <w:tcBorders>
              <w:top w:val="single" w:color="000000" w:sz="6" w:space="0"/>
              <w:left w:val="single" w:color="000000" w:sz="6" w:space="0"/>
              <w:bottom w:val="nil"/>
            </w:tcBorders>
            <w:vAlign w:val="top"/>
          </w:tcPr>
          <w:p>
            <w:pPr>
              <w:spacing w:before="343" w:line="180" w:lineRule="auto"/>
              <w:ind w:firstLine="2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等级</w:t>
            </w:r>
          </w:p>
        </w:tc>
        <w:tc>
          <w:tcPr>
            <w:tcW w:w="1836" w:type="dxa"/>
            <w:gridSpan w:val="2"/>
            <w:tcBorders>
              <w:top w:val="single" w:color="000000" w:sz="6" w:space="0"/>
            </w:tcBorders>
            <w:vAlign w:val="top"/>
          </w:tcPr>
          <w:p>
            <w:pPr>
              <w:spacing w:before="113" w:line="193" w:lineRule="auto"/>
              <w:ind w:firstLine="17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年限要求（年）</w:t>
            </w:r>
          </w:p>
        </w:tc>
        <w:tc>
          <w:tcPr>
            <w:tcW w:w="2241" w:type="dxa"/>
            <w:vMerge w:val="restart"/>
            <w:tcBorders>
              <w:top w:val="single" w:color="000000" w:sz="6" w:space="0"/>
              <w:bottom w:val="nil"/>
            </w:tcBorders>
            <w:vAlign w:val="top"/>
          </w:tcPr>
          <w:p>
            <w:pPr>
              <w:spacing w:before="342" w:line="180" w:lineRule="auto"/>
              <w:ind w:firstLine="4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年度考核要求</w:t>
            </w:r>
          </w:p>
        </w:tc>
        <w:tc>
          <w:tcPr>
            <w:tcW w:w="3693" w:type="dxa"/>
            <w:vMerge w:val="restart"/>
            <w:tcBorders>
              <w:top w:val="single" w:color="000000" w:sz="6" w:space="0"/>
              <w:bottom w:val="nil"/>
              <w:right w:val="single" w:color="000000" w:sz="6" w:space="0"/>
            </w:tcBorders>
            <w:vAlign w:val="top"/>
          </w:tcPr>
          <w:p>
            <w:pPr>
              <w:spacing w:before="342" w:line="180" w:lineRule="auto"/>
              <w:ind w:firstLine="142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享受待遇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64" w:type="dxa"/>
            <w:vMerge w:val="continue"/>
            <w:tcBorders>
              <w:top w:val="nil"/>
              <w:left w:val="single" w:color="000000" w:sz="6" w:space="0"/>
            </w:tcBorders>
            <w:vAlign w:val="top"/>
          </w:tcPr>
          <w:p>
            <w:pPr>
              <w:rPr>
                <w:rFonts w:ascii="Malgun Gothic"/>
                <w:sz w:val="21"/>
              </w:rPr>
            </w:pPr>
          </w:p>
        </w:tc>
        <w:tc>
          <w:tcPr>
            <w:tcW w:w="846" w:type="dxa"/>
            <w:vAlign w:val="top"/>
          </w:tcPr>
          <w:p>
            <w:pPr>
              <w:spacing w:before="110" w:line="180" w:lineRule="auto"/>
              <w:ind w:firstLine="2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本科</w:t>
            </w:r>
          </w:p>
        </w:tc>
        <w:tc>
          <w:tcPr>
            <w:tcW w:w="990" w:type="dxa"/>
            <w:vAlign w:val="top"/>
          </w:tcPr>
          <w:p>
            <w:pPr>
              <w:spacing w:before="110" w:line="180" w:lineRule="auto"/>
              <w:ind w:firstLine="1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研究生</w:t>
            </w:r>
          </w:p>
        </w:tc>
        <w:tc>
          <w:tcPr>
            <w:tcW w:w="2241" w:type="dxa"/>
            <w:vMerge w:val="continue"/>
            <w:tcBorders>
              <w:top w:val="nil"/>
            </w:tcBorders>
            <w:vAlign w:val="top"/>
          </w:tcPr>
          <w:p>
            <w:pPr>
              <w:rPr>
                <w:rFonts w:ascii="Malgun Gothic"/>
                <w:sz w:val="21"/>
              </w:rPr>
            </w:pPr>
          </w:p>
        </w:tc>
        <w:tc>
          <w:tcPr>
            <w:tcW w:w="3693"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64" w:type="dxa"/>
            <w:tcBorders>
              <w:left w:val="single" w:color="000000" w:sz="6" w:space="0"/>
            </w:tcBorders>
            <w:vAlign w:val="top"/>
          </w:tcPr>
          <w:p>
            <w:pPr>
              <w:spacing w:before="113" w:line="180" w:lineRule="auto"/>
              <w:ind w:firstLine="3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9"/>
                <w:sz w:val="21"/>
                <w:szCs w:val="21"/>
              </w:rPr>
              <w:t>1</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w w:val="99"/>
                <w:sz w:val="21"/>
                <w:szCs w:val="21"/>
              </w:rPr>
              <w:t>级</w:t>
            </w:r>
          </w:p>
        </w:tc>
        <w:tc>
          <w:tcPr>
            <w:tcW w:w="846" w:type="dxa"/>
            <w:vAlign w:val="top"/>
          </w:tcPr>
          <w:p>
            <w:pPr>
              <w:spacing w:before="142" w:line="180" w:lineRule="auto"/>
              <w:ind w:firstLine="36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990" w:type="dxa"/>
            <w:vAlign w:val="top"/>
          </w:tcPr>
          <w:p>
            <w:pPr>
              <w:spacing w:before="141" w:line="180" w:lineRule="auto"/>
              <w:ind w:firstLine="44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241" w:type="dxa"/>
            <w:vAlign w:val="top"/>
          </w:tcPr>
          <w:p>
            <w:pPr>
              <w:spacing w:before="110" w:line="180" w:lineRule="auto"/>
              <w:ind w:firstLine="3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2"/>
                <w:sz w:val="21"/>
                <w:szCs w:val="21"/>
              </w:rPr>
              <w:t>次年度考核优秀</w:t>
            </w:r>
          </w:p>
        </w:tc>
        <w:tc>
          <w:tcPr>
            <w:tcW w:w="3693" w:type="dxa"/>
            <w:tcBorders>
              <w:right w:val="single" w:color="000000" w:sz="6" w:space="0"/>
            </w:tcBorders>
            <w:vAlign w:val="top"/>
          </w:tcPr>
          <w:p>
            <w:pPr>
              <w:spacing w:before="109" w:line="180" w:lineRule="auto"/>
              <w:ind w:firstLine="3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副处级岗位津贴与年终绩效津贴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964" w:type="dxa"/>
            <w:tcBorders>
              <w:left w:val="single" w:color="000000" w:sz="6" w:space="0"/>
            </w:tcBorders>
            <w:vAlign w:val="top"/>
          </w:tcPr>
          <w:p>
            <w:pPr>
              <w:spacing w:before="117"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3"/>
                <w:sz w:val="21"/>
                <w:szCs w:val="21"/>
              </w:rPr>
              <w:t>级</w:t>
            </w:r>
          </w:p>
        </w:tc>
        <w:tc>
          <w:tcPr>
            <w:tcW w:w="846" w:type="dxa"/>
            <w:vAlign w:val="top"/>
          </w:tcPr>
          <w:p>
            <w:pPr>
              <w:spacing w:before="144" w:line="180" w:lineRule="auto"/>
              <w:ind w:firstLine="36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990" w:type="dxa"/>
            <w:vAlign w:val="top"/>
          </w:tcPr>
          <w:p>
            <w:pPr>
              <w:spacing w:before="143" w:line="180" w:lineRule="auto"/>
              <w:ind w:firstLine="43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241" w:type="dxa"/>
            <w:vAlign w:val="top"/>
          </w:tcPr>
          <w:p>
            <w:pPr>
              <w:spacing w:before="114"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2"/>
                <w:sz w:val="21"/>
                <w:szCs w:val="21"/>
              </w:rPr>
              <w:t>次年度考核优秀</w:t>
            </w:r>
          </w:p>
        </w:tc>
        <w:tc>
          <w:tcPr>
            <w:tcW w:w="3693" w:type="dxa"/>
            <w:tcBorders>
              <w:right w:val="single" w:color="000000" w:sz="6" w:space="0"/>
            </w:tcBorders>
            <w:vAlign w:val="top"/>
          </w:tcPr>
          <w:p>
            <w:pPr>
              <w:spacing w:before="113" w:line="180" w:lineRule="auto"/>
              <w:ind w:firstLine="3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正科级岗位津贴与年终绩效津贴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964" w:type="dxa"/>
            <w:tcBorders>
              <w:left w:val="single" w:color="000000" w:sz="6" w:space="0"/>
            </w:tcBorders>
            <w:vAlign w:val="top"/>
          </w:tcPr>
          <w:p>
            <w:pPr>
              <w:spacing w:before="121"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3</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5"/>
                <w:sz w:val="21"/>
                <w:szCs w:val="21"/>
              </w:rPr>
              <w:t>级</w:t>
            </w:r>
          </w:p>
        </w:tc>
        <w:tc>
          <w:tcPr>
            <w:tcW w:w="846" w:type="dxa"/>
            <w:vAlign w:val="top"/>
          </w:tcPr>
          <w:p>
            <w:pPr>
              <w:spacing w:before="150" w:line="180" w:lineRule="auto"/>
              <w:ind w:firstLine="3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990" w:type="dxa"/>
            <w:vAlign w:val="top"/>
          </w:tcPr>
          <w:p>
            <w:pPr>
              <w:spacing w:before="150" w:line="180" w:lineRule="auto"/>
              <w:ind w:firstLine="43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241" w:type="dxa"/>
            <w:vAlign w:val="top"/>
          </w:tcPr>
          <w:p>
            <w:pPr>
              <w:spacing w:before="119"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4"/>
                <w:sz w:val="21"/>
                <w:szCs w:val="21"/>
              </w:rPr>
              <w:t>次年度考核优秀</w:t>
            </w:r>
          </w:p>
        </w:tc>
        <w:tc>
          <w:tcPr>
            <w:tcW w:w="3693" w:type="dxa"/>
            <w:tcBorders>
              <w:right w:val="single" w:color="000000" w:sz="6" w:space="0"/>
            </w:tcBorders>
            <w:vAlign w:val="top"/>
          </w:tcPr>
          <w:p>
            <w:pPr>
              <w:spacing w:before="117" w:line="180" w:lineRule="auto"/>
              <w:ind w:firstLine="3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副科级岗位津贴与年终绩效津贴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964" w:type="dxa"/>
            <w:tcBorders>
              <w:left w:val="single" w:color="000000" w:sz="6" w:space="0"/>
              <w:bottom w:val="single" w:color="000000" w:sz="6" w:space="0"/>
            </w:tcBorders>
            <w:vAlign w:val="top"/>
          </w:tcPr>
          <w:p>
            <w:pPr>
              <w:spacing w:before="125" w:line="180"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2"/>
                <w:sz w:val="21"/>
                <w:szCs w:val="21"/>
              </w:rPr>
              <w:t>级</w:t>
            </w:r>
          </w:p>
        </w:tc>
        <w:tc>
          <w:tcPr>
            <w:tcW w:w="846" w:type="dxa"/>
            <w:tcBorders>
              <w:bottom w:val="single" w:color="000000" w:sz="6" w:space="0"/>
            </w:tcBorders>
            <w:vAlign w:val="top"/>
          </w:tcPr>
          <w:p>
            <w:pPr>
              <w:spacing w:before="154" w:line="180" w:lineRule="auto"/>
              <w:ind w:firstLine="38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990" w:type="dxa"/>
            <w:tcBorders>
              <w:bottom w:val="single" w:color="000000" w:sz="6" w:space="0"/>
            </w:tcBorders>
            <w:vAlign w:val="top"/>
          </w:tcPr>
          <w:p>
            <w:pPr>
              <w:spacing w:before="154" w:line="180" w:lineRule="auto"/>
              <w:ind w:firstLine="45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241" w:type="dxa"/>
            <w:tcBorders>
              <w:bottom w:val="single" w:color="000000" w:sz="6" w:space="0"/>
            </w:tcBorders>
            <w:vAlign w:val="top"/>
          </w:tcPr>
          <w:p>
            <w:pPr>
              <w:spacing w:before="123" w:line="180" w:lineRule="auto"/>
              <w:ind w:firstLine="4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年度考核称职</w:t>
            </w:r>
          </w:p>
        </w:tc>
        <w:tc>
          <w:tcPr>
            <w:tcW w:w="3693" w:type="dxa"/>
            <w:tcBorders>
              <w:bottom w:val="single" w:color="000000" w:sz="6" w:space="0"/>
              <w:right w:val="single" w:color="000000" w:sz="6" w:space="0"/>
            </w:tcBorders>
            <w:vAlign w:val="top"/>
          </w:tcPr>
          <w:p>
            <w:pPr>
              <w:spacing w:before="121" w:line="180" w:lineRule="auto"/>
              <w:ind w:firstLine="3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科员级岗位津贴与年终绩效津贴</w:t>
            </w:r>
          </w:p>
        </w:tc>
      </w:tr>
    </w:tbl>
    <w:p>
      <w:pPr>
        <w:spacing w:before="157" w:line="253" w:lineRule="auto"/>
        <w:ind w:left="14" w:right="9"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14:textOutline w14:w="3048" w14:cap="flat" w14:cmpd="sng">
            <w14:solidFill>
              <w14:srgbClr w14:val="000000"/>
            </w14:solidFill>
            <w14:prstDash w14:val="solid"/>
            <w14:miter w14:val="1"/>
          </w14:textOutline>
        </w:rPr>
        <w:t>注：</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1、年限要求与年度考核要求对应并同时满足，</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年限时间从学校聘任时间开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始计算；</w:t>
      </w:r>
    </w:p>
    <w:p>
      <w:pPr>
        <w:spacing w:before="181"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2、工资调整按学校相关文件规定进行申报。</w:t>
      </w:r>
    </w:p>
    <w:p>
      <w:pPr>
        <w:spacing w:before="191" w:line="315" w:lineRule="auto"/>
        <w:ind w:left="17" w:right="9"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4</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7"/>
          <w:sz w:val="24"/>
          <w:szCs w:val="24"/>
          <w14:textOutline w14:w="3048" w14:cap="flat" w14:cmpd="sng">
            <w14:solidFill>
              <w14:srgbClr w14:val="000000"/>
            </w14:solidFill>
            <w14:prstDash w14:val="solid"/>
            <w14:miter w14:val="1"/>
          </w14:textOutline>
        </w:rPr>
        <w:t>、</w:t>
      </w:r>
      <w:r>
        <w:rPr>
          <w:rFonts w:ascii="方正书宋简体" w:hAnsi="方正书宋简体" w:eastAsia="方正书宋简体" w:cs="方正书宋简体"/>
          <w:spacing w:val="-7"/>
          <w:sz w:val="24"/>
          <w:szCs w:val="24"/>
        </w:rPr>
        <w:t>既有职级又具有专业技术职务或职称的专职教学秘书在年终分配时，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7"/>
          <w:sz w:val="24"/>
          <w:szCs w:val="24"/>
        </w:rPr>
        <w:t>学院按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就高原则核算年终绩效津贴。</w:t>
      </w:r>
    </w:p>
    <w:p>
      <w:pPr>
        <w:spacing w:before="1" w:line="315" w:lineRule="auto"/>
        <w:ind w:left="13" w:right="1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5、教务秘书调离工作岗位后，</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取消专项工作补贴，</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绩效津贴与岗位津贴按调离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后的岗位执行。</w:t>
      </w:r>
    </w:p>
    <w:p>
      <w:pPr>
        <w:sectPr>
          <w:footerReference r:id="rId169" w:type="default"/>
          <w:pgSz w:w="11905" w:h="16840"/>
          <w:pgMar w:top="1431" w:right="1577" w:bottom="1365" w:left="1578" w:header="0" w:footer="1241" w:gutter="0"/>
          <w:cols w:space="720" w:num="1"/>
        </w:sectPr>
      </w:pPr>
    </w:p>
    <w:p>
      <w:pPr>
        <w:spacing w:before="414"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四、教学秘书的管理与考核</w:t>
      </w:r>
    </w:p>
    <w:p>
      <w:pPr>
        <w:spacing w:before="152" w:line="315" w:lineRule="auto"/>
        <w:ind w:right="91"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14:textOutline w14:w="3048" w14:cap="flat" w14:cmpd="sng">
            <w14:solidFill>
              <w14:srgbClr w14:val="000000"/>
            </w14:solidFill>
            <w14:prstDash w14:val="solid"/>
            <w14:miter w14:val="1"/>
          </w14:textOutline>
        </w:rPr>
        <w:t>1、</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9"/>
          <w:sz w:val="24"/>
          <w:szCs w:val="24"/>
        </w:rPr>
        <w:t>专职教学秘书任期一届为四年，</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9"/>
          <w:sz w:val="24"/>
          <w:szCs w:val="24"/>
        </w:rPr>
        <w:t>新聘用（第一次担任教学秘书）</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9"/>
          <w:sz w:val="24"/>
          <w:szCs w:val="24"/>
        </w:rPr>
        <w:t>的专职教学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秘书要求连任两届，未满两届不得转岗和进行学位进修，若本人坚决要求转岗和攻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读学位的，学校解除聘用合同。任期满两届的专职教学秘书可根据本人申请和工作</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需要进行岗位转换，须所在学院同意，报请主管部门审批。</w:t>
      </w:r>
    </w:p>
    <w:p>
      <w:pPr>
        <w:spacing w:before="4" w:line="314" w:lineRule="auto"/>
        <w:ind w:left="4" w:right="9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2、教务处负责对专（兼）</w:t>
      </w:r>
      <w:r>
        <w:rPr>
          <w:rFonts w:ascii="方正书宋简体" w:hAnsi="方正书宋简体" w:eastAsia="方正书宋简体" w:cs="方正书宋简体"/>
          <w:spacing w:val="78"/>
          <w:w w:val="101"/>
          <w:sz w:val="24"/>
          <w:szCs w:val="24"/>
        </w:rPr>
        <w:t xml:space="preserve"> </w:t>
      </w:r>
      <w:r>
        <w:rPr>
          <w:rFonts w:ascii="方正书宋简体" w:hAnsi="方正书宋简体" w:eastAsia="方正书宋简体" w:cs="方正书宋简体"/>
          <w:spacing w:val="-5"/>
          <w:sz w:val="24"/>
          <w:szCs w:val="24"/>
        </w:rPr>
        <w:t>职教学秘书的考核、培养、监督管理及业务上的直接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指导。学院负责对本院教学秘书工作的直接领导、日常管理和监督检查，督促其认</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4"/>
          <w:sz w:val="24"/>
          <w:szCs w:val="24"/>
        </w:rPr>
        <w:t>真履行岗位职责。</w:t>
      </w:r>
    </w:p>
    <w:p>
      <w:pPr>
        <w:spacing w:before="3" w:line="315" w:lineRule="auto"/>
        <w:ind w:right="90"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14:textOutline w14:w="3048" w14:cap="flat" w14:cmpd="sng">
            <w14:solidFill>
              <w14:srgbClr w14:val="000000"/>
            </w14:solidFill>
            <w14:prstDash w14:val="solid"/>
            <w14:miter w14:val="1"/>
          </w14:textOutline>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5"/>
          <w:sz w:val="24"/>
          <w:szCs w:val="24"/>
        </w:rPr>
        <w:t>逐步建立和完善专职教学秘书的考核办法和奖励制度。专职教学秘书的年度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9"/>
          <w:sz w:val="24"/>
          <w:szCs w:val="24"/>
        </w:rPr>
        <w:t>考核单独进行，</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9"/>
          <w:sz w:val="24"/>
          <w:szCs w:val="24"/>
        </w:rPr>
        <w:t>每年进行一次（与学校年度考核同时进行</w:t>
      </w:r>
      <w:r>
        <w:rPr>
          <w:rFonts w:ascii="方正书宋简体" w:hAnsi="方正书宋简体" w:eastAsia="方正书宋简体" w:cs="方正书宋简体"/>
          <w:spacing w:val="-78"/>
          <w:sz w:val="24"/>
          <w:szCs w:val="24"/>
        </w:rPr>
        <w:t>），</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考核优秀按学校教学奖</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励办法进行表彰奖励。</w:t>
      </w:r>
    </w:p>
    <w:p>
      <w:pPr>
        <w:spacing w:before="2" w:line="277" w:lineRule="auto"/>
        <w:ind w:left="2"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4、教学秘书考核以工作实绩为主，</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采取平时考核与定期考核相结合，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教师评价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和有关部门的考核相结合的方式。具体量化的考核办法由教务处负责制定。年度考</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核由教务处牵头，实验室与设备管理中心、教学质量监控与评估中心、张家界校区</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7"/>
          <w:sz w:val="24"/>
          <w:szCs w:val="24"/>
        </w:rPr>
        <w:t>教科办、人事处、相关学院共同参与，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7"/>
          <w:sz w:val="24"/>
          <w:szCs w:val="24"/>
        </w:rPr>
        <w:t>考核优秀的比例不超过参加考核人数的</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15%。</w:t>
      </w:r>
    </w:p>
    <w:p>
      <w:pPr>
        <w:spacing w:before="215" w:line="313" w:lineRule="auto"/>
        <w:ind w:left="3"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5、教学秘书的年度考核结果记入本人档案，</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与其职务晋升、职称聘任、奖惩等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直接挂钩。对工作认真负责、年度考核优秀的教学秘书在职务、职称晋升时优先考</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虑；对工作不认真负责，年度考核不称职或基本称职的专职教学秘书，教务处和学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院可向人事处提出撤免或解聘建议。</w:t>
      </w:r>
    </w:p>
    <w:p>
      <w:pPr>
        <w:spacing w:before="17" w:line="19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五、</w:t>
      </w:r>
      <w:r>
        <w:rPr>
          <w:rFonts w:ascii="Microsoft JhengHei" w:hAnsi="Microsoft JhengHei" w:eastAsia="Microsoft JhengHei" w:cs="Microsoft JhengHei"/>
          <w:spacing w:val="13"/>
          <w:sz w:val="24"/>
          <w:szCs w:val="24"/>
        </w:rPr>
        <w:t xml:space="preserve">  </w:t>
      </w:r>
      <w:r>
        <w:rPr>
          <w:rFonts w:ascii="方正书宋简体" w:hAnsi="方正书宋简体" w:eastAsia="方正书宋简体" w:cs="方正书宋简体"/>
          <w:spacing w:val="-6"/>
          <w:sz w:val="24"/>
          <w:szCs w:val="24"/>
        </w:rPr>
        <w:t>本办法自通过之日起执行，原有关教学秘书管理办法的文件废止。</w:t>
      </w:r>
    </w:p>
    <w:p>
      <w:pPr>
        <w:spacing w:before="104"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六、</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10"/>
          <w:sz w:val="24"/>
          <w:szCs w:val="24"/>
        </w:rPr>
        <w:t>本办法由教务处、人事处负责解释。</w:t>
      </w:r>
    </w:p>
    <w:p>
      <w:pPr>
        <w:sectPr>
          <w:footerReference r:id="rId170" w:type="default"/>
          <w:pgSz w:w="11905" w:h="16840"/>
          <w:pgMar w:top="1431" w:right="1494" w:bottom="1365" w:left="1590" w:header="0" w:footer="1241" w:gutter="0"/>
          <w:cols w:space="720" w:num="1"/>
        </w:sectPr>
      </w:pPr>
    </w:p>
    <w:p>
      <w:pPr>
        <w:spacing w:before="325" w:line="180" w:lineRule="auto"/>
        <w:ind w:firstLine="136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吉首大学本科教学档案建设与管理暂行办法</w:t>
      </w:r>
    </w:p>
    <w:p>
      <w:pPr>
        <w:spacing w:before="80" w:line="184" w:lineRule="auto"/>
        <w:ind w:firstLine="346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43" w:lineRule="auto"/>
        <w:rPr>
          <w:rFonts w:ascii="Malgun Gothic"/>
          <w:sz w:val="21"/>
        </w:rPr>
      </w:pPr>
    </w:p>
    <w:p>
      <w:pPr>
        <w:spacing w:before="85" w:line="268" w:lineRule="auto"/>
        <w:ind w:left="33"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教学档案是教学管理的重要组成部分，是衡量教学管理水平和教育质量的重要</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标志之一，是反映教育发展与改革的重要依据之一。为了加强教学档案工作，充分</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发挥其在教育管理、教学活动、教学研究等各项工作中的作用，提高教学档案的质</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量和科学管理水平，逐步实现教学档案工作的标准化、规范化和现代化，更好地为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学校的发展服务，特制定本办法。</w:t>
      </w:r>
    </w:p>
    <w:p>
      <w:pPr>
        <w:spacing w:before="174"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一、教学档案管理的基本要求</w:t>
      </w:r>
    </w:p>
    <w:p>
      <w:pPr>
        <w:spacing w:before="121" w:line="242" w:lineRule="auto"/>
        <w:ind w:left="37" w:right="97"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1、凡是在教学活动、教学管理和教学研究等工作中直接形成的具有保存价值的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文字、图表、声像载体材料等均属教学档案管理范围。</w:t>
      </w:r>
    </w:p>
    <w:p>
      <w:pPr>
        <w:spacing w:before="149" w:line="292" w:lineRule="auto"/>
        <w:ind w:left="3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2、我校教学档案管理实行校、院两级管理：</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1"/>
          <w:w w:val="97"/>
          <w:sz w:val="24"/>
          <w:szCs w:val="24"/>
        </w:rPr>
        <w:t>凡本校开展教学工作形成的、对学校工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作有永久性或长期保存价值的教学档案，一律由学校教学档案馆保存（一级教学档案管</w:t>
      </w:r>
      <w:r>
        <w:rPr>
          <w:rFonts w:ascii="方正书宋简体" w:hAnsi="方正书宋简体" w:eastAsia="方正书宋简体" w:cs="方正书宋简体"/>
          <w:spacing w:val="17"/>
          <w:w w:val="102"/>
          <w:sz w:val="24"/>
          <w:szCs w:val="24"/>
        </w:rPr>
        <w:t xml:space="preserve">  </w:t>
      </w:r>
      <w:r>
        <w:rPr>
          <w:rFonts w:ascii="方正书宋简体" w:hAnsi="方正书宋简体" w:eastAsia="方正书宋简体" w:cs="方正书宋简体"/>
          <w:spacing w:val="-20"/>
          <w:sz w:val="24"/>
          <w:szCs w:val="24"/>
        </w:rPr>
        <w:t>理</w:t>
      </w:r>
      <w:r>
        <w:rPr>
          <w:rFonts w:ascii="方正书宋简体" w:hAnsi="方正书宋简体" w:eastAsia="方正书宋简体" w:cs="方正书宋简体"/>
          <w:spacing w:val="-101"/>
          <w:sz w:val="24"/>
          <w:szCs w:val="24"/>
        </w:rPr>
        <w:t>）；</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0"/>
          <w:sz w:val="24"/>
          <w:szCs w:val="24"/>
        </w:rPr>
        <w:t>凡是各院（部）</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20"/>
          <w:sz w:val="24"/>
          <w:szCs w:val="24"/>
        </w:rPr>
        <w:t>在教学工作中形成的、仅对各院（部）</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0"/>
          <w:sz w:val="24"/>
          <w:szCs w:val="24"/>
        </w:rPr>
        <w:t>工作有保存价值或不需长久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sz w:val="24"/>
          <w:szCs w:val="24"/>
        </w:rPr>
        <w:t>保存的教学档案，</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4"/>
          <w:sz w:val="24"/>
          <w:szCs w:val="24"/>
        </w:rPr>
        <w:t>由各院（部）负责收集、整理、保存并提供利用（二级教学档案管理）。</w:t>
      </w:r>
    </w:p>
    <w:p>
      <w:pPr>
        <w:spacing w:before="14" w:line="289" w:lineRule="auto"/>
        <w:ind w:left="32" w:right="19"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3、对一级教学档案的管理，</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2"/>
          <w:w w:val="99"/>
          <w:sz w:val="24"/>
          <w:szCs w:val="24"/>
        </w:rPr>
        <w:t>应按照国家有关档案管理的要求，</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w w:val="99"/>
          <w:sz w:val="24"/>
          <w:szCs w:val="24"/>
        </w:rPr>
        <w:t>进行收集、整理，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并定期向学校档案馆移交。需移交学校档案馆的档案材料，学院保存复印件，学校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档案馆保存原件。</w:t>
      </w:r>
    </w:p>
    <w:p>
      <w:pPr>
        <w:spacing w:before="22" w:line="242" w:lineRule="auto"/>
        <w:ind w:left="52" w:right="18" w:firstLine="46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4、院（部）主管教学工作的负责人负责本单位教学档案管理的监督、检查工作，</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院（部）办公室秘书和教学秘书具体负责本单位教学文件材料收集和管理工作。</w:t>
      </w:r>
    </w:p>
    <w:p>
      <w:pPr>
        <w:spacing w:before="149" w:line="229" w:lineRule="auto"/>
        <w:ind w:left="36"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5、应进一步增强资料意识，将教学档案工作落实到日常教学管理中，在布置、</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检查、总结、考核教学工作的同时，注意教学档案的收集、归档和管理。</w:t>
      </w:r>
    </w:p>
    <w:p>
      <w:pPr>
        <w:spacing w:before="174"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二、教学档案的归档范围</w:t>
      </w:r>
    </w:p>
    <w:p>
      <w:pPr>
        <w:spacing w:before="120" w:line="295" w:lineRule="auto"/>
        <w:ind w:left="41" w:right="98"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教学档案主要包括教学综合类、教学基本建设类、教学管理类、教学质量监控</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与评价类、教学研究与改革类等。</w:t>
      </w:r>
    </w:p>
    <w:p>
      <w:pPr>
        <w:spacing w:before="1" w:line="202"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（一）教学综合类</w:t>
      </w:r>
    </w:p>
    <w:p>
      <w:pPr>
        <w:spacing w:before="126"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1、上级教育主管部门下达的有关文件；</w:t>
      </w:r>
    </w:p>
    <w:p>
      <w:pPr>
        <w:spacing w:before="145"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2、各类教学规章制度、规定、办法和条例；</w:t>
      </w:r>
    </w:p>
    <w:p>
      <w:pPr>
        <w:spacing w:before="144"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3、有关教学工作的各种重要会议的通知、文件、记录；</w:t>
      </w:r>
    </w:p>
    <w:p>
      <w:pPr>
        <w:spacing w:before="145" w:line="193"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4、有关招生分配的各种制度、规定、</w:t>
      </w:r>
      <w:r>
        <w:rPr>
          <w:rFonts w:ascii="方正书宋简体" w:hAnsi="方正书宋简体" w:eastAsia="方正书宋简体" w:cs="方正书宋简体"/>
          <w:spacing w:val="106"/>
          <w:w w:val="101"/>
          <w:sz w:val="24"/>
          <w:szCs w:val="24"/>
        </w:rPr>
        <w:t xml:space="preserve"> </w:t>
      </w:r>
      <w:r>
        <w:rPr>
          <w:rFonts w:ascii="方正书宋简体" w:hAnsi="方正书宋简体" w:eastAsia="方正书宋简体" w:cs="方正书宋简体"/>
          <w:spacing w:val="-11"/>
          <w:w w:val="98"/>
          <w:sz w:val="24"/>
          <w:szCs w:val="24"/>
        </w:rPr>
        <w:t>办法、条例以及有关招生计划分配表及文件；</w:t>
      </w:r>
    </w:p>
    <w:p>
      <w:pPr>
        <w:spacing w:before="145"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5、人才培养方案以及学科专业和课程建设等文件；</w:t>
      </w:r>
    </w:p>
    <w:p>
      <w:pPr>
        <w:spacing w:before="144" w:line="193" w:lineRule="auto"/>
        <w:ind w:firstLine="51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6、学校教学基本建设的各种规划、实施计划、教学要点，有关教学会议记录、</w:t>
      </w:r>
    </w:p>
    <w:p>
      <w:pPr>
        <w:sectPr>
          <w:footerReference r:id="rId171" w:type="default"/>
          <w:pgSz w:w="11905" w:h="16840"/>
          <w:pgMar w:top="1431" w:right="1490" w:bottom="1365" w:left="1557" w:header="0" w:footer="1241" w:gutter="0"/>
          <w:cols w:space="720" w:num="1"/>
        </w:sectPr>
      </w:pPr>
    </w:p>
    <w:p>
      <w:pPr>
        <w:spacing w:before="399" w:line="193" w:lineRule="auto"/>
        <w:ind w:firstLine="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纪要、调研报告、总结报告等；</w:t>
      </w:r>
    </w:p>
    <w:p>
      <w:pPr>
        <w:spacing w:before="144"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7、本科教学工作年度工作计划、工作总结；</w:t>
      </w:r>
    </w:p>
    <w:p>
      <w:pPr>
        <w:spacing w:before="144"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8、有关教学工作的各种统计数据资料；</w:t>
      </w:r>
    </w:p>
    <w:p>
      <w:pPr>
        <w:spacing w:before="14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9、各级教学奖项评奖办法，获奖名单，申报、评审材料；</w:t>
      </w:r>
    </w:p>
    <w:p>
      <w:pPr>
        <w:spacing w:before="149"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10、学校其他部门转发的各类办理件的资料。</w:t>
      </w:r>
    </w:p>
    <w:p>
      <w:pPr>
        <w:spacing w:before="161"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（二）教学基本建设类</w:t>
      </w:r>
    </w:p>
    <w:p>
      <w:pPr>
        <w:spacing w:before="160"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1、专业设置、专业建设、专业调整及特色品牌专业的有关材料；</w:t>
      </w:r>
    </w:p>
    <w:p>
      <w:pPr>
        <w:spacing w:before="14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2、各专业培养方案制定与修订及课程计划的有关文件；</w:t>
      </w:r>
    </w:p>
    <w:p>
      <w:pPr>
        <w:spacing w:before="145" w:line="294" w:lineRule="auto"/>
        <w:ind w:left="7" w:right="8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3、各级重点课程、课程建设规划、管理的有关材料，各级优质课程建设立项、</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审批、中期检查、结题验收的材料等；</w:t>
      </w:r>
    </w:p>
    <w:p>
      <w:pPr>
        <w:spacing w:before="1" w:line="20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4、教材（专著）</w:t>
      </w:r>
      <w:r>
        <w:rPr>
          <w:rFonts w:ascii="方正书宋简体" w:hAnsi="方正书宋简体" w:eastAsia="方正书宋简体" w:cs="方正书宋简体"/>
          <w:spacing w:val="113"/>
          <w:w w:val="101"/>
          <w:sz w:val="24"/>
          <w:szCs w:val="24"/>
        </w:rPr>
        <w:t xml:space="preserve"> </w:t>
      </w:r>
      <w:r>
        <w:rPr>
          <w:rFonts w:ascii="方正书宋简体" w:hAnsi="方正书宋简体" w:eastAsia="方正书宋简体" w:cs="方正书宋简体"/>
          <w:spacing w:val="-11"/>
          <w:w w:val="95"/>
          <w:sz w:val="24"/>
          <w:szCs w:val="24"/>
        </w:rPr>
        <w:t>的编写、出版、有关教材</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5"/>
          <w:sz w:val="24"/>
          <w:szCs w:val="24"/>
        </w:rPr>
        <w:t>（含电子教材、多媒体课件）建设的资料；</w:t>
      </w:r>
    </w:p>
    <w:p>
      <w:pPr>
        <w:spacing w:before="128"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5、师资队伍建设规划、教师培养、进修培训及教师业务工作等相关材料；</w:t>
      </w:r>
    </w:p>
    <w:p>
      <w:pPr>
        <w:spacing w:before="145"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6、实验室建设及评估系列材料；</w:t>
      </w:r>
    </w:p>
    <w:p>
      <w:pPr>
        <w:spacing w:before="145"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7、实习基地建设及评估相关材料。</w:t>
      </w:r>
    </w:p>
    <w:p>
      <w:pPr>
        <w:spacing w:before="151"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（三）教学管理类</w:t>
      </w:r>
    </w:p>
    <w:p>
      <w:pPr>
        <w:spacing w:before="161" w:line="242" w:lineRule="auto"/>
        <w:ind w:left="13"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1、有关招生录取工作的文件、招生计划、招生简章、专业介绍、招生工作总结、</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8"/>
          <w:sz w:val="24"/>
          <w:szCs w:val="24"/>
        </w:rPr>
        <w:t>录取审批表；</w:t>
      </w:r>
    </w:p>
    <w:p>
      <w:pPr>
        <w:spacing w:before="14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2、各专业人才培养方案；</w:t>
      </w:r>
    </w:p>
    <w:p>
      <w:pPr>
        <w:spacing w:before="152" w:line="241" w:lineRule="auto"/>
        <w:ind w:left="3" w:right="9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3、本科生课程统计表及教学大纲、实验课程统计表及教学大纲、实践教学统计</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6"/>
          <w:sz w:val="24"/>
          <w:szCs w:val="24"/>
        </w:rPr>
        <w:t>表及教学大纲；</w:t>
      </w:r>
    </w:p>
    <w:p>
      <w:pPr>
        <w:spacing w:before="14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4、学期课程教学计划执行表、学生课程总表、实践教学课程安排表；</w:t>
      </w:r>
    </w:p>
    <w:p>
      <w:pPr>
        <w:spacing w:before="14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5、教学任务书、校历、授课计划、授课情况统计表；</w:t>
      </w:r>
    </w:p>
    <w:p>
      <w:pPr>
        <w:spacing w:before="145"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6、有关学籍管理的文件、材料、新生登记表、学生成绩册、在校学生名册；</w:t>
      </w:r>
    </w:p>
    <w:p>
      <w:pPr>
        <w:spacing w:before="145" w:line="294" w:lineRule="auto"/>
        <w:ind w:right="10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7、在校学生学籍变更材料（包括休学、退学、复学和转学等）、毕业证及学位</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8"/>
          <w:sz w:val="24"/>
          <w:szCs w:val="24"/>
        </w:rPr>
        <w:t>证存根；</w:t>
      </w:r>
    </w:p>
    <w:p>
      <w:pPr>
        <w:spacing w:line="204"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8、学生奖惩有关材料；</w:t>
      </w:r>
    </w:p>
    <w:p>
      <w:pPr>
        <w:spacing w:before="129"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9、教学检查有关文件及总结等有关材料，教学奖评奖办法、评奖结果与记录；</w:t>
      </w:r>
    </w:p>
    <w:p>
      <w:pPr>
        <w:spacing w:before="145"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10、课程重修管理文件、重修名册、成绩单等资料；</w:t>
      </w:r>
    </w:p>
    <w:p>
      <w:pPr>
        <w:spacing w:before="146" w:line="243" w:lineRule="auto"/>
        <w:ind w:right="94"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11、考试结束后，课程考试命题审核、试卷、答卷、标准（参考）答案或评分</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3"/>
          <w:sz w:val="24"/>
          <w:szCs w:val="24"/>
        </w:rPr>
        <w:t>标准、试卷分析和课程成绩记分册等；</w:t>
      </w:r>
    </w:p>
    <w:p>
      <w:pPr>
        <w:spacing w:before="145"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12、有关辅修专业、第二学士学位相关资料；</w:t>
      </w:r>
    </w:p>
    <w:p>
      <w:pPr>
        <w:spacing w:before="144"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13、毕业论文（设计）、各类实习、见习等材料；</w:t>
      </w:r>
    </w:p>
    <w:p>
      <w:pPr>
        <w:sectPr>
          <w:footerReference r:id="rId172" w:type="default"/>
          <w:pgSz w:w="11905" w:h="16840"/>
          <w:pgMar w:top="1431" w:right="1491" w:bottom="1365" w:left="1590" w:header="0" w:footer="1241" w:gutter="0"/>
          <w:cols w:space="720" w:num="1"/>
        </w:sectPr>
      </w:pPr>
    </w:p>
    <w:p>
      <w:pPr>
        <w:spacing w:before="399"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14、各类学科竞赛组织、参赛、获奖等资料，各类学生创新创业项目、成果材料；</w:t>
      </w:r>
    </w:p>
    <w:p>
      <w:pPr>
        <w:spacing w:before="144"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15、有关教材建设、多媒体课件制作的资料；</w:t>
      </w:r>
    </w:p>
    <w:p>
      <w:pPr>
        <w:spacing w:before="147"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16、各级各类教学竞赛、示范课或公开课的资料。</w:t>
      </w:r>
    </w:p>
    <w:p>
      <w:pPr>
        <w:spacing w:before="166"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（四）教学质量监控与评价类</w:t>
      </w:r>
    </w:p>
    <w:p>
      <w:pPr>
        <w:spacing w:before="156"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1、办学水平评估、专业评估、课程评估、教学质量评估、教学督导等资料；</w:t>
      </w:r>
    </w:p>
    <w:p>
      <w:pPr>
        <w:spacing w:before="146" w:line="294" w:lineRule="auto"/>
        <w:ind w:left="3" w:right="8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2、教学检查、各类教学情况调查（座谈会）</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w w:val="98"/>
          <w:sz w:val="24"/>
          <w:szCs w:val="24"/>
        </w:rPr>
        <w:t>总结材料，</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教学评价总结，</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优秀教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学奖评奖办法、评奖结果与记录；</w:t>
      </w:r>
    </w:p>
    <w:p>
      <w:pPr>
        <w:spacing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3、各级各类听课记录、学生评教、教学竞赛、示范课或公开课资料；</w:t>
      </w:r>
    </w:p>
    <w:p>
      <w:pPr>
        <w:spacing w:before="129"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4、教学事故处理记录和相关材料；</w:t>
      </w:r>
    </w:p>
    <w:p>
      <w:pPr>
        <w:spacing w:before="14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5、在校生、毕业生质量跟踪调查、分析及相关材料。</w:t>
      </w:r>
    </w:p>
    <w:p>
      <w:pPr>
        <w:spacing w:before="151" w:line="180"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（五）教学研究与改革类</w:t>
      </w:r>
    </w:p>
    <w:p>
      <w:pPr>
        <w:spacing w:before="157"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1、各级教育科学研究性文件；</w:t>
      </w:r>
    </w:p>
    <w:p>
      <w:pPr>
        <w:spacing w:before="146" w:line="243" w:lineRule="auto"/>
        <w:ind w:right="88"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2、国家级、省部级、校级教学改革项目立项申请报告、中期检查报告、结题报</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4"/>
          <w:sz w:val="24"/>
          <w:szCs w:val="24"/>
        </w:rPr>
        <w:t>告以及相关文件等资料；</w:t>
      </w:r>
    </w:p>
    <w:p>
      <w:pPr>
        <w:spacing w:before="145"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3、获校级以上奖励的各级、各类教学成果和教改项目材料；</w:t>
      </w:r>
    </w:p>
    <w:p>
      <w:pPr>
        <w:spacing w:before="14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4、教学管理干部及教师发表教学研究论文等材料；</w:t>
      </w:r>
    </w:p>
    <w:p>
      <w:pPr>
        <w:spacing w:before="149"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5、各种教学改革与研究活动等系列资料。</w:t>
      </w:r>
    </w:p>
    <w:p>
      <w:pPr>
        <w:spacing w:before="150"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三、教学档案的收集、管理与使用</w:t>
      </w:r>
    </w:p>
    <w:p>
      <w:pPr>
        <w:spacing w:before="121" w:line="229" w:lineRule="auto"/>
        <w:ind w:right="87"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1、教学档案实行分级管理。教务处和院（部）</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5"/>
          <w:sz w:val="24"/>
          <w:szCs w:val="24"/>
        </w:rPr>
        <w:t>要有专人负责教学档案的形成归</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类整理、立卷归档工作，建立教学档案查阅制度。</w:t>
      </w:r>
    </w:p>
    <w:p>
      <w:pPr>
        <w:spacing w:before="183" w:line="291" w:lineRule="auto"/>
        <w:ind w:right="8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2、有关教学人员和教学管理人员，</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在工作中随时收集和积累教学文件材料，</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类存放，每年底完成年度教学档案整理和归档。将一级教学档案定期移交给学校统</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一立卷归档，并整理、保管好本单位的二级教学档案。</w:t>
      </w:r>
    </w:p>
    <w:p>
      <w:pPr>
        <w:spacing w:before="15" w:line="294" w:lineRule="auto"/>
        <w:ind w:left="2" w:right="9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3、凡归档的文件材料应用钢笔或签字笔书写，文面要工整、规范，手续完备，</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3"/>
          <w:sz w:val="24"/>
          <w:szCs w:val="24"/>
        </w:rPr>
        <w:t>制作和书写材料利于长期保存。</w:t>
      </w:r>
    </w:p>
    <w:p>
      <w:pPr>
        <w:spacing w:before="4" w:line="229" w:lineRule="auto"/>
        <w:ind w:left="2" w:right="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4、凡归档的案卷，</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12"/>
          <w:w w:val="99"/>
          <w:sz w:val="24"/>
          <w:szCs w:val="24"/>
        </w:rPr>
        <w:t>经有关领导和档案管理员检查合格，</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2"/>
          <w:w w:val="99"/>
          <w:sz w:val="24"/>
          <w:szCs w:val="24"/>
        </w:rPr>
        <w:t>编制案卷目录一式两份，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一份由学校教学档案室保存，一份由各院（部）自存，以便日后查找。</w:t>
      </w:r>
    </w:p>
    <w:p>
      <w:pPr>
        <w:spacing w:before="181" w:line="291" w:lineRule="auto"/>
        <w:ind w:lef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5、教学档案是供学校及部门内部进行日常管理的原始材料，各教学部门必须依照档</w:t>
      </w:r>
      <w:r>
        <w:rPr>
          <w:rFonts w:ascii="方正书宋简体" w:hAnsi="方正书宋简体" w:eastAsia="方正书宋简体" w:cs="方正书宋简体"/>
          <w:spacing w:val="40"/>
          <w:w w:val="102"/>
          <w:sz w:val="24"/>
          <w:szCs w:val="24"/>
        </w:rPr>
        <w:t xml:space="preserve">  </w:t>
      </w:r>
      <w:r>
        <w:rPr>
          <w:rFonts w:ascii="方正书宋简体" w:hAnsi="方正书宋简体" w:eastAsia="方正书宋简体" w:cs="方正书宋简体"/>
          <w:spacing w:val="-23"/>
          <w:sz w:val="24"/>
          <w:szCs w:val="24"/>
        </w:rPr>
        <w:t>案管理权限，</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23"/>
          <w:sz w:val="24"/>
          <w:szCs w:val="24"/>
        </w:rPr>
        <w:t>遵守档案安全、保密、消防的规章制度、妥善保管自存档案资料。未经批准，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sz w:val="24"/>
          <w:szCs w:val="24"/>
        </w:rPr>
        <w:t>任何部门或个人不得擅自转借、</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4"/>
          <w:sz w:val="24"/>
          <w:szCs w:val="24"/>
        </w:rPr>
        <w:t>复印、拆卷、涂改、批注、增删、</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4"/>
          <w:sz w:val="24"/>
          <w:szCs w:val="24"/>
        </w:rPr>
        <w:t>抽页、剪裁和污损。</w:t>
      </w:r>
    </w:p>
    <w:p>
      <w:pPr>
        <w:spacing w:before="21" w:line="188"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附件：1、吉首大学学院本科教学档案归档目录及规范</w:t>
      </w:r>
    </w:p>
    <w:p>
      <w:pPr>
        <w:spacing w:before="150" w:line="180" w:lineRule="auto"/>
        <w:ind w:firstLine="12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2、主要教学文档存档规范及要求</w:t>
      </w:r>
    </w:p>
    <w:p>
      <w:pPr>
        <w:sectPr>
          <w:footerReference r:id="rId173" w:type="default"/>
          <w:pgSz w:w="11905" w:h="16840"/>
          <w:pgMar w:top="1431" w:right="1500" w:bottom="1365" w:left="1590" w:header="0" w:footer="1241" w:gutter="0"/>
          <w:cols w:space="720" w:num="1"/>
        </w:sectPr>
      </w:pPr>
    </w:p>
    <w:p>
      <w:pPr>
        <w:spacing w:before="429" w:line="180" w:lineRule="auto"/>
        <w:ind w:firstLine="3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1：吉首大学学院本科教学档案归档目录及规范</w:t>
      </w:r>
    </w:p>
    <w:p>
      <w:pPr>
        <w:spacing w:line="279" w:lineRule="auto"/>
        <w:rPr>
          <w:rFonts w:ascii="Malgun Gothic"/>
          <w:sz w:val="21"/>
        </w:rPr>
      </w:pPr>
    </w:p>
    <w:p>
      <w:pPr>
        <w:spacing w:line="280" w:lineRule="auto"/>
        <w:rPr>
          <w:rFonts w:ascii="Malgun Gothic"/>
          <w:sz w:val="21"/>
        </w:rPr>
      </w:pPr>
    </w:p>
    <w:p>
      <w:pPr>
        <w:spacing w:line="280" w:lineRule="auto"/>
        <w:rPr>
          <w:rFonts w:ascii="Malgun Gothic"/>
          <w:sz w:val="21"/>
        </w:rPr>
      </w:pPr>
    </w:p>
    <w:p>
      <w:pPr>
        <w:spacing w:line="280" w:lineRule="auto"/>
        <w:rPr>
          <w:rFonts w:ascii="Malgun Gothic"/>
          <w:sz w:val="21"/>
        </w:rPr>
      </w:pPr>
    </w:p>
    <w:p>
      <w:pPr>
        <w:spacing w:before="234" w:line="180" w:lineRule="auto"/>
        <w:ind w:firstLine="1033"/>
        <w:rPr>
          <w:rFonts w:ascii="Microsoft JhengHei" w:hAnsi="Microsoft JhengHei" w:eastAsia="Microsoft JhengHei" w:cs="Microsoft JhengHei"/>
          <w:sz w:val="54"/>
          <w:szCs w:val="54"/>
        </w:rPr>
      </w:pPr>
      <w:r>
        <w:rPr>
          <w:rFonts w:ascii="方正书宋简体" w:hAnsi="方正书宋简体" w:eastAsia="方正书宋简体" w:cs="方正书宋简体"/>
          <w:spacing w:val="-2"/>
          <w:sz w:val="46"/>
          <w:szCs w:val="46"/>
          <w14:textOutline w14:w="5842" w14:cap="flat" w14:cmpd="sng">
            <w14:solidFill>
              <w14:srgbClr w14:val="000000"/>
            </w14:solidFill>
            <w14:prstDash w14:val="solid"/>
            <w14:miter w14:val="1"/>
          </w14:textOutline>
        </w:rPr>
        <w:t>****</w:t>
      </w:r>
      <w:r>
        <w:rPr>
          <w:rFonts w:ascii="Microsoft JhengHei" w:hAnsi="Microsoft JhengHei" w:eastAsia="Microsoft JhengHei" w:cs="Microsoft JhengHei"/>
          <w:spacing w:val="-2"/>
          <w:sz w:val="54"/>
          <w:szCs w:val="54"/>
        </w:rPr>
        <w:t>学院本科教学档案汇编</w:t>
      </w:r>
    </w:p>
    <w:p>
      <w:pPr>
        <w:spacing w:line="269" w:lineRule="auto"/>
        <w:rPr>
          <w:rFonts w:ascii="Malgun Gothic"/>
          <w:sz w:val="21"/>
        </w:rPr>
      </w:pPr>
    </w:p>
    <w:p>
      <w:pPr>
        <w:spacing w:line="269" w:lineRule="auto"/>
        <w:rPr>
          <w:rFonts w:ascii="Malgun Gothic"/>
          <w:sz w:val="21"/>
        </w:rPr>
      </w:pPr>
    </w:p>
    <w:p>
      <w:pPr>
        <w:spacing w:line="270" w:lineRule="auto"/>
        <w:rPr>
          <w:rFonts w:ascii="Malgun Gothic"/>
          <w:sz w:val="21"/>
        </w:rPr>
      </w:pPr>
    </w:p>
    <w:p>
      <w:pPr>
        <w:spacing w:before="142" w:line="180" w:lineRule="auto"/>
        <w:ind w:firstLine="3990"/>
        <w:rPr>
          <w:rFonts w:ascii="方正书宋简体" w:hAnsi="方正书宋简体" w:eastAsia="方正书宋简体" w:cs="方正书宋简体"/>
          <w:sz w:val="40"/>
          <w:szCs w:val="40"/>
        </w:rPr>
      </w:pPr>
      <w:r>
        <w:rPr>
          <w:rFonts w:ascii="方正书宋简体" w:hAnsi="方正书宋简体" w:eastAsia="方正书宋简体" w:cs="方正书宋简体"/>
          <w:spacing w:val="-3"/>
          <w:sz w:val="40"/>
          <w:szCs w:val="40"/>
          <w14:textOutline w14:w="5080" w14:cap="flat" w14:cmpd="sng">
            <w14:solidFill>
              <w14:srgbClr w14:val="000000"/>
            </w14:solidFill>
            <w14:prstDash w14:val="solid"/>
            <w14:miter w14:val="1"/>
          </w14:textOutline>
        </w:rPr>
        <w:t>****类</w:t>
      </w: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86" w:line="180" w:lineRule="auto"/>
        <w:ind w:firstLine="344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二</w:t>
      </w:r>
      <w:r>
        <w:rPr>
          <w:rFonts w:ascii="宋体" w:hAnsi="宋体" w:eastAsia="宋体" w:cs="宋体"/>
          <w:sz w:val="24"/>
          <w:szCs w:val="24"/>
          <w14:textOutline w14:w="3048" w14:cap="flat" w14:cmpd="sng">
            <w14:solidFill>
              <w14:srgbClr w14:val="000000"/>
            </w14:solidFill>
            <w14:prstDash w14:val="solid"/>
            <w14:miter w14:val="1"/>
          </w14:textOutline>
        </w:rPr>
        <w:t>〇</w:t>
      </w: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一六年十二月</w:t>
      </w:r>
    </w:p>
    <w:p>
      <w:pPr>
        <w:sectPr>
          <w:footerReference r:id="rId174" w:type="default"/>
          <w:pgSz w:w="11905" w:h="16840"/>
          <w:pgMar w:top="1431" w:right="1785" w:bottom="1365" w:left="1785" w:header="0" w:footer="1241" w:gutter="0"/>
          <w:cols w:space="720" w:num="1"/>
        </w:sectPr>
      </w:pPr>
    </w:p>
    <w:sdt>
      <w:sdtPr>
        <w:rPr>
          <w:rFonts w:ascii="Malgun Gothic" w:hAnsi="Malgun Gothic" w:eastAsia="Malgun Gothic" w:cs="Malgun Gothic"/>
          <w:sz w:val="21"/>
          <w:szCs w:val="21"/>
        </w:rPr>
        <w:id w:val="1"/>
        <w:docPartObj>
          <w:docPartGallery w:val="Table of Contents"/>
          <w:docPartUnique/>
        </w:docPartObj>
      </w:sdtPr>
      <w:sdtEndPr>
        <w:rPr>
          <w:rFonts w:ascii="方正书宋简体" w:hAnsi="方正书宋简体" w:eastAsia="方正书宋简体" w:cs="方正书宋简体"/>
          <w:sz w:val="24"/>
          <w:szCs w:val="24"/>
        </w:rPr>
      </w:sdtEndPr>
      <w:sdtContent>
        <w:p>
          <w:pPr>
            <w:spacing w:line="432" w:lineRule="auto"/>
            <w:rPr>
              <w:rFonts w:ascii="Malgun Gothic"/>
              <w:sz w:val="21"/>
            </w:rPr>
          </w:pPr>
        </w:p>
        <w:p>
          <w:pPr>
            <w:spacing w:before="139" w:line="180" w:lineRule="auto"/>
            <w:ind w:firstLine="4461"/>
            <w:rPr>
              <w:rFonts w:ascii="Microsoft JhengHei" w:hAnsi="Microsoft JhengHei" w:eastAsia="Microsoft JhengHei" w:cs="Microsoft JhengHei"/>
              <w:sz w:val="32"/>
              <w:szCs w:val="32"/>
            </w:rPr>
          </w:pPr>
          <w:r>
            <w:rPr>
              <w:rFonts w:ascii="Microsoft JhengHei" w:hAnsi="Microsoft JhengHei" w:eastAsia="Microsoft JhengHei" w:cs="Microsoft JhengHei"/>
              <w:spacing w:val="-28"/>
              <w:sz w:val="32"/>
              <w:szCs w:val="32"/>
              <w14:textOutline w14:w="4064" w14:cap="flat" w14:cmpd="sng">
                <w14:solidFill>
                  <w14:srgbClr w14:val="000000"/>
                </w14:solidFill>
                <w14:prstDash w14:val="solid"/>
                <w14:miter w14:val="1"/>
              </w14:textOutline>
            </w:rPr>
            <w:t>目</w:t>
          </w:r>
          <w:r>
            <w:rPr>
              <w:rFonts w:ascii="Microsoft JhengHei" w:hAnsi="Microsoft JhengHei" w:eastAsia="Microsoft JhengHei" w:cs="Microsoft JhengHei"/>
              <w:spacing w:val="11"/>
              <w:w w:val="101"/>
              <w:sz w:val="32"/>
              <w:szCs w:val="32"/>
            </w:rPr>
            <w:t xml:space="preserve">  </w:t>
          </w:r>
          <w:r>
            <w:rPr>
              <w:rFonts w:ascii="Microsoft JhengHei" w:hAnsi="Microsoft JhengHei" w:eastAsia="Microsoft JhengHei" w:cs="Microsoft JhengHei"/>
              <w:spacing w:val="-28"/>
              <w:sz w:val="32"/>
              <w:szCs w:val="32"/>
              <w14:textOutline w14:w="4064" w14:cap="flat" w14:cmpd="sng">
                <w14:solidFill>
                  <w14:srgbClr w14:val="000000"/>
                </w14:solidFill>
                <w14:prstDash w14:val="solid"/>
                <w14:miter w14:val="1"/>
              </w14:textOutline>
            </w:rPr>
            <w:t>录</w:t>
          </w:r>
        </w:p>
        <w:p>
          <w:pPr>
            <w:spacing w:line="316" w:lineRule="auto"/>
            <w:rPr>
              <w:rFonts w:ascii="Malgun Gothic"/>
              <w:sz w:val="21"/>
            </w:rPr>
          </w:pPr>
        </w:p>
        <w:p>
          <w:pPr>
            <w:spacing w:before="86" w:line="193" w:lineRule="auto"/>
            <w:ind w:firstLine="62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4"/>
              <w:sz w:val="24"/>
              <w:szCs w:val="24"/>
            </w:rPr>
            <w:t>《吉首大学****》………………………………………………………………</w:t>
          </w:r>
          <w:r>
            <w:rPr>
              <w:rFonts w:ascii="方正书宋简体" w:hAnsi="方正书宋简体" w:eastAsia="方正书宋简体" w:cs="方正书宋简体"/>
              <w:spacing w:val="-33"/>
              <w:sz w:val="24"/>
              <w:szCs w:val="24"/>
            </w:rPr>
            <w:t xml:space="preserve"> </w:t>
          </w:r>
          <w:r>
            <w:fldChar w:fldCharType="begin"/>
          </w:r>
          <w:r>
            <w:instrText xml:space="preserve"> HYPERLINK \l "_bookmark1" </w:instrText>
          </w:r>
          <w:r>
            <w:fldChar w:fldCharType="separate"/>
          </w:r>
          <w:r>
            <w:rPr>
              <w:rFonts w:ascii="方正书宋简体" w:hAnsi="方正书宋简体" w:eastAsia="方正书宋简体" w:cs="方正书宋简体"/>
              <w:spacing w:val="-4"/>
              <w:sz w:val="24"/>
              <w:szCs w:val="24"/>
            </w:rPr>
            <w:t>1</w:t>
          </w:r>
          <w:r>
            <w:rPr>
              <w:rFonts w:ascii="方正书宋简体" w:hAnsi="方正书宋简体" w:eastAsia="方正书宋简体" w:cs="方正书宋简体"/>
              <w:spacing w:val="-4"/>
              <w:sz w:val="24"/>
              <w:szCs w:val="24"/>
            </w:rPr>
            <w:fldChar w:fldCharType="end"/>
          </w:r>
        </w:p>
        <w:p>
          <w:pPr>
            <w:spacing w:before="174" w:line="193" w:lineRule="auto"/>
            <w:ind w:firstLine="62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1.1</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《**学院*****》…………………………………………………</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4"/>
              <w:sz w:val="24"/>
              <w:szCs w:val="24"/>
            </w:rPr>
            <w:t>…………</w:t>
          </w:r>
          <w:r>
            <w:fldChar w:fldCharType="begin"/>
          </w:r>
          <w:r>
            <w:instrText xml:space="preserve"> HYPERLINK \l "_bookmark2" </w:instrText>
          </w:r>
          <w:r>
            <w:fldChar w:fldCharType="separate"/>
          </w: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pacing w:val="-4"/>
              <w:sz w:val="24"/>
              <w:szCs w:val="24"/>
            </w:rPr>
            <w:fldChar w:fldCharType="end"/>
          </w:r>
        </w:p>
        <w:p>
          <w:pPr>
            <w:spacing w:before="178" w:line="180" w:lineRule="auto"/>
            <w:ind w:firstLine="62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1.1.1</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4"/>
              <w:sz w:val="24"/>
              <w:szCs w:val="24"/>
            </w:rPr>
            <w:t>《**学院教学建设》………………………………………………………</w:t>
          </w:r>
          <w:r>
            <w:fldChar w:fldCharType="begin"/>
          </w:r>
          <w:r>
            <w:instrText xml:space="preserve"> HYPERLINK \l "_bookmark3" </w:instrText>
          </w:r>
          <w:r>
            <w:fldChar w:fldCharType="separate"/>
          </w:r>
          <w:r>
            <w:rPr>
              <w:rFonts w:ascii="方正书宋简体" w:hAnsi="方正书宋简体" w:eastAsia="方正书宋简体" w:cs="方正书宋简体"/>
              <w:spacing w:val="-4"/>
              <w:sz w:val="24"/>
              <w:szCs w:val="24"/>
            </w:rPr>
            <w:t>3</w:t>
          </w:r>
          <w:r>
            <w:rPr>
              <w:rFonts w:ascii="方正书宋简体" w:hAnsi="方正书宋简体" w:eastAsia="方正书宋简体" w:cs="方正书宋简体"/>
              <w:spacing w:val="-4"/>
              <w:sz w:val="24"/>
              <w:szCs w:val="24"/>
            </w:rPr>
            <w:fldChar w:fldCharType="end"/>
          </w:r>
        </w:p>
        <w:p>
          <w:pPr>
            <w:spacing w:before="193" w:line="180" w:lineRule="auto"/>
            <w:ind w:firstLine="60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01</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《**学院**专业培养计划》…………………………………………………</w:t>
          </w:r>
          <w:r>
            <w:fldChar w:fldCharType="begin"/>
          </w:r>
          <w:r>
            <w:instrText xml:space="preserve"> HYPERLINK \l "_bookmark4" </w:instrText>
          </w:r>
          <w:r>
            <w:fldChar w:fldCharType="separate"/>
          </w:r>
          <w:r>
            <w:rPr>
              <w:rFonts w:ascii="方正书宋简体" w:hAnsi="方正书宋简体" w:eastAsia="方正书宋简体" w:cs="方正书宋简体"/>
              <w:spacing w:val="-3"/>
              <w:sz w:val="24"/>
              <w:szCs w:val="24"/>
            </w:rPr>
            <w:t>4</w:t>
          </w:r>
          <w:r>
            <w:rPr>
              <w:rFonts w:ascii="方正书宋简体" w:hAnsi="方正书宋简体" w:eastAsia="方正书宋简体" w:cs="方正书宋简体"/>
              <w:spacing w:val="-3"/>
              <w:sz w:val="24"/>
              <w:szCs w:val="24"/>
            </w:rPr>
            <w:fldChar w:fldCharType="end"/>
          </w:r>
        </w:p>
        <w:p>
          <w:pPr>
            <w:spacing w:before="193" w:line="180"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5"/>
              <w:sz w:val="24"/>
              <w:szCs w:val="24"/>
            </w:rPr>
            <w:t>《**学院听课表》…………………………………………………………</w:t>
          </w:r>
          <w:r>
            <w:fldChar w:fldCharType="begin"/>
          </w:r>
          <w:r>
            <w:instrText xml:space="preserve"> HYPERLINK \l "_bookmark5" </w:instrText>
          </w:r>
          <w:r>
            <w:fldChar w:fldCharType="separate"/>
          </w:r>
          <w:r>
            <w:rPr>
              <w:rFonts w:ascii="方正书宋简体" w:hAnsi="方正书宋简体" w:eastAsia="方正书宋简体" w:cs="方正书宋简体"/>
              <w:spacing w:val="-5"/>
              <w:sz w:val="24"/>
              <w:szCs w:val="24"/>
            </w:rPr>
            <w:t>5</w:t>
          </w:r>
          <w:r>
            <w:rPr>
              <w:rFonts w:ascii="方正书宋简体" w:hAnsi="方正书宋简体" w:eastAsia="方正书宋简体" w:cs="方正书宋简体"/>
              <w:spacing w:val="-5"/>
              <w:sz w:val="24"/>
              <w:szCs w:val="24"/>
            </w:rPr>
            <w:fldChar w:fldCharType="end"/>
          </w:r>
        </w:p>
        <w:p>
          <w:pPr>
            <w:spacing w:before="191" w:line="180" w:lineRule="auto"/>
            <w:ind w:firstLine="60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①</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4"/>
              <w:sz w:val="24"/>
              <w:szCs w:val="24"/>
            </w:rPr>
            <w:t>《**学院教师听课表》………………………………………………………</w:t>
          </w:r>
          <w:r>
            <w:fldChar w:fldCharType="begin"/>
          </w:r>
          <w:r>
            <w:instrText xml:space="preserve"> HYPERLINK \l "_bookmark6" </w:instrText>
          </w:r>
          <w:r>
            <w:fldChar w:fldCharType="separate"/>
          </w:r>
          <w:r>
            <w:rPr>
              <w:rFonts w:ascii="方正书宋简体" w:hAnsi="方正书宋简体" w:eastAsia="方正书宋简体" w:cs="方正书宋简体"/>
              <w:spacing w:val="-4"/>
              <w:sz w:val="24"/>
              <w:szCs w:val="24"/>
            </w:rPr>
            <w:t>6</w:t>
          </w:r>
          <w:r>
            <w:rPr>
              <w:rFonts w:ascii="方正书宋简体" w:hAnsi="方正书宋简体" w:eastAsia="方正书宋简体" w:cs="方正书宋简体"/>
              <w:spacing w:val="-4"/>
              <w:sz w:val="24"/>
              <w:szCs w:val="24"/>
            </w:rPr>
            <w:fldChar w:fldCharType="end"/>
          </w:r>
        </w:p>
      </w:sdtContent>
    </w:sdt>
    <w:p>
      <w:pPr>
        <w:spacing w:line="372" w:lineRule="auto"/>
        <w:rPr>
          <w:rFonts w:ascii="Malgun Gothic"/>
          <w:sz w:val="21"/>
        </w:rPr>
      </w:pPr>
    </w:p>
    <w:p>
      <w:pPr>
        <w:spacing w:before="86" w:line="180" w:lineRule="auto"/>
        <w:ind w:firstLine="65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14:textOutline w14:w="3048" w14:cap="flat" w14:cmpd="sng">
            <w14:solidFill>
              <w14:srgbClr w14:val="000000"/>
            </w14:solidFill>
            <w14:prstDash w14:val="solid"/>
            <w14:miter w14:val="1"/>
          </w14:textOutline>
        </w:rPr>
        <w:t>目录格式说明</w:t>
      </w:r>
    </w:p>
    <w:p>
      <w:pPr>
        <w:spacing w:before="186" w:line="193"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（1）一级目录：2</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2"/>
          <w:w w:val="99"/>
          <w:sz w:val="24"/>
          <w:szCs w:val="24"/>
        </w:rPr>
        <w:t>号字，字体为黑体，编号为“1”“2”、</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2"/>
          <w:w w:val="99"/>
          <w:sz w:val="24"/>
          <w:szCs w:val="24"/>
        </w:rPr>
        <w:t>…等；</w:t>
      </w:r>
    </w:p>
    <w:p>
      <w:pPr>
        <w:spacing w:before="175" w:line="193"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3"/>
          <w:sz w:val="24"/>
          <w:szCs w:val="24"/>
        </w:rPr>
        <w:t>（2）</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11"/>
          <w:w w:val="93"/>
          <w:sz w:val="24"/>
          <w:szCs w:val="24"/>
        </w:rPr>
        <w:t>二级目录：</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w w:val="93"/>
          <w:sz w:val="24"/>
          <w:szCs w:val="24"/>
        </w:rPr>
        <w:t>小</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3"/>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3"/>
          <w:sz w:val="24"/>
          <w:szCs w:val="24"/>
        </w:rPr>
        <w:t>号字，</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w w:val="93"/>
          <w:sz w:val="24"/>
          <w:szCs w:val="24"/>
        </w:rPr>
        <w:t>字体为黑体，</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w w:val="93"/>
          <w:sz w:val="24"/>
          <w:szCs w:val="24"/>
        </w:rPr>
        <w:t>编号为“1.1”“1.2”“2.1”“2.2”…等；</w:t>
      </w:r>
    </w:p>
    <w:p>
      <w:pPr>
        <w:spacing w:before="175" w:line="315" w:lineRule="auto"/>
        <w:ind w:right="105"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（3）三级目录：3</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1"/>
          <w:w w:val="96"/>
          <w:sz w:val="24"/>
          <w:szCs w:val="24"/>
        </w:rPr>
        <w:t>号字，字体为黑体，编号为“1.1.1”、“1.1.2”、</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6"/>
          <w:sz w:val="24"/>
          <w:szCs w:val="24"/>
        </w:rPr>
        <w:t>…，</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1"/>
          <w:w w:val="96"/>
          <w:sz w:val="24"/>
          <w:szCs w:val="24"/>
        </w:rPr>
        <w:t>“1.2.1”、</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w w:val="88"/>
          <w:sz w:val="24"/>
          <w:szCs w:val="24"/>
        </w:rPr>
        <w:t>“1.2.2”、</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5"/>
          <w:w w:val="88"/>
          <w:sz w:val="24"/>
          <w:szCs w:val="24"/>
        </w:rPr>
        <w:t>…“2.1.1”“2.1.2”、</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5"/>
          <w:w w:val="88"/>
          <w:sz w:val="24"/>
          <w:szCs w:val="24"/>
        </w:rPr>
        <w:t>…等；</w:t>
      </w:r>
    </w:p>
    <w:p>
      <w:pPr>
        <w:spacing w:line="204"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（4）四级目录：4</w:t>
      </w:r>
      <w:r>
        <w:rPr>
          <w:rFonts w:ascii="方正书宋简体" w:hAnsi="方正书宋简体" w:eastAsia="方正书宋简体" w:cs="方正书宋简体"/>
          <w:spacing w:val="72"/>
          <w:w w:val="101"/>
          <w:sz w:val="24"/>
          <w:szCs w:val="24"/>
        </w:rPr>
        <w:t xml:space="preserve"> </w:t>
      </w:r>
      <w:r>
        <w:rPr>
          <w:rFonts w:ascii="方正书宋简体" w:hAnsi="方正书宋简体" w:eastAsia="方正书宋简体" w:cs="方正书宋简体"/>
          <w:spacing w:val="-12"/>
          <w:w w:val="99"/>
          <w:sz w:val="24"/>
          <w:szCs w:val="24"/>
        </w:rPr>
        <w:t>号字，字体为黑体，编号为“01”“02”“03”、</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2"/>
          <w:w w:val="99"/>
          <w:sz w:val="24"/>
          <w:szCs w:val="24"/>
        </w:rPr>
        <w:t>…“10”等；</w:t>
      </w:r>
    </w:p>
    <w:p>
      <w:pPr>
        <w:spacing w:before="159" w:line="193"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1"/>
          <w:sz w:val="24"/>
          <w:szCs w:val="24"/>
        </w:rPr>
        <w:t>（5）五级目录：小</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11"/>
          <w:w w:val="91"/>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1"/>
          <w:sz w:val="24"/>
          <w:szCs w:val="24"/>
        </w:rPr>
        <w:t>号字，宋体；编号“（1）”“（2）”“（3）”、…等；</w:t>
      </w:r>
    </w:p>
    <w:p>
      <w:pPr>
        <w:spacing w:before="175" w:line="193" w:lineRule="auto"/>
        <w:ind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（6）六级目录：小</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9"/>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号字，宋体；编号为“①”“②”“③”…等。</w:t>
      </w:r>
    </w:p>
    <w:p>
      <w:pPr>
        <w:sectPr>
          <w:footerReference r:id="rId175" w:type="default"/>
          <w:pgSz w:w="11905" w:h="16840"/>
          <w:pgMar w:top="1431" w:right="1507" w:bottom="1365" w:left="1466" w:header="0" w:footer="1241" w:gutter="0"/>
          <w:cols w:space="720" w:num="1"/>
        </w:sectPr>
      </w:pPr>
    </w:p>
    <w:p>
      <w:pPr>
        <w:spacing w:line="261" w:lineRule="auto"/>
        <w:rPr>
          <w:rFonts w:ascii="Malgun Gothic"/>
          <w:sz w:val="21"/>
        </w:rPr>
      </w:pPr>
    </w:p>
    <w:p>
      <w:pPr>
        <w:spacing w:line="261" w:lineRule="auto"/>
        <w:rPr>
          <w:rFonts w:ascii="Malgun Gothic"/>
          <w:sz w:val="21"/>
        </w:rPr>
      </w:pPr>
    </w:p>
    <w:p>
      <w:pPr>
        <w:spacing w:before="86"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14:textOutline w14:w="3048" w14:cap="flat" w14:cmpd="sng">
            <w14:solidFill>
              <w14:srgbClr w14:val="000000"/>
            </w14:solidFill>
            <w14:prstDash w14:val="solid"/>
            <w14:miter w14:val="1"/>
          </w14:textOutline>
        </w:rPr>
        <w:t>文档格式参考</w:t>
      </w:r>
    </w:p>
    <w:p>
      <w:pPr>
        <w:spacing w:before="188" w:line="311" w:lineRule="auto"/>
        <w:ind w:right="89"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（1）</w:t>
      </w:r>
      <w:r>
        <w:rPr>
          <w:rFonts w:ascii="方正书宋简体" w:hAnsi="方正书宋简体" w:eastAsia="方正书宋简体" w:cs="方正书宋简体"/>
          <w:spacing w:val="61"/>
          <w:sz w:val="24"/>
          <w:szCs w:val="24"/>
        </w:rPr>
        <w:t xml:space="preserve"> </w:t>
      </w:r>
      <w:r>
        <w:rPr>
          <w:rFonts w:ascii="方正书宋简体" w:hAnsi="方正书宋简体" w:eastAsia="方正书宋简体" w:cs="方正书宋简体"/>
          <w:spacing w:val="-11"/>
          <w:w w:val="95"/>
          <w:sz w:val="24"/>
          <w:szCs w:val="24"/>
        </w:rPr>
        <w:t>文字资料：</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w w:val="95"/>
          <w:sz w:val="24"/>
          <w:szCs w:val="24"/>
        </w:rPr>
        <w:t>采用</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1"/>
          <w:w w:val="95"/>
          <w:sz w:val="24"/>
          <w:szCs w:val="24"/>
        </w:rPr>
        <w:t>Word</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1"/>
          <w:w w:val="95"/>
          <w:sz w:val="24"/>
          <w:szCs w:val="24"/>
        </w:rPr>
        <w:t>格式，</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w w:val="95"/>
          <w:sz w:val="24"/>
          <w:szCs w:val="24"/>
        </w:rPr>
        <w:t>题目用</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5"/>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5"/>
          <w:sz w:val="24"/>
          <w:szCs w:val="24"/>
        </w:rPr>
        <w:t>号宋体加粗；</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w w:val="95"/>
          <w:sz w:val="24"/>
          <w:szCs w:val="24"/>
        </w:rPr>
        <w:t>大标题用</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5"/>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5"/>
          <w:sz w:val="24"/>
          <w:szCs w:val="24"/>
        </w:rPr>
        <w:t>号黑体；</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1"/>
          <w:w w:val="95"/>
          <w:sz w:val="24"/>
          <w:szCs w:val="24"/>
        </w:rPr>
        <w:t>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有标题独立成行，不加标点。</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6"/>
          <w:sz w:val="24"/>
          <w:szCs w:val="24"/>
        </w:rPr>
        <w:t>（除法规、规章名称加书名号外）正文用小</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6"/>
          <w:sz w:val="24"/>
          <w:szCs w:val="24"/>
        </w:rPr>
        <w:t>3</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6"/>
          <w:sz w:val="24"/>
          <w:szCs w:val="24"/>
        </w:rPr>
        <w:t>号仿宋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_GB2312。</w:t>
      </w:r>
    </w:p>
    <w:p>
      <w:pPr>
        <w:spacing w:before="21" w:line="315" w:lineRule="auto"/>
        <w:ind w:right="91"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（2）</w:t>
      </w:r>
      <w:r>
        <w:rPr>
          <w:rFonts w:ascii="方正书宋简体" w:hAnsi="方正书宋简体" w:eastAsia="方正书宋简体" w:cs="方正书宋简体"/>
          <w:spacing w:val="68"/>
          <w:sz w:val="24"/>
          <w:szCs w:val="24"/>
        </w:rPr>
        <w:t xml:space="preserve"> </w:t>
      </w:r>
      <w:r>
        <w:rPr>
          <w:rFonts w:ascii="方正书宋简体" w:hAnsi="方正书宋简体" w:eastAsia="方正书宋简体" w:cs="方正书宋简体"/>
          <w:spacing w:val="-11"/>
          <w:w w:val="97"/>
          <w:sz w:val="24"/>
          <w:szCs w:val="24"/>
        </w:rPr>
        <w:t>表格：</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7"/>
          <w:sz w:val="24"/>
          <w:szCs w:val="24"/>
        </w:rPr>
        <w:t>一律采用</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7"/>
          <w:sz w:val="24"/>
          <w:szCs w:val="24"/>
        </w:rPr>
        <w:t>EXCEL</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7"/>
          <w:sz w:val="24"/>
          <w:szCs w:val="24"/>
        </w:rPr>
        <w:t>表格，</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w w:val="97"/>
          <w:sz w:val="24"/>
          <w:szCs w:val="24"/>
        </w:rPr>
        <w:t>题目用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7"/>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7"/>
          <w:sz w:val="24"/>
          <w:szCs w:val="24"/>
        </w:rPr>
        <w:t>号宋体加粗；</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7"/>
          <w:sz w:val="24"/>
          <w:szCs w:val="24"/>
        </w:rPr>
        <w:t>标题栏用小</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7"/>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7"/>
          <w:sz w:val="24"/>
          <w:szCs w:val="24"/>
        </w:rPr>
        <w:t>号仿宋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_GB2312。</w:t>
      </w:r>
    </w:p>
    <w:p>
      <w:pPr>
        <w:spacing w:before="2"/>
        <w:ind w:left="5" w:right="90"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（3）附件：</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2"/>
          <w:w w:val="99"/>
          <w:sz w:val="24"/>
          <w:szCs w:val="24"/>
        </w:rPr>
        <w:t>文件资料如有附件，</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2"/>
          <w:w w:val="99"/>
          <w:sz w:val="24"/>
          <w:szCs w:val="24"/>
        </w:rPr>
        <w:t>在正文下一行左空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w w:val="99"/>
          <w:sz w:val="24"/>
          <w:szCs w:val="24"/>
        </w:rPr>
        <w:t>2</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2"/>
          <w:w w:val="99"/>
          <w:sz w:val="24"/>
          <w:szCs w:val="24"/>
        </w:rPr>
        <w:t>字用</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2"/>
          <w:w w:val="99"/>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w w:val="99"/>
          <w:sz w:val="24"/>
          <w:szCs w:val="24"/>
        </w:rPr>
        <w:t>号仿宋体字标识“附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件”，后标全角冒号和名称。附件如有序号使用阿拉伯数码（如“附件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1：××××</w:t>
      </w:r>
    </w:p>
    <w:p>
      <w:pPr>
        <w:spacing w:before="212" w:line="193" w:lineRule="auto"/>
        <w:ind w:firstLine="6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w:t>
      </w:r>
      <w:r>
        <w:rPr>
          <w:rFonts w:ascii="方正书宋简体" w:hAnsi="方正书宋简体" w:eastAsia="方正书宋简体" w:cs="方正书宋简体"/>
          <w:spacing w:val="-101"/>
          <w:w w:val="93"/>
          <w:sz w:val="24"/>
          <w:szCs w:val="24"/>
        </w:rPr>
        <w:t>）；</w:t>
      </w:r>
      <w:r>
        <w:rPr>
          <w:rFonts w:ascii="方正书宋简体" w:hAnsi="方正书宋简体" w:eastAsia="方正书宋简体" w:cs="方正书宋简体"/>
          <w:spacing w:val="-7"/>
          <w:sz w:val="24"/>
          <w:szCs w:val="24"/>
        </w:rPr>
        <w:t>附件名称后不加标点符号。</w:t>
      </w:r>
    </w:p>
    <w:p>
      <w:pPr>
        <w:spacing w:before="175" w:line="303" w:lineRule="auto"/>
        <w:ind w:left="5" w:right="9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（4）落款：凡不需加盖公章的材料应在正文右下方落款处署成文单位全称，在</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下一行相应处标识成文日期。</w:t>
      </w:r>
    </w:p>
    <w:p>
      <w:pPr>
        <w:spacing w:before="36" w:line="315" w:lineRule="auto"/>
        <w:ind w:left="50" w:firstLine="2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（5）</w:t>
      </w:r>
      <w:r>
        <w:rPr>
          <w:rFonts w:ascii="方正书宋简体" w:hAnsi="方正书宋简体" w:eastAsia="方正书宋简体" w:cs="方正书宋简体"/>
          <w:spacing w:val="69"/>
          <w:sz w:val="24"/>
          <w:szCs w:val="24"/>
        </w:rPr>
        <w:t xml:space="preserve"> </w:t>
      </w:r>
      <w:r>
        <w:rPr>
          <w:rFonts w:ascii="方正书宋简体" w:hAnsi="方正书宋简体" w:eastAsia="方正书宋简体" w:cs="方正书宋简体"/>
          <w:spacing w:val="-11"/>
          <w:w w:val="95"/>
          <w:sz w:val="24"/>
          <w:szCs w:val="24"/>
        </w:rPr>
        <w:t>页面设置：</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w w:val="95"/>
          <w:sz w:val="24"/>
          <w:szCs w:val="24"/>
        </w:rPr>
        <w:t>页边距：</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w w:val="95"/>
          <w:sz w:val="24"/>
          <w:szCs w:val="24"/>
        </w:rPr>
        <w:t>上、下</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5"/>
          <w:sz w:val="24"/>
          <w:szCs w:val="24"/>
        </w:rPr>
        <w:t>2.54</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1"/>
          <w:w w:val="95"/>
          <w:sz w:val="24"/>
          <w:szCs w:val="24"/>
        </w:rPr>
        <w:t>厘米；</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w w:val="95"/>
          <w:sz w:val="24"/>
          <w:szCs w:val="24"/>
        </w:rPr>
        <w:t>左、右</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1"/>
          <w:w w:val="95"/>
          <w:sz w:val="24"/>
          <w:szCs w:val="24"/>
        </w:rPr>
        <w:t>3.17</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1"/>
          <w:w w:val="95"/>
          <w:sz w:val="24"/>
          <w:szCs w:val="24"/>
        </w:rPr>
        <w:t>厘米。行间距：</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5"/>
          <w:sz w:val="24"/>
          <w:szCs w:val="24"/>
        </w:rPr>
        <w:t>1.5</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1"/>
          <w:w w:val="95"/>
          <w:sz w:val="24"/>
          <w:szCs w:val="24"/>
        </w:rPr>
        <w:t>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目录、文字资料均用</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14"/>
          <w:sz w:val="24"/>
          <w:szCs w:val="24"/>
        </w:rPr>
        <w:t>A4</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4"/>
          <w:sz w:val="24"/>
          <w:szCs w:val="24"/>
        </w:rPr>
        <w:t>纸纵向打印。</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4"/>
          <w:sz w:val="24"/>
          <w:szCs w:val="24"/>
        </w:rPr>
        <w:t>（表格等须横向打印的材料除外）。</w:t>
      </w:r>
    </w:p>
    <w:p>
      <w:pPr>
        <w:spacing w:before="4" w:line="199"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（6）装订要求：左侧装订，不掉页。</w:t>
      </w:r>
    </w:p>
    <w:p>
      <w:pPr>
        <w:sectPr>
          <w:footerReference r:id="rId176" w:type="default"/>
          <w:pgSz w:w="11905" w:h="16840"/>
          <w:pgMar w:top="1431" w:right="1496" w:bottom="1365" w:left="1587" w:header="0" w:footer="1241" w:gutter="0"/>
          <w:cols w:space="720" w:num="1"/>
        </w:sectPr>
      </w:pPr>
    </w:p>
    <w:p>
      <w:pPr>
        <w:spacing w:before="427" w:line="437" w:lineRule="exact"/>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5"/>
          <w:sz w:val="24"/>
          <w:szCs w:val="24"/>
        </w:rPr>
        <w:t>附件</w:t>
      </w:r>
      <w:r>
        <w:rPr>
          <w:rFonts w:ascii="方正书宋简体" w:hAnsi="方正书宋简体" w:eastAsia="方正书宋简体" w:cs="方正书宋简体"/>
          <w:spacing w:val="15"/>
          <w:position w:val="15"/>
          <w:sz w:val="24"/>
          <w:szCs w:val="24"/>
        </w:rPr>
        <w:t xml:space="preserve"> </w:t>
      </w:r>
      <w:r>
        <w:rPr>
          <w:rFonts w:ascii="方正书宋简体" w:hAnsi="方正书宋简体" w:eastAsia="方正书宋简体" w:cs="方正书宋简体"/>
          <w:spacing w:val="-2"/>
          <w:position w:val="15"/>
          <w:sz w:val="24"/>
          <w:szCs w:val="24"/>
        </w:rPr>
        <w:t>2：主要教学文档存档规范及要求</w:t>
      </w:r>
    </w:p>
    <w:p>
      <w:pPr>
        <w:spacing w:before="1" w:line="176"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一、课程考核文档存档内容</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9"/>
        <w:gridCol w:w="7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59" w:type="dxa"/>
            <w:tcBorders>
              <w:top w:val="single" w:color="000000" w:sz="6" w:space="0"/>
              <w:left w:val="single" w:color="000000" w:sz="6" w:space="0"/>
            </w:tcBorders>
            <w:vAlign w:val="top"/>
          </w:tcPr>
          <w:p>
            <w:pPr>
              <w:spacing w:before="163" w:line="180" w:lineRule="auto"/>
              <w:ind w:firstLine="39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7875" w:type="dxa"/>
            <w:tcBorders>
              <w:top w:val="single" w:color="000000" w:sz="6" w:space="0"/>
              <w:right w:val="single" w:color="000000" w:sz="6" w:space="0"/>
            </w:tcBorders>
            <w:vAlign w:val="top"/>
          </w:tcPr>
          <w:p>
            <w:pPr>
              <w:spacing w:before="132"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课程考核大纲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859" w:type="dxa"/>
            <w:tcBorders>
              <w:left w:val="single" w:color="000000" w:sz="6" w:space="0"/>
            </w:tcBorders>
            <w:vAlign w:val="top"/>
          </w:tcPr>
          <w:p>
            <w:pPr>
              <w:spacing w:before="155" w:line="180" w:lineRule="auto"/>
              <w:ind w:firstLine="37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875" w:type="dxa"/>
            <w:tcBorders>
              <w:right w:val="single" w:color="000000" w:sz="6" w:space="0"/>
            </w:tcBorders>
            <w:vAlign w:val="top"/>
          </w:tcPr>
          <w:p>
            <w:pPr>
              <w:spacing w:before="121"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课程考核命题审批表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59" w:type="dxa"/>
            <w:tcBorders>
              <w:left w:val="single" w:color="000000" w:sz="6" w:space="0"/>
            </w:tcBorders>
            <w:vAlign w:val="top"/>
          </w:tcPr>
          <w:p>
            <w:pPr>
              <w:spacing w:before="156" w:line="180" w:lineRule="auto"/>
              <w:ind w:firstLine="37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875" w:type="dxa"/>
            <w:tcBorders>
              <w:right w:val="single" w:color="000000" w:sz="6" w:space="0"/>
            </w:tcBorders>
            <w:vAlign w:val="top"/>
          </w:tcPr>
          <w:p>
            <w:pPr>
              <w:spacing w:before="123"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考试试卷</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1"/>
                <w:sz w:val="21"/>
                <w:szCs w:val="21"/>
              </w:rPr>
              <w:t>A、B</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卷或考查题（考查课、技能考核等）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859" w:type="dxa"/>
            <w:tcBorders>
              <w:left w:val="single" w:color="000000" w:sz="6" w:space="0"/>
            </w:tcBorders>
            <w:vAlign w:val="top"/>
          </w:tcPr>
          <w:p>
            <w:pPr>
              <w:spacing w:before="160" w:line="180" w:lineRule="auto"/>
              <w:ind w:firstLine="3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7875" w:type="dxa"/>
            <w:tcBorders>
              <w:right w:val="single" w:color="000000" w:sz="6" w:space="0"/>
            </w:tcBorders>
            <w:vAlign w:val="top"/>
          </w:tcPr>
          <w:p>
            <w:pPr>
              <w:spacing w:before="125"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A、B</w:t>
            </w:r>
            <w:r>
              <w:rPr>
                <w:rFonts w:ascii="方正书宋简体" w:hAnsi="方正书宋简体" w:eastAsia="方正书宋简体" w:cs="方正书宋简体"/>
                <w:spacing w:val="34"/>
                <w:w w:val="101"/>
                <w:sz w:val="21"/>
                <w:szCs w:val="21"/>
              </w:rPr>
              <w:t xml:space="preserve"> </w:t>
            </w:r>
            <w:r>
              <w:rPr>
                <w:rFonts w:ascii="方正书宋简体" w:hAnsi="方正书宋简体" w:eastAsia="方正书宋简体" w:cs="方正书宋简体"/>
                <w:spacing w:val="-1"/>
                <w:sz w:val="21"/>
                <w:szCs w:val="21"/>
              </w:rPr>
              <w:t>卷的参考答案及评分细则或评分原则（考查课、技能考核等）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859" w:type="dxa"/>
            <w:tcBorders>
              <w:left w:val="single" w:color="000000" w:sz="6" w:space="0"/>
            </w:tcBorders>
            <w:vAlign w:val="top"/>
          </w:tcPr>
          <w:p>
            <w:pPr>
              <w:spacing w:before="159" w:line="180" w:lineRule="auto"/>
              <w:ind w:firstLine="37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875" w:type="dxa"/>
            <w:tcBorders>
              <w:right w:val="single" w:color="000000" w:sz="6" w:space="0"/>
            </w:tcBorders>
            <w:vAlign w:val="top"/>
          </w:tcPr>
          <w:p>
            <w:pPr>
              <w:spacing w:before="130"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平时成绩登记册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859" w:type="dxa"/>
            <w:tcBorders>
              <w:left w:val="single" w:color="000000" w:sz="6" w:space="0"/>
            </w:tcBorders>
            <w:vAlign w:val="top"/>
          </w:tcPr>
          <w:p>
            <w:pPr>
              <w:spacing w:before="162" w:line="180" w:lineRule="auto"/>
              <w:ind w:firstLine="37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7875" w:type="dxa"/>
            <w:tcBorders>
              <w:right w:val="single" w:color="000000" w:sz="6" w:space="0"/>
            </w:tcBorders>
            <w:vAlign w:val="top"/>
          </w:tcPr>
          <w:p>
            <w:pPr>
              <w:spacing w:before="132"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成绩报告单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859" w:type="dxa"/>
            <w:tcBorders>
              <w:left w:val="single" w:color="000000" w:sz="6" w:space="0"/>
            </w:tcBorders>
            <w:vAlign w:val="top"/>
          </w:tcPr>
          <w:p>
            <w:pPr>
              <w:spacing w:before="169" w:line="180" w:lineRule="auto"/>
              <w:ind w:firstLine="37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7875" w:type="dxa"/>
            <w:tcBorders>
              <w:right w:val="single" w:color="000000" w:sz="6" w:space="0"/>
            </w:tcBorders>
            <w:vAlign w:val="top"/>
          </w:tcPr>
          <w:p>
            <w:pPr>
              <w:spacing w:before="133"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课程教学分析表（含原始成绩、试卷（考核命题）分析）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59" w:type="dxa"/>
            <w:tcBorders>
              <w:left w:val="single" w:color="000000" w:sz="6" w:space="0"/>
              <w:bottom w:val="single" w:color="000000" w:sz="6" w:space="0"/>
            </w:tcBorders>
            <w:vAlign w:val="top"/>
          </w:tcPr>
          <w:p>
            <w:pPr>
              <w:spacing w:before="324" w:line="180" w:lineRule="auto"/>
              <w:ind w:firstLine="37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7875" w:type="dxa"/>
            <w:tcBorders>
              <w:bottom w:val="single" w:color="000000" w:sz="6" w:space="0"/>
              <w:right w:val="single" w:color="000000" w:sz="6" w:space="0"/>
            </w:tcBorders>
            <w:vAlign w:val="top"/>
          </w:tcPr>
          <w:p>
            <w:pPr>
              <w:spacing w:before="135" w:line="263" w:lineRule="auto"/>
              <w:ind w:left="120" w:right="205" w:hanging="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学生答卷或反映成绩的小论文、报告、设计册等纸质文档（或雕塑、模型、实物等</w:t>
            </w:r>
            <w:r>
              <w:rPr>
                <w:rFonts w:ascii="方正书宋简体" w:hAnsi="方正书宋简体" w:eastAsia="方正书宋简体" w:cs="方正书宋简体"/>
                <w:spacing w:val="30"/>
                <w:sz w:val="21"/>
                <w:szCs w:val="21"/>
              </w:rPr>
              <w:t xml:space="preserve"> </w:t>
            </w:r>
            <w:r>
              <w:rPr>
                <w:rFonts w:ascii="方正书宋简体" w:hAnsi="方正书宋简体" w:eastAsia="方正书宋简体" w:cs="方正书宋简体"/>
                <w:spacing w:val="-3"/>
                <w:sz w:val="21"/>
                <w:szCs w:val="21"/>
              </w:rPr>
              <w:t>电子材料）</w:t>
            </w:r>
          </w:p>
        </w:tc>
      </w:tr>
    </w:tbl>
    <w:p>
      <w:pPr>
        <w:spacing w:before="145" w:line="177" w:lineRule="auto"/>
        <w:ind w:firstLine="503"/>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二、毕业论文（设计）文档存档内容</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6"/>
        <w:gridCol w:w="1851"/>
        <w:gridCol w:w="60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rPr>
        <w:tc>
          <w:tcPr>
            <w:tcW w:w="846" w:type="dxa"/>
            <w:tcBorders>
              <w:top w:val="single" w:color="000000" w:sz="6" w:space="0"/>
              <w:left w:val="single" w:color="000000" w:sz="6" w:space="0"/>
            </w:tcBorders>
            <w:vAlign w:val="top"/>
          </w:tcPr>
          <w:p>
            <w:pPr>
              <w:spacing w:before="319" w:line="180" w:lineRule="auto"/>
              <w:ind w:firstLine="38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7888" w:type="dxa"/>
            <w:gridSpan w:val="2"/>
            <w:tcBorders>
              <w:top w:val="single" w:color="000000" w:sz="6" w:space="0"/>
              <w:right w:val="single" w:color="000000" w:sz="6" w:space="0"/>
            </w:tcBorders>
            <w:vAlign w:val="top"/>
          </w:tcPr>
          <w:p>
            <w:pPr>
              <w:spacing w:before="126" w:line="238" w:lineRule="auto"/>
              <w:ind w:left="100" w:right="101"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学院毕业论文（设计）</w:t>
            </w:r>
            <w:r>
              <w:rPr>
                <w:rFonts w:ascii="方正书宋简体" w:hAnsi="方正书宋简体" w:eastAsia="方正书宋简体" w:cs="方正书宋简体"/>
                <w:spacing w:val="58"/>
                <w:w w:val="101"/>
                <w:sz w:val="21"/>
                <w:szCs w:val="21"/>
              </w:rPr>
              <w:t xml:space="preserve"> </w:t>
            </w:r>
            <w:r>
              <w:rPr>
                <w:rFonts w:ascii="方正书宋简体" w:hAnsi="方正书宋简体" w:eastAsia="方正书宋简体" w:cs="方正书宋简体"/>
                <w:spacing w:val="-12"/>
                <w:sz w:val="21"/>
                <w:szCs w:val="21"/>
              </w:rPr>
              <w:t>工作计划；</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2"/>
                <w:sz w:val="21"/>
                <w:szCs w:val="21"/>
              </w:rPr>
              <w:t>毕业论文（设计）</w:t>
            </w:r>
            <w:r>
              <w:rPr>
                <w:rFonts w:ascii="方正书宋简体" w:hAnsi="方正书宋简体" w:eastAsia="方正书宋简体" w:cs="方正书宋简体"/>
                <w:spacing w:val="43"/>
                <w:w w:val="101"/>
                <w:sz w:val="21"/>
                <w:szCs w:val="21"/>
              </w:rPr>
              <w:t xml:space="preserve"> </w:t>
            </w:r>
            <w:r>
              <w:rPr>
                <w:rFonts w:ascii="方正书宋简体" w:hAnsi="方正书宋简体" w:eastAsia="方正书宋简体" w:cs="方正书宋简体"/>
                <w:spacing w:val="-12"/>
                <w:sz w:val="21"/>
                <w:szCs w:val="21"/>
              </w:rPr>
              <w:t>书写规范格式、写作要求（质量</w:t>
            </w:r>
            <w:r>
              <w:rPr>
                <w:rFonts w:ascii="方正书宋简体" w:hAnsi="方正书宋简体" w:eastAsia="方正书宋简体" w:cs="方正书宋简体"/>
                <w:sz w:val="21"/>
                <w:szCs w:val="21"/>
              </w:rPr>
              <w:t xml:space="preserve"> 标准、评价标准等）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46" w:type="dxa"/>
            <w:tcBorders>
              <w:left w:val="single" w:color="000000" w:sz="6" w:space="0"/>
            </w:tcBorders>
            <w:vAlign w:val="top"/>
          </w:tcPr>
          <w:p>
            <w:pPr>
              <w:spacing w:before="156" w:line="180" w:lineRule="auto"/>
              <w:ind w:firstLine="36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888" w:type="dxa"/>
            <w:gridSpan w:val="2"/>
            <w:tcBorders>
              <w:right w:val="single" w:color="000000" w:sz="6" w:space="0"/>
            </w:tcBorders>
            <w:vAlign w:val="top"/>
          </w:tcPr>
          <w:p>
            <w:pPr>
              <w:spacing w:before="122"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学院毕业论文（设计）选题指南（以专业为单元编制）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46" w:type="dxa"/>
            <w:vMerge w:val="restart"/>
            <w:tcBorders>
              <w:left w:val="single" w:color="000000" w:sz="6" w:space="0"/>
              <w:bottom w:val="nil"/>
            </w:tcBorders>
            <w:vAlign w:val="top"/>
          </w:tcPr>
          <w:p>
            <w:pPr>
              <w:spacing w:line="378" w:lineRule="auto"/>
              <w:rPr>
                <w:rFonts w:ascii="Malgun Gothic"/>
                <w:sz w:val="21"/>
              </w:rPr>
            </w:pPr>
          </w:p>
          <w:p>
            <w:pPr>
              <w:spacing w:before="75"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1851" w:type="dxa"/>
            <w:vMerge w:val="restart"/>
            <w:tcBorders>
              <w:bottom w:val="nil"/>
            </w:tcBorders>
            <w:vAlign w:val="top"/>
          </w:tcPr>
          <w:p>
            <w:pPr>
              <w:spacing w:line="253" w:lineRule="auto"/>
              <w:rPr>
                <w:rFonts w:ascii="Malgun Gothic"/>
                <w:sz w:val="21"/>
              </w:rPr>
            </w:pPr>
          </w:p>
          <w:p>
            <w:pPr>
              <w:spacing w:before="75" w:line="251" w:lineRule="auto"/>
              <w:ind w:left="707" w:right="105" w:hanging="60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学生毕业论文（设</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计）</w:t>
            </w:r>
          </w:p>
        </w:tc>
        <w:tc>
          <w:tcPr>
            <w:tcW w:w="6037" w:type="dxa"/>
            <w:tcBorders>
              <w:right w:val="single" w:color="000000" w:sz="6" w:space="0"/>
            </w:tcBorders>
            <w:vAlign w:val="top"/>
          </w:tcPr>
          <w:p>
            <w:pPr>
              <w:spacing w:before="126"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毕业论文（设计）开题报告（任务书）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846" w:type="dxa"/>
            <w:vMerge w:val="continue"/>
            <w:tcBorders>
              <w:top w:val="nil"/>
              <w:left w:val="single" w:color="000000" w:sz="6" w:space="0"/>
              <w:bottom w:val="nil"/>
            </w:tcBorders>
            <w:vAlign w:val="top"/>
          </w:tcPr>
          <w:p>
            <w:pPr>
              <w:rPr>
                <w:rFonts w:ascii="Malgun Gothic"/>
                <w:sz w:val="21"/>
              </w:rPr>
            </w:pPr>
          </w:p>
        </w:tc>
        <w:tc>
          <w:tcPr>
            <w:tcW w:w="1851" w:type="dxa"/>
            <w:vMerge w:val="continue"/>
            <w:tcBorders>
              <w:top w:val="nil"/>
              <w:bottom w:val="nil"/>
            </w:tcBorders>
            <w:vAlign w:val="top"/>
          </w:tcPr>
          <w:p>
            <w:pPr>
              <w:rPr>
                <w:rFonts w:ascii="Malgun Gothic"/>
                <w:sz w:val="21"/>
              </w:rPr>
            </w:pPr>
          </w:p>
        </w:tc>
        <w:tc>
          <w:tcPr>
            <w:tcW w:w="6037" w:type="dxa"/>
            <w:tcBorders>
              <w:right w:val="single" w:color="000000" w:sz="6" w:space="0"/>
            </w:tcBorders>
            <w:vAlign w:val="top"/>
          </w:tcPr>
          <w:p>
            <w:pPr>
              <w:spacing w:before="129"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毕业论文（设计）指导书（含指导一、二、三稿意见、评定意见）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846" w:type="dxa"/>
            <w:vMerge w:val="continue"/>
            <w:tcBorders>
              <w:top w:val="nil"/>
              <w:left w:val="single" w:color="000000" w:sz="6" w:space="0"/>
            </w:tcBorders>
            <w:vAlign w:val="top"/>
          </w:tcPr>
          <w:p>
            <w:pPr>
              <w:rPr>
                <w:rFonts w:ascii="Malgun Gothic"/>
                <w:sz w:val="21"/>
              </w:rPr>
            </w:pPr>
          </w:p>
        </w:tc>
        <w:tc>
          <w:tcPr>
            <w:tcW w:w="1851" w:type="dxa"/>
            <w:vMerge w:val="continue"/>
            <w:tcBorders>
              <w:top w:val="nil"/>
            </w:tcBorders>
            <w:vAlign w:val="top"/>
          </w:tcPr>
          <w:p>
            <w:pPr>
              <w:rPr>
                <w:rFonts w:ascii="Malgun Gothic"/>
                <w:sz w:val="21"/>
              </w:rPr>
            </w:pPr>
          </w:p>
        </w:tc>
        <w:tc>
          <w:tcPr>
            <w:tcW w:w="6037" w:type="dxa"/>
            <w:tcBorders>
              <w:right w:val="single" w:color="000000" w:sz="6" w:space="0"/>
            </w:tcBorders>
            <w:vAlign w:val="top"/>
          </w:tcPr>
          <w:p>
            <w:pPr>
              <w:spacing w:before="130"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毕业论文（设计）文本定稿及特殊专业的音像资料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846" w:type="dxa"/>
            <w:tcBorders>
              <w:left w:val="single" w:color="000000" w:sz="6" w:space="0"/>
            </w:tcBorders>
            <w:vAlign w:val="top"/>
          </w:tcPr>
          <w:p>
            <w:pPr>
              <w:spacing w:before="164" w:line="180" w:lineRule="auto"/>
              <w:ind w:firstLine="36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7888" w:type="dxa"/>
            <w:gridSpan w:val="2"/>
            <w:tcBorders>
              <w:right w:val="single" w:color="000000" w:sz="6" w:space="0"/>
            </w:tcBorders>
            <w:vAlign w:val="top"/>
          </w:tcPr>
          <w:p>
            <w:pPr>
              <w:spacing w:before="130"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学院按评估要求以专业、班级统计的毕业论文（设计）信息统计表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46" w:type="dxa"/>
            <w:tcBorders>
              <w:left w:val="single" w:color="000000" w:sz="6" w:space="0"/>
              <w:bottom w:val="single" w:color="000000" w:sz="6" w:space="0"/>
            </w:tcBorders>
            <w:vAlign w:val="top"/>
          </w:tcPr>
          <w:p>
            <w:pPr>
              <w:spacing w:before="164" w:line="180" w:lineRule="auto"/>
              <w:ind w:firstLine="36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888" w:type="dxa"/>
            <w:gridSpan w:val="2"/>
            <w:tcBorders>
              <w:bottom w:val="single" w:color="000000" w:sz="6" w:space="0"/>
              <w:right w:val="single" w:color="000000" w:sz="6" w:space="0"/>
            </w:tcBorders>
            <w:vAlign w:val="top"/>
          </w:tcPr>
          <w:p>
            <w:pPr>
              <w:spacing w:before="130" w:line="193"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学院毕业论文（设计）工作总结材料</w:t>
            </w:r>
          </w:p>
        </w:tc>
      </w:tr>
    </w:tbl>
    <w:p>
      <w:pPr>
        <w:spacing w:before="154" w:line="254" w:lineRule="auto"/>
        <w:ind w:left="12" w:right="10"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注：</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1"/>
          <w:w w:val="97"/>
          <w:sz w:val="24"/>
          <w:szCs w:val="24"/>
        </w:rPr>
        <w:t>1、2、4、5</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7"/>
          <w:sz w:val="24"/>
          <w:szCs w:val="24"/>
        </w:rPr>
        <w:t>为学院毕业论文（设计）</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1"/>
          <w:w w:val="97"/>
          <w:sz w:val="24"/>
          <w:szCs w:val="24"/>
        </w:rPr>
        <w:t>工作档案；</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1"/>
          <w:w w:val="97"/>
          <w:sz w:val="24"/>
          <w:szCs w:val="24"/>
        </w:rPr>
        <w:t>3</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w w:val="97"/>
          <w:sz w:val="24"/>
          <w:szCs w:val="24"/>
        </w:rPr>
        <w:t>为学生个人毕业论文（设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计）档案材料。</w:t>
      </w:r>
    </w:p>
    <w:p>
      <w:pPr>
        <w:spacing w:before="165" w:line="177" w:lineRule="auto"/>
        <w:ind w:firstLine="50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三、实习（见习）文档存档内容</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79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762" w:type="dxa"/>
            <w:tcBorders>
              <w:top w:val="single" w:color="000000" w:sz="6" w:space="0"/>
              <w:left w:val="single" w:color="000000" w:sz="6" w:space="0"/>
            </w:tcBorders>
            <w:vAlign w:val="top"/>
          </w:tcPr>
          <w:p>
            <w:pPr>
              <w:spacing w:before="163" w:line="180" w:lineRule="auto"/>
              <w:ind w:firstLine="34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7972" w:type="dxa"/>
            <w:tcBorders>
              <w:top w:val="single" w:color="000000" w:sz="6" w:space="0"/>
              <w:right w:val="single" w:color="000000" w:sz="6" w:space="0"/>
            </w:tcBorders>
            <w:vAlign w:val="top"/>
          </w:tcPr>
          <w:p>
            <w:pPr>
              <w:spacing w:before="130"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学院年度实习（见习）工作计划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762" w:type="dxa"/>
            <w:tcBorders>
              <w:left w:val="single" w:color="000000" w:sz="6" w:space="0"/>
            </w:tcBorders>
            <w:vAlign w:val="top"/>
          </w:tcPr>
          <w:p>
            <w:pPr>
              <w:spacing w:before="156" w:line="180" w:lineRule="auto"/>
              <w:ind w:firstLine="32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972" w:type="dxa"/>
            <w:tcBorders>
              <w:right w:val="single" w:color="000000" w:sz="6" w:space="0"/>
            </w:tcBorders>
            <w:vAlign w:val="top"/>
          </w:tcPr>
          <w:p>
            <w:pPr>
              <w:spacing w:before="124"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学院学期实施计划、学院年度实习总结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762" w:type="dxa"/>
            <w:tcBorders>
              <w:left w:val="single" w:color="000000" w:sz="6" w:space="0"/>
            </w:tcBorders>
            <w:vAlign w:val="top"/>
          </w:tcPr>
          <w:p>
            <w:pPr>
              <w:spacing w:before="159" w:line="180" w:lineRule="auto"/>
              <w:ind w:firstLine="32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972" w:type="dxa"/>
            <w:tcBorders>
              <w:right w:val="single" w:color="000000" w:sz="6" w:space="0"/>
            </w:tcBorders>
            <w:vAlign w:val="top"/>
          </w:tcPr>
          <w:p>
            <w:pPr>
              <w:spacing w:before="114"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实习（见习）项目具体计划、安排（含学生分组名单）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762" w:type="dxa"/>
            <w:tcBorders>
              <w:left w:val="single" w:color="000000" w:sz="6" w:space="0"/>
            </w:tcBorders>
            <w:vAlign w:val="top"/>
          </w:tcPr>
          <w:p>
            <w:pPr>
              <w:spacing w:before="164" w:line="180" w:lineRule="auto"/>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7972" w:type="dxa"/>
            <w:tcBorders>
              <w:right w:val="single" w:color="000000" w:sz="6" w:space="0"/>
            </w:tcBorders>
            <w:vAlign w:val="top"/>
          </w:tcPr>
          <w:p>
            <w:pPr>
              <w:spacing w:before="130"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实习（见习）报告、总结（含经费使用）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762" w:type="dxa"/>
            <w:tcBorders>
              <w:left w:val="single" w:color="000000" w:sz="6" w:space="0"/>
              <w:bottom w:val="single" w:color="000000" w:sz="6" w:space="0"/>
            </w:tcBorders>
            <w:vAlign w:val="top"/>
          </w:tcPr>
          <w:p>
            <w:pPr>
              <w:spacing w:before="164" w:line="180" w:lineRule="auto"/>
              <w:ind w:firstLine="32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972" w:type="dxa"/>
            <w:tcBorders>
              <w:bottom w:val="single" w:color="000000" w:sz="6" w:space="0"/>
              <w:right w:val="single" w:color="000000" w:sz="6" w:space="0"/>
            </w:tcBorders>
            <w:vAlign w:val="top"/>
          </w:tcPr>
          <w:p>
            <w:pPr>
              <w:spacing w:before="134"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学生实习（见习）成绩鉴定表</w:t>
            </w:r>
          </w:p>
        </w:tc>
      </w:tr>
    </w:tbl>
    <w:p>
      <w:pPr>
        <w:rPr>
          <w:rFonts w:ascii="Malgun Gothic"/>
          <w:sz w:val="21"/>
        </w:rPr>
      </w:pPr>
    </w:p>
    <w:p>
      <w:pPr>
        <w:sectPr>
          <w:footerReference r:id="rId177" w:type="default"/>
          <w:pgSz w:w="11905" w:h="16840"/>
          <w:pgMar w:top="1431" w:right="1577" w:bottom="1365" w:left="1578" w:header="0" w:footer="1241" w:gutter="0"/>
          <w:cols w:space="720" w:num="1"/>
        </w:sectPr>
      </w:pPr>
    </w:p>
    <w:p>
      <w:pPr>
        <w:spacing w:before="349" w:line="180" w:lineRule="auto"/>
        <w:ind w:firstLine="5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吉首大学全日制学生学历、学士学位证书发放管理办法</w:t>
      </w:r>
    </w:p>
    <w:p>
      <w:pPr>
        <w:spacing w:line="317" w:lineRule="auto"/>
        <w:rPr>
          <w:rFonts w:ascii="Malgun Gothic"/>
          <w:sz w:val="21"/>
        </w:rPr>
      </w:pPr>
    </w:p>
    <w:p>
      <w:pPr>
        <w:spacing w:before="85" w:line="315" w:lineRule="auto"/>
        <w:ind w:left="3"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为加强普通高等教育学历、学位证书的管理，</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维护国家学历、学位教育制度和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学历证书、学位证书的严肃性，保证我校本、</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专科教育教学的质量和规格，根据教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育部和省教育厅有关文件规定，特制定本办法。</w:t>
      </w:r>
    </w:p>
    <w:p>
      <w:pPr>
        <w:spacing w:before="1" w:line="239" w:lineRule="auto"/>
        <w:ind w:left="3" w:right="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一、学校严格按照招生时确定的办学类型和学习形式，以及学生招生录取时填</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报的个人信息，填写、颁发学历证书、学位证书及其他学业证书。</w:t>
      </w:r>
    </w:p>
    <w:p>
      <w:pPr>
        <w:spacing w:before="213" w:line="274"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学生在校期间变更姓名、出生日期等证书需填写的个人信息的，必须有合理、</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充分的理由，并提供有效法定效力的相应证明文件。学校将对学生生源地省级教育</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行政部门及有关部门协助核查的材料进行审查。</w:t>
      </w:r>
    </w:p>
    <w:p>
      <w:pPr>
        <w:spacing w:before="180" w:line="315" w:lineRule="auto"/>
        <w:ind w:left="30" w:right="3" w:firstLine="45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二、全日制本、专科学生学历证书、学士学位证书发放管理归口教务处，证书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由主管学籍专人负责管理。</w:t>
      </w:r>
    </w:p>
    <w:p>
      <w:pPr>
        <w:spacing w:before="2" w:line="315" w:lineRule="auto"/>
        <w:ind w:right="6"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三、学校组织预计毕业生电子注册照片采集前，须以学院为单位，由教学秘书</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组织学生本人核对学生姓名、性别、籍贯、政治面貌、民族、出生日期、身份</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证号等有关信息，不核对而产生错误者，后果自负。</w:t>
      </w:r>
    </w:p>
    <w:p>
      <w:pPr>
        <w:spacing w:before="5" w:line="283" w:lineRule="auto"/>
        <w:ind w:firstLine="50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四、毕业前，各学院应认真对学生进行毕业资格和学士学位授予资格审查，报</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教务处复核。符合毕业条件和学士学位授予条件的毕业生，学校发给毕业证书，授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予学士学位；符合毕业条件但不符合学士学位授予条件的毕业生，学校只发给毕业</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证书；不符合毕业条件的毕业生经本人申请只发给相应的学历证明。</w:t>
      </w:r>
    </w:p>
    <w:p>
      <w:pPr>
        <w:spacing w:before="179" w:line="265" w:lineRule="auto"/>
        <w:ind w:left="2"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五、学院填报《吉首大学</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7"/>
          <w:sz w:val="24"/>
          <w:szCs w:val="24"/>
        </w:rPr>
        <w:t>届毕业生证书发放名单》报教务处审核，</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7"/>
          <w:sz w:val="24"/>
          <w:szCs w:val="24"/>
        </w:rPr>
        <w:t>通过后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领取相应证书。学院应指定专人负责发放证书，发放时要求学生签名确认证书已领</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取和证书上的各项信息无误，并将学生签名确认证书领取情况交教务处存档。</w:t>
      </w:r>
    </w:p>
    <w:p>
      <w:pPr>
        <w:spacing w:before="216" w:line="315"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六、对完成本专业学业的同时辅修其他专业并达到该专业辅修要求者，取得规</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定的学分，办理相关手续后，学校发给辅修专业证书。辅修课程合格者，由学校出</w:t>
      </w:r>
      <w:bookmarkStart w:id="0" w:name="_GoBack"/>
      <w:bookmarkEnd w:id="0"/>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具辅修课程学习证明。</w:t>
      </w:r>
    </w:p>
    <w:p>
      <w:pPr>
        <w:spacing w:before="2" w:line="315" w:lineRule="auto"/>
        <w:ind w:right="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跨学科门类辅修专业的学生，所修课程及取得的学分达到学士学位管理规定的</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要求，经学校学士学位评定委员会批准，发给辅修专业学士学位证书。</w:t>
      </w:r>
    </w:p>
    <w:p>
      <w:pPr>
        <w:spacing w:before="1" w:line="315"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七、毕业证书、学士学位证书及结业证书的发放，每年进行两次。学校严格执</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行高等教育学历证书电子注册管理制度，每年按规定对颁发的毕（结）业证书信息</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进行即时注册，注册结果可在教育部学信平台查询。学历证书可在教育部公布网站</w:t>
      </w:r>
    </w:p>
    <w:p>
      <w:pPr>
        <w:sectPr>
          <w:footerReference r:id="rId178" w:type="default"/>
          <w:pgSz w:w="11905" w:h="16840"/>
          <w:pgMar w:top="1431" w:right="1585" w:bottom="1365" w:left="1590" w:header="0" w:footer="1241" w:gutter="0"/>
          <w:cols w:space="720" w:num="1"/>
        </w:sectPr>
      </w:pPr>
    </w:p>
    <w:p>
      <w:pPr>
        <w:spacing w:before="423" w:line="193"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（www.chsi.com.cn）</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查询；学位证书在网站（www.</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chinadegrees.com.cn</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）查询。</w:t>
      </w:r>
    </w:p>
    <w:p>
      <w:pPr>
        <w:spacing w:before="182" w:line="312" w:lineRule="auto"/>
        <w:ind w:left="135"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八、对违反国家招生规定取得入学资格或者学籍的，学校取消其学籍，不发学</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历证书、学位证书；已发的学历证书、学位证书，学校依据教育部文件《教育部关</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于印发&lt;高等学校学生学籍学历电子注册办法&gt;的通知》（教学【2014】11</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号）予以撤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销。对以作弊、剽窃、抄袭等学术不端行为或者其他不正当手段获得学历证书、学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位证书的，学校依法予以撤销。</w:t>
      </w:r>
    </w:p>
    <w:p>
      <w:pPr>
        <w:spacing w:before="20" w:line="315" w:lineRule="auto"/>
        <w:ind w:left="137" w:righ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九、被撤销的学历证书、学位证书已注册的，</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学校予以注销并报湖南省教育厅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宣布无效。</w:t>
      </w:r>
    </w:p>
    <w:p>
      <w:pPr>
        <w:spacing w:before="2" w:line="314" w:lineRule="auto"/>
        <w:ind w:left="137" w:right="3"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十、未在学校规定时间办理完离校程序者，不予发放学历、学位证书，由此产</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生的问题由学生本人负责。</w:t>
      </w:r>
    </w:p>
    <w:p>
      <w:pPr>
        <w:spacing w:before="2" w:line="239" w:lineRule="auto"/>
        <w:ind w:left="133" w:right="3" w:firstLine="49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十一、学历证书和学位证书遗失或者损坏，经本人申请，学校核实后由学校学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籍部门出具相应的证明书。证明书与原证书具有同等效力。</w:t>
      </w:r>
    </w:p>
    <w:p>
      <w:pPr>
        <w:spacing w:before="214" w:line="303" w:lineRule="auto"/>
        <w:ind w:left="159" w:right="3" w:firstLine="46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十二、学士学位一般不予补授；毕业一年内达到学位授予相关要求者，应及时</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向学校提出补授申请，超过规定时间者不再补授。</w:t>
      </w:r>
    </w:p>
    <w:p>
      <w:pPr>
        <w:spacing w:before="39" w:line="315" w:lineRule="auto"/>
        <w:ind w:left="133" w:right="1" w:firstLine="49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十三、因上级主管部门规定的电子注册时间为每年上半年的五月初到七月初、</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sz w:val="24"/>
          <w:szCs w:val="24"/>
        </w:rPr>
        <w:t>下半年的</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1"/>
          <w:sz w:val="24"/>
          <w:szCs w:val="24"/>
        </w:rPr>
        <w:t>12</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sz w:val="24"/>
          <w:szCs w:val="24"/>
        </w:rPr>
        <w:t>月初到次年的</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1</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sz w:val="24"/>
          <w:szCs w:val="24"/>
        </w:rPr>
        <w:t>月初，</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11"/>
          <w:sz w:val="24"/>
          <w:szCs w:val="24"/>
        </w:rPr>
        <w:t>其他时间无法进行注册，</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1"/>
          <w:sz w:val="24"/>
          <w:szCs w:val="24"/>
        </w:rPr>
        <w:t>因个人原因造成的学历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证书不能按时注册后果自负。</w:t>
      </w:r>
    </w:p>
    <w:p>
      <w:pPr>
        <w:spacing w:before="2" w:line="315" w:lineRule="auto"/>
        <w:ind w:left="136" w:right="3"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十四、因欠费等原因未办理完离校程序者，如超过规定的学制两年未领取证书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者，学校无法为其进行毕业电子注册，后果自负。</w:t>
      </w:r>
    </w:p>
    <w:p>
      <w:pPr>
        <w:sectPr>
          <w:footerReference r:id="rId179" w:type="default"/>
          <w:pgSz w:w="11905" w:h="16840"/>
          <w:pgMar w:top="1431" w:right="1585" w:bottom="1365" w:left="1457" w:header="0" w:footer="1241" w:gutter="0"/>
          <w:cols w:space="720" w:num="1"/>
        </w:sectPr>
      </w:pPr>
    </w:p>
    <w:p>
      <w:pPr>
        <w:spacing w:before="349" w:line="180" w:lineRule="auto"/>
        <w:ind w:firstLine="817"/>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吉首大学推荐优秀应届本科毕业生免试攻读硕士学位</w:t>
      </w:r>
    </w:p>
    <w:p>
      <w:pPr>
        <w:spacing w:before="35" w:line="187" w:lineRule="auto"/>
        <w:ind w:firstLine="337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研究生实施办法</w:t>
      </w:r>
    </w:p>
    <w:p>
      <w:pPr>
        <w:spacing w:before="94" w:line="184" w:lineRule="auto"/>
        <w:ind w:firstLine="3556"/>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年试行）</w:t>
      </w:r>
    </w:p>
    <w:p>
      <w:pPr>
        <w:spacing w:line="361" w:lineRule="auto"/>
        <w:rPr>
          <w:rFonts w:ascii="Malgun Gothic"/>
          <w:sz w:val="21"/>
        </w:rPr>
      </w:pPr>
    </w:p>
    <w:p>
      <w:pPr>
        <w:spacing w:before="104" w:line="180" w:lineRule="auto"/>
        <w:ind w:firstLine="3659"/>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44" w:line="297" w:lineRule="auto"/>
        <w:ind w:firstLine="61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第一条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2"/>
          <w:sz w:val="24"/>
          <w:szCs w:val="24"/>
        </w:rPr>
        <w:t>推荐优秀应届本科毕业生免试攻读硕士学位研究生（以下简称推免生）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制度，</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7"/>
          <w:sz w:val="24"/>
          <w:szCs w:val="24"/>
        </w:rPr>
        <w:t>是硕士研究生招生制度的重要组成部分，</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是激励广大在校本科学生勤奋学习、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全面发展的有效措施。做好该项工作对于深化研究生招生制度改革，加大拔尖创新</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5"/>
          <w:sz w:val="24"/>
          <w:szCs w:val="24"/>
        </w:rPr>
        <w:t>人才选拔培养力度，推动学校全面实施素质教育具有重要意义。为加强对推免生工</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作的管理，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进一步促进推免生工作的规范化和制度化，</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9"/>
          <w:sz w:val="24"/>
          <w:szCs w:val="24"/>
        </w:rPr>
        <w:t>维护学校硕士研究生招生工作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秩序，根椐《教育部关于印发&lt;全国普通高等学校推荐优秀应届本科毕业生免试攻读</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7"/>
          <w:sz w:val="24"/>
          <w:szCs w:val="24"/>
        </w:rPr>
        <w:t>硕士学位研究生工作管理办法（试行）</w:t>
      </w:r>
      <w:r>
        <w:rPr>
          <w:rFonts w:ascii="方正书宋简体" w:hAnsi="方正书宋简体" w:eastAsia="方正书宋简体" w:cs="方正书宋简体"/>
          <w:spacing w:val="88"/>
          <w:w w:val="101"/>
          <w:sz w:val="24"/>
          <w:szCs w:val="24"/>
        </w:rPr>
        <w:t xml:space="preserve"> </w:t>
      </w:r>
      <w:r>
        <w:rPr>
          <w:rFonts w:ascii="方正书宋简体" w:hAnsi="方正书宋简体" w:eastAsia="方正书宋简体" w:cs="方正书宋简体"/>
          <w:spacing w:val="-17"/>
          <w:sz w:val="24"/>
          <w:szCs w:val="24"/>
        </w:rPr>
        <w:t>&gt;的通知》（教学〔2006〕14</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7"/>
          <w:sz w:val="24"/>
          <w:szCs w:val="24"/>
        </w:rPr>
        <w:t>号）、</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7"/>
          <w:sz w:val="24"/>
          <w:szCs w:val="24"/>
        </w:rPr>
        <w:t>《教育部办公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厅关于进一步加强推荐优秀应届本科毕业生免试攻读研究生工作的通知》</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2"/>
          <w:sz w:val="24"/>
          <w:szCs w:val="24"/>
        </w:rPr>
        <w:t>（教学厅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〔2013〕8</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号）</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8"/>
          <w:sz w:val="24"/>
          <w:szCs w:val="24"/>
        </w:rPr>
        <w:t>以及《教育部办公厅关于进一步完善推荐优秀应届本科毕业生免试攻读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研究生工作的通知》（教学厅〔2014〕5</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5"/>
          <w:sz w:val="24"/>
          <w:szCs w:val="24"/>
        </w:rPr>
        <w:t>号）文件精神，结合我校实际，制定本办法。</w:t>
      </w:r>
    </w:p>
    <w:p>
      <w:pPr>
        <w:spacing w:before="166" w:line="300" w:lineRule="auto"/>
        <w:ind w:left="126" w:right="12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本办法中所称的免试，是指普通高等学校应届本科毕业生不经过全国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硕士研究生入学统一考试的初试，直接进入复试；本办法中所称的推荐是指学校按</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规定对本校优秀应届本科毕业生进行遴选，确认其免初试资格并向招生单位推荐；</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2"/>
          <w:sz w:val="24"/>
          <w:szCs w:val="24"/>
        </w:rPr>
        <w:t>本办法中所称的接收，是指招生单位对报考本单位的具有免初试资格的考生进行的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复试和录取。</w:t>
      </w:r>
    </w:p>
    <w:p>
      <w:pPr>
        <w:spacing w:before="19" w:line="192" w:lineRule="auto"/>
        <w:ind w:firstLine="614"/>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4"/>
          <w:sz w:val="24"/>
          <w:szCs w:val="24"/>
        </w:rPr>
        <w:t>推免生工作需遵循以下基本原则：</w:t>
      </w:r>
    </w:p>
    <w:p>
      <w:pPr>
        <w:spacing w:before="132" w:line="239" w:lineRule="auto"/>
        <w:ind w:left="125" w:right="3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（一）推免生工作坚持公平、公正、公开的原则。推荐工作和接收工作公平竞争、</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
          <w:sz w:val="24"/>
          <w:szCs w:val="24"/>
        </w:rPr>
        <w:t>科学选拔、规范管理，明确推荐标准、接收标准及公开透明的工作程序。</w:t>
      </w:r>
    </w:p>
    <w:p>
      <w:pPr>
        <w:spacing w:before="214" w:line="315" w:lineRule="auto"/>
        <w:ind w:left="127" w:right="12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（二）</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集体决策原则。学校研究生招生工作领导小组负责对推免生工作进行统筹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管理，名额分配原则、具体方案及推免生名单等重要事项均经学校研究生招生工作</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领导小组集体研究决定。</w:t>
      </w:r>
    </w:p>
    <w:p>
      <w:pPr>
        <w:spacing w:before="6" w:line="315" w:lineRule="auto"/>
        <w:ind w:left="125" w:right="128"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6"/>
          <w:w w:val="101"/>
          <w:sz w:val="24"/>
          <w:szCs w:val="24"/>
        </w:rPr>
        <w:t xml:space="preserve"> </w:t>
      </w:r>
      <w:r>
        <w:rPr>
          <w:rFonts w:ascii="方正书宋简体" w:hAnsi="方正书宋简体" w:eastAsia="方正书宋简体" w:cs="方正书宋简体"/>
          <w:spacing w:val="-9"/>
          <w:sz w:val="24"/>
          <w:szCs w:val="24"/>
        </w:rPr>
        <w:t>选拔质量为核心原则。坚持以保障选拔质量为核心，</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完善全面考查、综合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评价、择优选拔的推免生评价体系和工作机制，坚持德、智、体、美全面衡量、择</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优选拔，在对学生平时学习和科研能力综合测评的基础上，注重一贯表现，突出对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学生创新精神、创新能力和专业能力倾向等的考察。</w:t>
      </w:r>
    </w:p>
    <w:p>
      <w:pPr>
        <w:sectPr>
          <w:footerReference r:id="rId180" w:type="default"/>
          <w:pgSz w:w="11905" w:h="16840"/>
          <w:pgMar w:top="1431" w:right="1457" w:bottom="1365" w:left="1465" w:header="0" w:footer="1241" w:gutter="0"/>
          <w:cols w:space="720" w:num="1"/>
        </w:sectPr>
      </w:pPr>
    </w:p>
    <w:p>
      <w:pPr>
        <w:spacing w:before="429" w:line="277" w:lineRule="auto"/>
        <w:ind w:right="96"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（四）</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考生自主选择原则。所有推免生均享有依据招生政策自主选择报考招生单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位和专业的权利，</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所有推免名额（除有特殊政策要求的专项计划外</w:t>
      </w:r>
      <w:r>
        <w:rPr>
          <w:rFonts w:ascii="方正书宋简体" w:hAnsi="方正书宋简体" w:eastAsia="方正书宋简体" w:cs="方正书宋简体"/>
          <w:spacing w:val="-77"/>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均可向其他招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生单位推荐。要充分尊重并维护考生自主选择志愿的权利，不得将报考本校作为遴</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选推免生的条件，也不得以任何其他形式限制推免生自主报考。</w:t>
      </w:r>
    </w:p>
    <w:p>
      <w:pPr>
        <w:spacing w:before="211" w:line="312"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（五）</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3"/>
          <w:sz w:val="24"/>
          <w:szCs w:val="24"/>
        </w:rPr>
        <w:t>信息公开原则。认真落实《教育部关于进一步推进高校招生信息公开工作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的通知》（教学函〔2013〕9</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11"/>
          <w:w w:val="98"/>
          <w:sz w:val="24"/>
          <w:szCs w:val="24"/>
        </w:rPr>
        <w:t>号）</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1"/>
          <w:w w:val="98"/>
          <w:sz w:val="24"/>
          <w:szCs w:val="24"/>
        </w:rPr>
        <w:t>和年度研究生招生文件精神，</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8"/>
          <w:sz w:val="24"/>
          <w:szCs w:val="24"/>
        </w:rPr>
        <w:t>做好招生信息、招生资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格、招生章程、推免名额、推荐办法、推免生名单（含姓名、学院、综合测评成绩等）、</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5"/>
          <w:sz w:val="24"/>
          <w:szCs w:val="24"/>
        </w:rPr>
        <w:t>录取程序、拟录取推免生名单（含姓名、复试成绩等）、复试录取办法、录取新生复</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5"/>
          <w:sz w:val="24"/>
          <w:szCs w:val="24"/>
        </w:rPr>
        <w:t>查结果、咨询及申诉渠道、重大违纪事件及处理结果等推免招生重要信息的公开。</w:t>
      </w:r>
    </w:p>
    <w:p>
      <w:pPr>
        <w:spacing w:before="15"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推免生工作组织机构：</w:t>
      </w:r>
    </w:p>
    <w:p>
      <w:pPr>
        <w:spacing w:before="128" w:line="315" w:lineRule="auto"/>
        <w:ind w:right="9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学校成立推免生工作领导小组，学校党委书记、校长任组长，分管本科教学工</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作的副校长、分管学生工作、研究生工作的副校长任副组长，</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9"/>
          <w:sz w:val="24"/>
          <w:szCs w:val="24"/>
        </w:rPr>
        <w:t>教务处、研究生院、学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生工作部、招生就业处、校团委等职能部门负责人及专家教授代表等为成员。下设推</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5"/>
          <w:sz w:val="24"/>
          <w:szCs w:val="24"/>
        </w:rPr>
        <w:t>免生推荐工作小组和推免生接收工作小组，分别具体开展推免生推荐和接收工作。</w:t>
      </w:r>
    </w:p>
    <w:p>
      <w:pPr>
        <w:spacing w:before="2" w:line="315" w:lineRule="auto"/>
        <w:ind w:right="9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推免生推荐工作小组由分管本科教学工作的副校长任组长，分管学生工作、研</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究生工作的副校长任副组长，教务处、研究生院、学生工作部、招生就业处、校团</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委等职能部门负责人及专家教授代表等为成员，办公室设教务处。</w:t>
      </w:r>
    </w:p>
    <w:p>
      <w:pPr>
        <w:spacing w:before="1" w:line="315" w:lineRule="auto"/>
        <w:ind w:left="1" w:right="94"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推免生接收工作小组由分管研究生工作的校领导任组长，</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9"/>
          <w:sz w:val="24"/>
          <w:szCs w:val="24"/>
        </w:rPr>
        <w:t>研究生院负责人担任副</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组长，各学院分管研究生工作的院领导、研究生院领导为成员，办公室设研究生院。</w:t>
      </w:r>
    </w:p>
    <w:p>
      <w:pPr>
        <w:spacing w:before="3" w:line="264" w:lineRule="auto"/>
        <w:ind w:right="94"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各相关学院成立由院长担任组长，分管本科教学工作、学生工作、研究生教育工</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9"/>
          <w:sz w:val="24"/>
          <w:szCs w:val="24"/>
        </w:rPr>
        <w:t>作负责人和相关学科的教师、导师代表组成的院级推荐、接收工作小组，</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9"/>
          <w:sz w:val="24"/>
          <w:szCs w:val="24"/>
        </w:rPr>
        <w:t>负责组织实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施本学院的推荐、接收工作，制定相应实施工作方案，并报教务处、研究生院备案。</w:t>
      </w:r>
    </w:p>
    <w:p>
      <w:pPr>
        <w:spacing w:before="2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第二章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5"/>
          <w:sz w:val="24"/>
          <w:szCs w:val="24"/>
        </w:rPr>
        <w:t>推</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5"/>
          <w:sz w:val="24"/>
          <w:szCs w:val="24"/>
        </w:rPr>
        <w:t>荐</w:t>
      </w:r>
    </w:p>
    <w:p>
      <w:pPr>
        <w:spacing w:before="138"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推免生资格申请需同时具备以下基本条件：</w:t>
      </w:r>
    </w:p>
    <w:p>
      <w:pPr>
        <w:spacing w:before="151" w:line="239" w:lineRule="auto"/>
        <w:ind w:left="1" w:right="9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（一）</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4"/>
          <w:sz w:val="24"/>
          <w:szCs w:val="24"/>
        </w:rPr>
        <w:t>纳入国家普通本科招生计划录取的应届毕业生（不含专升本、第二学士学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位、独立学院学生。国家相关文件规定的其他类别）。</w:t>
      </w:r>
    </w:p>
    <w:p>
      <w:pPr>
        <w:spacing w:before="213" w:line="312" w:lineRule="auto"/>
        <w:ind w:left="1" w:right="9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（二）</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4"/>
          <w:sz w:val="24"/>
          <w:szCs w:val="24"/>
        </w:rPr>
        <w:t>品行优良。遵守高等学校学生行为准则，</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4"/>
          <w:sz w:val="24"/>
          <w:szCs w:val="24"/>
        </w:rPr>
        <w:t>履行了高等学校学生义务；</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4"/>
          <w:sz w:val="24"/>
          <w:szCs w:val="24"/>
        </w:rPr>
        <w:t>学风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端正，诚实守信，无任何考试违纪作弊行为，</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无任何学术不端行为，无违法违纪受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处分记录。</w:t>
      </w:r>
    </w:p>
    <w:p>
      <w:pPr>
        <w:spacing w:before="22" w:line="188"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（三）学业优秀。</w:t>
      </w:r>
    </w:p>
    <w:p>
      <w:pPr>
        <w:sectPr>
          <w:footerReference r:id="rId181" w:type="default"/>
          <w:pgSz w:w="11905" w:h="16840"/>
          <w:pgMar w:top="1431" w:right="1489" w:bottom="1365" w:left="1590" w:header="0" w:footer="1241" w:gutter="0"/>
          <w:cols w:space="720" w:num="1"/>
        </w:sectPr>
      </w:pPr>
    </w:p>
    <w:p>
      <w:pPr>
        <w:spacing w:before="423" w:line="193" w:lineRule="auto"/>
        <w:ind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1、主干及核心课程首考无不及格；</w:t>
      </w:r>
    </w:p>
    <w:p>
      <w:pPr>
        <w:spacing w:before="177" w:line="253" w:lineRule="auto"/>
        <w:ind w:left="140"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2、第</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7"/>
          <w:sz w:val="24"/>
          <w:szCs w:val="24"/>
        </w:rPr>
        <w:t>至</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学期（四年制）或第</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7"/>
          <w:sz w:val="24"/>
          <w:szCs w:val="24"/>
        </w:rPr>
        <w:t>至</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7"/>
          <w:sz w:val="24"/>
          <w:szCs w:val="24"/>
        </w:rPr>
        <w:t>8</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学期（五年制）按《本科人才培养方案》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课程设置及要求，学业成绩（除通识选修课外）在本专业排名前</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2"/>
          <w:sz w:val="24"/>
          <w:szCs w:val="24"/>
        </w:rPr>
        <w:t>10%以内；</w:t>
      </w:r>
    </w:p>
    <w:p>
      <w:pPr>
        <w:spacing w:before="173" w:line="312" w:lineRule="auto"/>
        <w:ind w:left="140" w:right="138"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3、非英语专业学生全国大学英语四级考试成绩&gt;=425</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1"/>
          <w:sz w:val="24"/>
          <w:szCs w:val="24"/>
        </w:rPr>
        <w:t>分；英语专业学生专业英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语、日语专业学生专业日语四级成绩合格以上（含合格）。艺术、体育类专业学生的</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相应要求由相关学院制定标准，报学校推荐工作小组审核备案。</w:t>
      </w:r>
    </w:p>
    <w:p>
      <w:pPr>
        <w:spacing w:before="18"/>
        <w:ind w:right="139"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（四）身心健康。身体健康状况符合</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
          <w:sz w:val="24"/>
          <w:szCs w:val="24"/>
        </w:rPr>
        <w:t>2003</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
          <w:sz w:val="24"/>
          <w:szCs w:val="24"/>
        </w:rPr>
        <w:t>年卫生部、国家残疾人联合会颁发的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《普通高等学校招生体检工作指导意见》的体检标准、心理健康。</w:t>
      </w:r>
    </w:p>
    <w:p>
      <w:pPr>
        <w:spacing w:before="202" w:line="281" w:lineRule="auto"/>
        <w:ind w:left="146" w:right="14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为鼓励学生创新创业，学校从总计划划出一定比例的单列计划用于直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接向学校推荐推免生。申请者须符合如下条件：</w:t>
      </w:r>
    </w:p>
    <w:p>
      <w:pPr>
        <w:spacing w:before="26" w:line="311" w:lineRule="auto"/>
        <w:ind w:left="146" w:right="146"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rPr>
        <w:t>（一）</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1"/>
          <w:w w:val="99"/>
          <w:sz w:val="24"/>
          <w:szCs w:val="24"/>
        </w:rPr>
        <w:t>第</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9"/>
          <w:sz w:val="24"/>
          <w:szCs w:val="24"/>
        </w:rPr>
        <w:t>1</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9"/>
          <w:sz w:val="24"/>
          <w:szCs w:val="24"/>
        </w:rPr>
        <w:t>至</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1"/>
          <w:w w:val="99"/>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1"/>
          <w:w w:val="99"/>
          <w:sz w:val="24"/>
          <w:szCs w:val="24"/>
        </w:rPr>
        <w:t>学期（四年制）</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1"/>
          <w:w w:val="99"/>
          <w:sz w:val="24"/>
          <w:szCs w:val="24"/>
        </w:rPr>
        <w:t>或第</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9"/>
          <w:sz w:val="24"/>
          <w:szCs w:val="24"/>
        </w:rPr>
        <w:t>1</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9"/>
          <w:sz w:val="24"/>
          <w:szCs w:val="24"/>
        </w:rPr>
        <w:t>至</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9"/>
          <w:sz w:val="24"/>
          <w:szCs w:val="24"/>
        </w:rPr>
        <w:t>8</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9"/>
          <w:sz w:val="24"/>
          <w:szCs w:val="24"/>
        </w:rPr>
        <w:t>学期（五年制）</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1"/>
          <w:w w:val="99"/>
          <w:sz w:val="24"/>
          <w:szCs w:val="24"/>
        </w:rPr>
        <w:t>按《本科人才培养方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案》课程设置及要求，学业成绩（除通识选修课外）在本专业排名前</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
          <w:sz w:val="24"/>
          <w:szCs w:val="24"/>
        </w:rPr>
        <w:t>50%以内。</w:t>
      </w:r>
    </w:p>
    <w:p>
      <w:pPr>
        <w:spacing w:before="9" w:line="299" w:lineRule="auto"/>
        <w:ind w:left="142" w:right="140"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（二）</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20"/>
          <w:sz w:val="24"/>
          <w:szCs w:val="24"/>
        </w:rPr>
        <w:t>在“挑战杯”、“互联网+”大赛中，</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0"/>
          <w:sz w:val="24"/>
          <w:szCs w:val="24"/>
        </w:rPr>
        <w:t>获全国二等奖以上（含二等奖）</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20"/>
          <w:sz w:val="24"/>
          <w:szCs w:val="24"/>
        </w:rPr>
        <w:t>的（每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个团体项目最多可从前</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名中推荐</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1</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6"/>
          <w:sz w:val="24"/>
          <w:szCs w:val="24"/>
        </w:rPr>
        <w:t>人，只推荐</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次，排名靠前者优先）。</w:t>
      </w:r>
    </w:p>
    <w:p>
      <w:pPr>
        <w:spacing w:before="41" w:line="281" w:lineRule="auto"/>
        <w:ind w:left="142" w:right="6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符合本实施办法第五条的申请指标等额分配到学院，各学院按照在籍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拟毕业生人数的</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0.95%测算，</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0"/>
          <w:sz w:val="24"/>
          <w:szCs w:val="24"/>
        </w:rPr>
        <w:t>按照上年度名额分配差值，</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0"/>
          <w:sz w:val="24"/>
          <w:szCs w:val="24"/>
        </w:rPr>
        <w:t>累计滚动、四舍五入分配名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额（即舍去部分累计入下一年度，</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入补部分从下一年度扣减）。符合本实施办法第六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条的申请指标，</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5"/>
          <w:sz w:val="24"/>
          <w:szCs w:val="24"/>
        </w:rPr>
        <w:t>计划单列，</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5"/>
          <w:sz w:val="24"/>
          <w:szCs w:val="24"/>
        </w:rPr>
        <w:t>不超过总计划数的</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5"/>
          <w:sz w:val="24"/>
          <w:szCs w:val="24"/>
        </w:rPr>
        <w:t>5%，</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5"/>
          <w:sz w:val="24"/>
          <w:szCs w:val="24"/>
        </w:rPr>
        <w:t>由学院按条件向学校推荐候选人，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学校汇总后，组织专家评审，择优推荐。如当年学校无达到第六条的推免生，单列</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计划一并下到学院。</w:t>
      </w:r>
    </w:p>
    <w:p>
      <w:pPr>
        <w:spacing w:before="207"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第八条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6"/>
          <w:sz w:val="24"/>
          <w:szCs w:val="24"/>
        </w:rPr>
        <w:t>学院推荐程序：</w:t>
      </w:r>
    </w:p>
    <w:p>
      <w:pPr>
        <w:spacing w:before="150" w:line="253" w:lineRule="auto"/>
        <w:ind w:left="145" w:right="14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70"/>
          <w:w w:val="101"/>
          <w:sz w:val="24"/>
          <w:szCs w:val="24"/>
        </w:rPr>
        <w:t xml:space="preserve"> </w:t>
      </w:r>
      <w:r>
        <w:rPr>
          <w:rFonts w:ascii="方正书宋简体" w:hAnsi="方正书宋简体" w:eastAsia="方正书宋简体" w:cs="方正书宋简体"/>
          <w:spacing w:val="-9"/>
          <w:sz w:val="24"/>
          <w:szCs w:val="24"/>
        </w:rPr>
        <w:t>符合申请条件的学生，</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9"/>
          <w:sz w:val="24"/>
          <w:szCs w:val="24"/>
        </w:rPr>
        <w:t>填写《吉首大学推荐优秀应届本科毕业生免试攻读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硕士学位研究生资格申请表》，向所在学院提交申请及相关证明材料。</w:t>
      </w:r>
    </w:p>
    <w:p>
      <w:pPr>
        <w:spacing w:before="173" w:line="311" w:lineRule="auto"/>
        <w:ind w:left="145" w:right="4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（二）</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3"/>
          <w:sz w:val="24"/>
          <w:szCs w:val="24"/>
        </w:rPr>
        <w:t>满足推免生申请条件的学生为推荐免试攻读硕士学位研究生候选人，由学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院推免、接收工作小组组织对候选人从以下两个方面进行综合测评，根据综合测评得</w:t>
      </w:r>
      <w:r>
        <w:rPr>
          <w:rFonts w:ascii="方正书宋简体" w:hAnsi="方正书宋简体" w:eastAsia="方正书宋简体" w:cs="方正书宋简体"/>
          <w:spacing w:val="15"/>
          <w:w w:val="103"/>
          <w:sz w:val="24"/>
          <w:szCs w:val="24"/>
        </w:rPr>
        <w:t xml:space="preserve">  </w:t>
      </w:r>
      <w:r>
        <w:rPr>
          <w:rFonts w:ascii="方正书宋简体" w:hAnsi="方正书宋简体" w:eastAsia="方正书宋简体" w:cs="方正书宋简体"/>
          <w:spacing w:val="-8"/>
          <w:sz w:val="24"/>
          <w:szCs w:val="24"/>
        </w:rPr>
        <w:t>分从高到低排序（四年制测评前三学年，五年制测评前四学年</w:t>
      </w:r>
      <w:r>
        <w:rPr>
          <w:rFonts w:ascii="方正书宋简体" w:hAnsi="方正书宋简体" w:eastAsia="方正书宋简体" w:cs="方正书宋简体"/>
          <w:spacing w:val="-87"/>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8"/>
          <w:sz w:val="24"/>
          <w:szCs w:val="24"/>
        </w:rPr>
        <w:t>确定推荐初选名单。</w:t>
      </w:r>
    </w:p>
    <w:p>
      <w:pPr>
        <w:spacing w:before="21" w:line="193" w:lineRule="auto"/>
        <w:ind w:firstLine="60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综合测评分=学业成绩+综合考核成绩。其中学业成绩占</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3"/>
          <w:sz w:val="24"/>
          <w:szCs w:val="24"/>
        </w:rPr>
        <w:t>70%，综合考核成绩占</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3"/>
          <w:sz w:val="24"/>
          <w:szCs w:val="24"/>
        </w:rPr>
        <w:t>30%。</w:t>
      </w:r>
    </w:p>
    <w:p>
      <w:pPr>
        <w:spacing w:before="180" w:line="180" w:lineRule="auto"/>
        <w:ind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1、学业成绩计算办法</w:t>
      </w:r>
    </w:p>
    <w:p>
      <w:pPr>
        <w:spacing w:before="187" w:line="193"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学业成绩平均学分绩点得分=候选人实际平均学分绩点/4.0×100×70%。</w:t>
      </w:r>
    </w:p>
    <w:p>
      <w:pPr>
        <w:spacing w:before="179" w:line="180" w:lineRule="auto"/>
        <w:ind w:firstLine="62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2、综合考核要求</w:t>
      </w:r>
    </w:p>
    <w:p>
      <w:pPr>
        <w:sectPr>
          <w:footerReference r:id="rId182" w:type="default"/>
          <w:pgSz w:w="11905" w:h="16840"/>
          <w:pgMar w:top="1431" w:right="1447" w:bottom="1365" w:left="1447" w:header="0" w:footer="1241" w:gutter="0"/>
          <w:cols w:space="720" w:num="1"/>
        </w:sectPr>
      </w:pPr>
    </w:p>
    <w:p>
      <w:pPr>
        <w:spacing w:before="424" w:line="278" w:lineRule="auto"/>
        <w:ind w:left="3"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各学院要根据国家有关推免工作文件精神，结合学院学科专业实际，参照学校</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学生综合测评、教学科研奖励以及学生创新创业实践学分认定管理规定制定具体考</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核实施细则，不得与学校规定冲突，实施细则须经公示后，纳入学院推荐工作方案</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报学校推荐工作小组审核备案，通过后一并上报教育部。</w:t>
      </w:r>
    </w:p>
    <w:p>
      <w:pPr>
        <w:spacing w:before="213" w:line="316"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学院综合考核工作要综合全面考核学生德、智、体、美表现，将平时考核评定</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与综合面试结合，在对学生平时表现、专业学习、科研能力、学术成果等综合测评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基础上，突出对考生创新精神、创新能力和专业能力倾向等的考查。</w:t>
      </w:r>
    </w:p>
    <w:p>
      <w:pPr>
        <w:spacing w:before="1" w:line="239" w:lineRule="auto"/>
        <w:ind w:right="3"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学院按规定对学生进行综合评定、考核，择优确定推免生名单并在学院内张榜</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公布，公示期不少于</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7</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天，经公示无异议后报学校。</w:t>
      </w:r>
    </w:p>
    <w:p>
      <w:pPr>
        <w:spacing w:before="215"/>
        <w:ind w:left="7" w:right="3"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符合第六条条件的申请者，须经三名以上本校本专业教授联名推荐，由学院初</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
          <w:sz w:val="24"/>
          <w:szCs w:val="24"/>
        </w:rPr>
        <w:t>审后，向学校推荐。学校推荐工作小组组织专家评审，并公示评审结果。</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2"/>
          <w:sz w:val="24"/>
          <w:szCs w:val="24"/>
        </w:rPr>
        <w:t>推荐材料要求。学院应在规定的时间内向教务处报送如下材料：</w:t>
      </w:r>
    </w:p>
    <w:p>
      <w:pPr>
        <w:spacing w:before="152"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（一）学院推荐工作小组名单。</w:t>
      </w:r>
    </w:p>
    <w:p>
      <w:pPr>
        <w:spacing w:before="193"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（二）学院推荐工作方案（含综合考核实施细则）。</w:t>
      </w:r>
    </w:p>
    <w:p>
      <w:pPr>
        <w:spacing w:before="190"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（三）学生申请表。</w:t>
      </w:r>
    </w:p>
    <w:p>
      <w:pPr>
        <w:spacing w:before="18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（四）专业学习成绩排名表（通过综合教务系统指定途径输出）。</w:t>
      </w:r>
    </w:p>
    <w:p>
      <w:pPr>
        <w:spacing w:before="193"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（五）学生成绩单（教务秘书统计、注明平均成绩和专业排名，学院盖章）。</w:t>
      </w:r>
    </w:p>
    <w:p>
      <w:pPr>
        <w:spacing w:before="206"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（六）奖励证书（复印件，审核人签字，学院盖章）。</w:t>
      </w:r>
    </w:p>
    <w:p>
      <w:pPr>
        <w:spacing w:before="197" w:line="223" w:lineRule="auto"/>
        <w:ind w:left="488" w:right="3839" w:hanging="1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（七）当年推免生候选人基本情况汇总表。</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4"/>
          <w:sz w:val="24"/>
          <w:szCs w:val="24"/>
        </w:rPr>
        <w:t>第十条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4"/>
          <w:sz w:val="24"/>
          <w:szCs w:val="24"/>
        </w:rPr>
        <w:t>学校对推免生资格的审定程序：</w:t>
      </w:r>
    </w:p>
    <w:p>
      <w:pPr>
        <w:spacing w:before="190" w:line="311"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学校推免生推荐工作小组召开会议，对申请材料进行审核，并将审核结果进行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公示（公示期</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5"/>
          <w:sz w:val="24"/>
          <w:szCs w:val="24"/>
        </w:rPr>
        <w:t>10</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5"/>
          <w:sz w:val="24"/>
          <w:szCs w:val="24"/>
        </w:rPr>
        <w:t>个工作日）。公示期满，无异议后，报学校推免生工作领导小组审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核，确定推免生名单。教务处汇总相关材料，</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移交研究生院。研究生院上报省考试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院备案并办理相关手续。</w:t>
      </w:r>
    </w:p>
    <w:p>
      <w:pPr>
        <w:spacing w:before="15" w:line="195" w:lineRule="auto"/>
        <w:ind w:firstLine="3773"/>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第三章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5"/>
          <w:sz w:val="24"/>
          <w:szCs w:val="24"/>
        </w:rPr>
        <w:t>接</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5"/>
          <w:sz w:val="24"/>
          <w:szCs w:val="24"/>
        </w:rPr>
        <w:t>收</w:t>
      </w:r>
    </w:p>
    <w:p>
      <w:pPr>
        <w:spacing w:before="112" w:line="282" w:lineRule="auto"/>
        <w:ind w:right="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研究生院将拟接收推免生数量通过专业目录向社会公布，各招生专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业招收推免生数量不得超过本专业硕士研究生招生计划的</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
          <w:sz w:val="24"/>
          <w:szCs w:val="24"/>
        </w:rPr>
        <w:t>50%。</w:t>
      </w:r>
    </w:p>
    <w:p>
      <w:pPr>
        <w:spacing w:before="23" w:line="187"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（一）接收校内推免生的条件按学校推免生推荐条件执行。</w:t>
      </w:r>
    </w:p>
    <w:p>
      <w:pPr>
        <w:spacing w:before="184" w:line="327" w:lineRule="auto"/>
        <w:ind w:right="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69"/>
          <w:w w:val="101"/>
          <w:sz w:val="24"/>
          <w:szCs w:val="24"/>
        </w:rPr>
        <w:t xml:space="preserve"> </w:t>
      </w:r>
      <w:r>
        <w:rPr>
          <w:rFonts w:ascii="方正书宋简体" w:hAnsi="方正书宋简体" w:eastAsia="方正书宋简体" w:cs="方正书宋简体"/>
          <w:spacing w:val="-9"/>
          <w:sz w:val="24"/>
          <w:szCs w:val="24"/>
        </w:rPr>
        <w:t>接收校外推免生的条件：</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符合教育部《全国普通高等学校推荐优秀应届本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科毕业生免试攻读硕士学位研究生工作管理办法（试行）》（教学〔2006〕14</w:t>
      </w:r>
      <w:r>
        <w:rPr>
          <w:rFonts w:ascii="方正书宋简体" w:hAnsi="方正书宋简体" w:eastAsia="方正书宋简体" w:cs="方正书宋简体"/>
          <w:spacing w:val="86"/>
          <w:sz w:val="24"/>
          <w:szCs w:val="24"/>
        </w:rPr>
        <w:t xml:space="preserve"> </w:t>
      </w:r>
      <w:r>
        <w:rPr>
          <w:rFonts w:ascii="方正书宋简体" w:hAnsi="方正书宋简体" w:eastAsia="方正书宋简体" w:cs="方正书宋简体"/>
          <w:spacing w:val="-10"/>
          <w:sz w:val="24"/>
          <w:szCs w:val="24"/>
        </w:rPr>
        <w:t>号）</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10"/>
          <w:sz w:val="24"/>
          <w:szCs w:val="24"/>
        </w:rPr>
        <w:t>第</w:t>
      </w:r>
    </w:p>
    <w:p>
      <w:pPr>
        <w:sectPr>
          <w:footerReference r:id="rId183" w:type="default"/>
          <w:pgSz w:w="11905" w:h="16840"/>
          <w:pgMar w:top="1431" w:right="1585" w:bottom="1365" w:left="1590" w:header="0" w:footer="1241" w:gutter="0"/>
          <w:cols w:space="720" w:num="1"/>
        </w:sectPr>
      </w:pPr>
    </w:p>
    <w:p>
      <w:pPr>
        <w:spacing w:before="426" w:line="180" w:lineRule="auto"/>
        <w:ind w:firstLine="13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二章十四条之规定，且获得所在学校的推免生资格。</w:t>
      </w:r>
    </w:p>
    <w:p>
      <w:pPr>
        <w:spacing w:before="197" w:line="223" w:lineRule="auto"/>
        <w:ind w:left="622" w:right="2234" w:hanging="1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（三）本科阶段公开发表过学术论文或英语过六级者优先。</w:t>
      </w:r>
      <w:r>
        <w:rPr>
          <w:rFonts w:ascii="方正书宋简体" w:hAnsi="方正书宋简体" w:eastAsia="方正书宋简体" w:cs="方正书宋简体"/>
          <w:spacing w:val="8"/>
          <w:sz w:val="24"/>
          <w:szCs w:val="24"/>
        </w:rPr>
        <w:t xml:space="preserve"> </w:t>
      </w:r>
      <w:r>
        <w:rPr>
          <w:rFonts w:ascii="Microsoft JhengHei" w:hAnsi="Microsoft JhengHei" w:eastAsia="Microsoft JhengHei" w:cs="Microsoft JhengHei"/>
          <w:spacing w:val="-3"/>
          <w:sz w:val="24"/>
          <w:szCs w:val="24"/>
        </w:rPr>
        <w:t>第十二条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3"/>
          <w:sz w:val="24"/>
          <w:szCs w:val="24"/>
        </w:rPr>
        <w:t>学校接收推免生按照以下程序进行：</w:t>
      </w:r>
    </w:p>
    <w:p>
      <w:pPr>
        <w:spacing w:before="192" w:line="314" w:lineRule="auto"/>
        <w:ind w:right="7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（一）在全国推荐优秀应届本科毕业生免试攻读研究生信息公开暨管理服务系统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（以下简称“推免服务系统”）公布接收推免生的具体要求和拟招收人数。</w:t>
      </w:r>
    </w:p>
    <w:p>
      <w:pPr>
        <w:spacing w:before="2" w:line="265" w:lineRule="auto"/>
        <w:ind w:left="136" w:right="75"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3"/>
          <w:sz w:val="24"/>
          <w:szCs w:val="24"/>
        </w:rPr>
        <w:t>具有推免生资格的考生，</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登录推免服务系统注册、填写基本信息，</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选择报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名志愿，上传照片、网上支付报名费。学校审核报名信息，发送复试通知，复试通</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知经考生确认后，学校下载复试名册。</w:t>
      </w:r>
    </w:p>
    <w:p>
      <w:pPr>
        <w:spacing w:before="218" w:line="315" w:lineRule="auto"/>
        <w:ind w:left="132" w:right="75"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（三）</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研究生院牵头组织制订对推免生申请者的复试办法。各学院和相关学科组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织对推免生申请者进行复试，并将复试结果报研究生院，经学校推免生接收工作领</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4"/>
          <w:sz w:val="24"/>
          <w:szCs w:val="24"/>
        </w:rPr>
        <w:t>导小组审议后，确定拟录取名单，并将名单进行公示（公示期</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4"/>
          <w:sz w:val="24"/>
          <w:szCs w:val="24"/>
        </w:rPr>
        <w:t>10</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4"/>
          <w:sz w:val="24"/>
          <w:szCs w:val="24"/>
        </w:rPr>
        <w:t>个工作日</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4"/>
          <w:sz w:val="24"/>
          <w:szCs w:val="24"/>
        </w:rPr>
        <w:t>无异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议后学校通过推免服务系统向拟录考生发送待录取通知，经考生同意后，确定推免</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4"/>
          <w:sz w:val="24"/>
          <w:szCs w:val="24"/>
        </w:rPr>
        <w:t>生拟录取名单。</w:t>
      </w:r>
    </w:p>
    <w:p>
      <w:pPr>
        <w:spacing w:before="1" w:line="239" w:lineRule="auto"/>
        <w:ind w:left="147" w:right="75" w:firstLine="33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（四）</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学校报送推免生拟录取名单，</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经湖南省教育考试院审核通过后，</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对外公布</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录取名单。</w:t>
      </w:r>
    </w:p>
    <w:p>
      <w:pPr>
        <w:spacing w:before="206"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第十三条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属下列情况之一的，取消推免生资格：</w:t>
      </w:r>
    </w:p>
    <w:p>
      <w:pPr>
        <w:spacing w:before="152"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（一）经批准获得推免生资格后，受到处分的。</w:t>
      </w:r>
    </w:p>
    <w:p>
      <w:pPr>
        <w:spacing w:before="194"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（二）入学前未取得本科毕业证书和学士学位的。</w:t>
      </w:r>
    </w:p>
    <w:p>
      <w:pPr>
        <w:spacing w:before="190"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（三）在申请推免生过程中弄虚作假的。</w:t>
      </w:r>
    </w:p>
    <w:p>
      <w:pPr>
        <w:spacing w:before="194"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（四）被接收为推免生者，再次报名参加全国统考的。</w:t>
      </w:r>
    </w:p>
    <w:p>
      <w:pPr>
        <w:spacing w:before="194"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（五）其他影响录取的事项发生的。</w:t>
      </w:r>
    </w:p>
    <w:p>
      <w:pPr>
        <w:spacing w:before="180" w:line="180" w:lineRule="auto"/>
        <w:ind w:firstLine="342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3"/>
          <w:sz w:val="24"/>
          <w:szCs w:val="24"/>
        </w:rPr>
        <w:t>管理与监督</w:t>
      </w:r>
    </w:p>
    <w:p>
      <w:pPr>
        <w:spacing w:before="142" w:line="281"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第十四条</w:t>
      </w:r>
      <w:r>
        <w:rPr>
          <w:rFonts w:ascii="Microsoft JhengHei" w:hAnsi="Microsoft JhengHei" w:eastAsia="Microsoft JhengHei" w:cs="Microsoft JhengHei"/>
          <w:spacing w:val="20"/>
          <w:sz w:val="24"/>
          <w:szCs w:val="24"/>
        </w:rPr>
        <w:t xml:space="preserve"> </w:t>
      </w:r>
      <w:r>
        <w:rPr>
          <w:rFonts w:ascii="方正书宋简体" w:hAnsi="方正书宋简体" w:eastAsia="方正书宋简体" w:cs="方正书宋简体"/>
          <w:sz w:val="24"/>
          <w:szCs w:val="24"/>
        </w:rPr>
        <w:t xml:space="preserve">加强组织领导和规范管理。要切实发挥推免生遴选工作领导小组和研  </w:t>
      </w:r>
      <w:r>
        <w:rPr>
          <w:rFonts w:ascii="方正书宋简体" w:hAnsi="方正书宋简体" w:eastAsia="方正书宋简体" w:cs="方正书宋简体"/>
          <w:spacing w:val="2"/>
          <w:sz w:val="24"/>
          <w:szCs w:val="24"/>
        </w:rPr>
        <w:t>究生招生工作领导小组的作用，加强对推免工作相关职能部门的协调，对推免生名</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额分配方案、推免办法及拟推荐名单、拟接收名单等重要事项都要按规定程序产生</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并经领导小组集体研究决定。凡是推免工作中出现违规行为的，</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将严肃处理责任人，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追究相关领导责任，并视情节给予相关单位通报批评、减少推免生名额、直至取消</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推免工作资格等处罚。</w:t>
      </w:r>
    </w:p>
    <w:p>
      <w:pPr>
        <w:spacing w:before="207" w:line="292" w:lineRule="auto"/>
        <w:ind w:left="134" w:right="2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健全运行机制和管理模式。推免过程要通过教育部“全国推荐优秀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应届本科毕业生免试攻读研究生信息公开暨管理服务系统”(简称“推免服务系统”，</w:t>
      </w:r>
    </w:p>
    <w:p>
      <w:pPr>
        <w:sectPr>
          <w:footerReference r:id="rId184" w:type="default"/>
          <w:pgSz w:w="11905" w:h="16840"/>
          <w:pgMar w:top="1431" w:right="1510" w:bottom="1365" w:left="1457" w:header="0" w:footer="1241" w:gutter="0"/>
          <w:cols w:space="720" w:num="1"/>
        </w:sectPr>
      </w:pPr>
    </w:p>
    <w:p>
      <w:pPr>
        <w:spacing w:before="425" w:line="285" w:lineRule="auto"/>
        <w:ind w:right="74" w:firstLine="2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网址：</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4"/>
          <w:sz w:val="24"/>
          <w:szCs w:val="24"/>
        </w:rPr>
        <w:t>http://yz.chsi.com.cn/tm）规范实施，推免生资格审核确认、报考、录取以及备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案公开等相关工作均须在推免服务系统中进行。学校研究处将推荐办法，以及按照</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推免名额遴选并公示的推免生名单，报省级教育招生考试管理机构进行政策审核，</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并按要求向教育部备案。最终推免生名单以“推免服务系统”备案信息为准，未经</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推荐高校公示及“推免服务系统”备案的推免生无效。</w:t>
      </w:r>
    </w:p>
    <w:p>
      <w:pPr>
        <w:spacing w:before="206" w:line="250" w:lineRule="auto"/>
        <w:ind w:left="3"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第十六条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4"/>
          <w:sz w:val="24"/>
          <w:szCs w:val="24"/>
        </w:rPr>
        <w:t>学校将推免生工作中学生的申诉，</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4"/>
          <w:sz w:val="24"/>
          <w:szCs w:val="24"/>
        </w:rPr>
        <w:t>纳入校内申诉范围。各学院相关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 xml:space="preserve">领导在推免、接收名单公示期内接受学生申诉，对申诉问题经调查属实的责成学院 </w:t>
      </w:r>
      <w:r>
        <w:rPr>
          <w:rFonts w:ascii="方正书宋简体" w:hAnsi="方正书宋简体" w:eastAsia="方正书宋简体" w:cs="方正书宋简体"/>
          <w:spacing w:val="-1"/>
          <w:sz w:val="24"/>
          <w:szCs w:val="24"/>
        </w:rPr>
        <w:t>推免小组复议，若考生对复议结果还有异议，报学校推免工作领导小组复议。</w:t>
      </w:r>
    </w:p>
    <w:p>
      <w:pPr>
        <w:spacing w:before="203" w:line="282" w:lineRule="auto"/>
        <w:ind w:left="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第十七条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8"/>
          <w:sz w:val="24"/>
          <w:szCs w:val="24"/>
        </w:rPr>
        <w:t>各单位在推荐过程中如出现把关不严、营私舞弊等行为，</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一经查实，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学校将追究相关人员的责任，并核减相关学院下一年度的推免生指标。</w:t>
      </w:r>
    </w:p>
    <w:p>
      <w:pPr>
        <w:spacing w:before="9" w:line="282" w:lineRule="auto"/>
        <w:ind w:left="3"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如发现学生在推免工作中有弄虚作假行为，一经查实，除取消其录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取资格外，另按学校有关规定进行处理。</w:t>
      </w:r>
    </w:p>
    <w:p>
      <w:pPr>
        <w:spacing w:before="11" w:line="277" w:lineRule="auto"/>
        <w:ind w:right="77"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各单位、个人均应在规定的时间内完成相关工作，有关表格材料可</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从学校指定网站下载。</w:t>
      </w:r>
    </w:p>
    <w:p>
      <w:pPr>
        <w:spacing w:before="25" w:line="282" w:lineRule="auto"/>
        <w:ind w:left="20" w:right="77"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每年的推荐与接收工作，依据上级要求与安排，由教务处、研究生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院起草，由学校签发工作通知。</w:t>
      </w:r>
    </w:p>
    <w:p>
      <w:pPr>
        <w:spacing w:before="10"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第二十一条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本实施办法由教务处、研究生院和学生工作部负责解释。</w:t>
      </w:r>
    </w:p>
    <w:p>
      <w:pPr>
        <w:sectPr>
          <w:footerReference r:id="rId185" w:type="default"/>
          <w:pgSz w:w="11905" w:h="16840"/>
          <w:pgMar w:top="1431" w:right="1510" w:bottom="1365" w:left="1589" w:header="0" w:footer="1241" w:gutter="0"/>
          <w:cols w:space="720" w:num="1"/>
        </w:sectPr>
      </w:pPr>
    </w:p>
    <w:p>
      <w:pPr>
        <w:spacing w:before="349" w:line="180" w:lineRule="auto"/>
        <w:ind w:firstLine="216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吉首大学本科实验教学管理办法</w:t>
      </w:r>
    </w:p>
    <w:p>
      <w:pPr>
        <w:spacing w:before="110" w:line="184" w:lineRule="auto"/>
        <w:ind w:firstLine="3224"/>
        <w:rPr>
          <w:rFonts w:ascii="楷体" w:hAnsi="楷体" w:eastAsia="楷体" w:cs="楷体"/>
          <w:sz w:val="24"/>
          <w:szCs w:val="24"/>
        </w:rPr>
      </w:pPr>
      <w:r>
        <w:rPr>
          <w:rFonts w:ascii="楷体" w:hAnsi="楷体" w:eastAsia="楷体" w:cs="楷体"/>
          <w:spacing w:val="-5"/>
          <w:sz w:val="24"/>
          <w:szCs w:val="24"/>
        </w:rPr>
        <w:t>（2016</w:t>
      </w:r>
      <w:r>
        <w:rPr>
          <w:rFonts w:ascii="楷体" w:hAnsi="楷体" w:eastAsia="楷体" w:cs="楷体"/>
          <w:spacing w:val="-50"/>
          <w:sz w:val="24"/>
          <w:szCs w:val="24"/>
        </w:rPr>
        <w:t xml:space="preserve"> </w:t>
      </w:r>
      <w:r>
        <w:rPr>
          <w:rFonts w:ascii="楷体" w:hAnsi="楷体" w:eastAsia="楷体" w:cs="楷体"/>
          <w:spacing w:val="-5"/>
          <w:sz w:val="24"/>
          <w:szCs w:val="24"/>
        </w:rPr>
        <w:t>年</w:t>
      </w:r>
      <w:r>
        <w:rPr>
          <w:rFonts w:ascii="楷体" w:hAnsi="楷体" w:eastAsia="楷体" w:cs="楷体"/>
          <w:spacing w:val="-32"/>
          <w:sz w:val="24"/>
          <w:szCs w:val="24"/>
        </w:rPr>
        <w:t xml:space="preserve"> </w:t>
      </w:r>
      <w:r>
        <w:rPr>
          <w:rFonts w:ascii="楷体" w:hAnsi="楷体" w:eastAsia="楷体" w:cs="楷体"/>
          <w:spacing w:val="-5"/>
          <w:sz w:val="24"/>
          <w:szCs w:val="24"/>
        </w:rPr>
        <w:t>3</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61" w:lineRule="auto"/>
        <w:rPr>
          <w:rFonts w:ascii="Malgun Gothic"/>
          <w:sz w:val="21"/>
        </w:rPr>
      </w:pPr>
    </w:p>
    <w:p>
      <w:pPr>
        <w:spacing w:before="104" w:line="180" w:lineRule="auto"/>
        <w:ind w:firstLine="368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第一章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5"/>
          <w:sz w:val="24"/>
          <w:szCs w:val="24"/>
        </w:rPr>
        <w:t>总则</w:t>
      </w:r>
    </w:p>
    <w:p>
      <w:pPr>
        <w:spacing w:before="137" w:line="282" w:lineRule="auto"/>
        <w:ind w:left="37" w:right="96"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为规范我校实验教学管理，保证实验教学质量，根据教育部《关于加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强高等学校本科教学工作提高教学质量的若干意见》等文件精神，特制定本办法。</w:t>
      </w:r>
    </w:p>
    <w:p>
      <w:pPr>
        <w:spacing w:before="11" w:line="281" w:lineRule="auto"/>
        <w:ind w:left="38" w:right="96"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本办法是学校组织实施实验教学的基本规范，是加强实验工作、开展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实验教学评估、做好实验教学管理的基本依据。</w:t>
      </w:r>
    </w:p>
    <w:p>
      <w:pPr>
        <w:spacing w:before="12" w:line="294" w:lineRule="auto"/>
        <w:ind w:left="34"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第三条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4"/>
          <w:sz w:val="24"/>
          <w:szCs w:val="24"/>
        </w:rPr>
        <w:t>实验教学实行学校和学院二级管理，</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4"/>
          <w:sz w:val="24"/>
          <w:szCs w:val="24"/>
        </w:rPr>
        <w:t>在主管校长领导下，实验室与设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备管理中心负责实验教学宏观管理，负责审核实验教学计划和下达实验教学任务，</w:t>
      </w:r>
      <w:r>
        <w:rPr>
          <w:rFonts w:ascii="方正书宋简体" w:hAnsi="方正书宋简体" w:eastAsia="方正书宋简体" w:cs="方正书宋简体"/>
          <w:spacing w:val="3"/>
          <w:w w:val="103"/>
          <w:sz w:val="24"/>
          <w:szCs w:val="24"/>
        </w:rPr>
        <w:t xml:space="preserve">  </w:t>
      </w:r>
      <w:r>
        <w:rPr>
          <w:rFonts w:ascii="方正书宋简体" w:hAnsi="方正书宋简体" w:eastAsia="方正书宋简体" w:cs="方正书宋简体"/>
          <w:spacing w:val="-2"/>
          <w:sz w:val="24"/>
          <w:szCs w:val="24"/>
        </w:rPr>
        <w:t>学院负责实验教学的具体组织实施。</w:t>
      </w:r>
    </w:p>
    <w:p>
      <w:pPr>
        <w:spacing w:before="3" w:line="202" w:lineRule="auto"/>
        <w:ind w:firstLine="296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实验教学文件管理</w:t>
      </w:r>
    </w:p>
    <w:p>
      <w:pPr>
        <w:spacing w:before="100" w:line="290" w:lineRule="auto"/>
        <w:ind w:left="33" w:right="9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实验教学文件包括实验教学大纲、实验考核大纲、实验教学计划、实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验教材（实验指导书）等，是学校组织和实施实验教学工作、规范实验教学过程的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基本文件。</w:t>
      </w:r>
    </w:p>
    <w:p>
      <w:pPr>
        <w:spacing w:before="22" w:line="19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实验教学计划</w:t>
      </w:r>
    </w:p>
    <w:p>
      <w:pPr>
        <w:spacing w:before="132"/>
        <w:ind w:left="33"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（一）实验教学计划是实验教学最基本的指导性教学文件，</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8"/>
          <w:sz w:val="24"/>
          <w:szCs w:val="24"/>
        </w:rPr>
        <w:t>是实验室建设、评估、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定编、设备投入、资金分配、工作量核算及基本教学任务完成情况检查的基本依据。</w:t>
      </w:r>
    </w:p>
    <w:p>
      <w:pPr>
        <w:spacing w:before="217" w:line="315" w:lineRule="auto"/>
        <w:ind w:left="34" w:right="9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实验教学计划依据人才培养方案的整体要求而制定，</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应明确实验教学的进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程及实验教学的环节，包括实验教学所承担的任务、实验课的设置、实验项目的选</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择、实验学时的分配等内容。</w:t>
      </w:r>
    </w:p>
    <w:p>
      <w:pPr>
        <w:spacing w:before="3" w:line="239" w:lineRule="auto"/>
        <w:ind w:left="36" w:right="94"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（三）</w:t>
      </w:r>
      <w:r>
        <w:rPr>
          <w:rFonts w:ascii="方正书宋简体" w:hAnsi="方正书宋简体" w:eastAsia="方正书宋简体" w:cs="方正书宋简体"/>
          <w:spacing w:val="73"/>
          <w:sz w:val="24"/>
          <w:szCs w:val="24"/>
        </w:rPr>
        <w:t xml:space="preserve"> </w:t>
      </w:r>
      <w:r>
        <w:rPr>
          <w:rFonts w:ascii="方正书宋简体" w:hAnsi="方正书宋简体" w:eastAsia="方正书宋简体" w:cs="方正书宋简体"/>
          <w:spacing w:val="-18"/>
          <w:sz w:val="24"/>
          <w:szCs w:val="24"/>
        </w:rPr>
        <w:t>实验教学计划应保持相对稳定，</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8"/>
          <w:sz w:val="24"/>
          <w:szCs w:val="24"/>
        </w:rPr>
        <w:t>若需调整或变动，</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必须充分论证，</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8"/>
          <w:sz w:val="24"/>
          <w:szCs w:val="24"/>
        </w:rPr>
        <w:t>学院实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验教学指导委员会审核，报实验室与设备管理中心批准实施。</w:t>
      </w:r>
    </w:p>
    <w:p>
      <w:pPr>
        <w:spacing w:before="204"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第六条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实验教学大纲</w:t>
      </w:r>
    </w:p>
    <w:p>
      <w:pPr>
        <w:spacing w:before="150"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（一）实验教学大纲是组织、检查和考核实验教学、指导实验室建设的主要依据。</w:t>
      </w:r>
    </w:p>
    <w:p>
      <w:pPr>
        <w:spacing w:before="197"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（二）实验教学大纲的内容应包括以下内容：</w:t>
      </w:r>
    </w:p>
    <w:p>
      <w:pPr>
        <w:spacing w:before="190"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1、明确实验课程在专业人才培养实验能力中的地位和作用。</w:t>
      </w:r>
    </w:p>
    <w:p>
      <w:pPr>
        <w:spacing w:before="190"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2、明确本课程实验教学的基本方法、特点和基本要求。</w:t>
      </w:r>
    </w:p>
    <w:p>
      <w:pPr>
        <w:spacing w:before="179" w:line="315" w:lineRule="auto"/>
        <w:ind w:left="34" w:right="93"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3、明确实验目的、任务、内容、学时、项目类型、所需设备、考核及教学方式</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7"/>
          <w:sz w:val="24"/>
          <w:szCs w:val="24"/>
        </w:rPr>
        <w:t>方法等。</w:t>
      </w:r>
    </w:p>
    <w:p>
      <w:pPr>
        <w:sectPr>
          <w:footerReference r:id="rId186" w:type="default"/>
          <w:pgSz w:w="11905" w:h="16840"/>
          <w:pgMar w:top="1431" w:right="1491" w:bottom="1365" w:left="1557" w:header="0" w:footer="1241" w:gutter="0"/>
          <w:cols w:space="720" w:num="1"/>
        </w:sectPr>
      </w:pPr>
    </w:p>
    <w:p>
      <w:pPr>
        <w:spacing w:before="416" w:line="258" w:lineRule="auto"/>
        <w:ind w:left="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第七条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实验教材或指导书的编写应规范，体现科学性、系统性、完整性，并力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3"/>
          <w:w w:val="99"/>
          <w:sz w:val="24"/>
          <w:szCs w:val="24"/>
        </w:rPr>
        <w:t>求创新性和特色，</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23"/>
          <w:w w:val="99"/>
          <w:sz w:val="24"/>
          <w:szCs w:val="24"/>
        </w:rPr>
        <w:t>有利于开拓学生智力，</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23"/>
          <w:w w:val="99"/>
          <w:sz w:val="24"/>
          <w:szCs w:val="24"/>
        </w:rPr>
        <w:t>启发学生思维，</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23"/>
          <w:w w:val="99"/>
          <w:sz w:val="24"/>
          <w:szCs w:val="24"/>
        </w:rPr>
        <w:t>拓宽知识领域，</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23"/>
          <w:w w:val="99"/>
          <w:sz w:val="24"/>
          <w:szCs w:val="24"/>
        </w:rPr>
        <w:t>注重能力培养，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便于学生自学。独立开设的实验课必须有教材，其它实验课必须有实验指导书。</w:t>
      </w:r>
    </w:p>
    <w:p>
      <w:pPr>
        <w:spacing w:before="166" w:line="180" w:lineRule="auto"/>
        <w:ind w:firstLine="341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4"/>
          <w:sz w:val="24"/>
          <w:szCs w:val="24"/>
        </w:rPr>
        <w:t>实验项目管理</w:t>
      </w:r>
    </w:p>
    <w:p>
      <w:pPr>
        <w:spacing w:before="140" w:line="294" w:lineRule="auto"/>
        <w:ind w:left="1" w:right="8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实验项目是体现能力、素质培养的要求，承载实验教学内容的基本单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元，包括演示性实验、操作性实验、验证性实验、综合性实验、设计性实验、研究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创新性实验。</w:t>
      </w:r>
    </w:p>
    <w:p>
      <w:pPr>
        <w:spacing w:before="1" w:line="299" w:lineRule="auto"/>
        <w:ind w:left="4" w:right="8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实验项目的设置要符合本专业培养目标及专业特点的要求，符合实验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教学大纲对能力培养的要求，与理论课衔接紧密。实验项目的撤销、合并、修改、</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调整等，必须充分论证，由学院实验教学指导委员会审核，报实验室与设备管理中</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心批准实施。</w:t>
      </w:r>
    </w:p>
    <w:p>
      <w:pPr>
        <w:spacing w:before="1" w:line="250" w:lineRule="auto"/>
        <w:ind w:left="2" w:right="8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实验项目的设置应注意加强基本实验技能训练，注重综合能力、创新</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能力的培养。逐步增加综合性、设计性实验项目比例，加强科研成果转化与反映现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代科技水平的实验项目。</w:t>
      </w:r>
    </w:p>
    <w:p>
      <w:pPr>
        <w:spacing w:before="205" w:line="282" w:lineRule="auto"/>
        <w:ind w:left="4" w:right="9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 xml:space="preserve">实验项目所需仪器设备要安全可靠，计量准确，符合操作规范，有 </w:t>
      </w:r>
      <w:r>
        <w:rPr>
          <w:rFonts w:ascii="方正书宋简体" w:hAnsi="方正书宋简体" w:eastAsia="方正书宋简体" w:cs="方正书宋简体"/>
          <w:spacing w:val="-2"/>
          <w:sz w:val="24"/>
          <w:szCs w:val="24"/>
        </w:rPr>
        <w:t>安全保护措施，能有效地支撑实验项目的顺利开展。</w:t>
      </w:r>
    </w:p>
    <w:p>
      <w:pPr>
        <w:spacing w:before="10" w:line="281" w:lineRule="auto"/>
        <w:ind w:left="5" w:right="8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学生自行设计实验项目，经指导教师审核、实验室主任批准，报实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验室与设备管理中心备案。</w:t>
      </w:r>
    </w:p>
    <w:p>
      <w:pPr>
        <w:spacing w:before="12" w:line="195" w:lineRule="auto"/>
        <w:ind w:firstLine="317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实验教学过程管理</w:t>
      </w:r>
    </w:p>
    <w:p>
      <w:pPr>
        <w:spacing w:before="114" w:line="281" w:lineRule="auto"/>
        <w:ind w:left="3" w:right="8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学院申报开课计划，必须于上学期末将实验课表、实验教学计划表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交实验室与设备管理中心。</w:t>
      </w:r>
    </w:p>
    <w:p>
      <w:pPr>
        <w:spacing w:before="11" w:line="275" w:lineRule="auto"/>
        <w:ind w:right="5"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实验教学教师将实验教学进程录入学校实验教学综合管理系统，并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认真填写《课程实验教学计划表》和《实验教学授课计划书》，</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9"/>
          <w:sz w:val="24"/>
          <w:szCs w:val="24"/>
        </w:rPr>
        <w:t>经学院汇总并审核本</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学院教师实验教学的整体安排情况，</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主管院长审批后报实验室与设备管理中心备案，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学校审核通过的教学任务任课教师和实验室必须严格执行，调课、停课、补课等按</w:t>
      </w:r>
      <w:r>
        <w:rPr>
          <w:rFonts w:ascii="方正书宋简体" w:hAnsi="方正书宋简体" w:eastAsia="方正书宋简体" w:cs="方正书宋简体"/>
          <w:spacing w:val="8"/>
          <w:w w:val="103"/>
          <w:sz w:val="24"/>
          <w:szCs w:val="24"/>
        </w:rPr>
        <w:t xml:space="preserve">  </w:t>
      </w:r>
      <w:r>
        <w:rPr>
          <w:rFonts w:ascii="方正书宋简体" w:hAnsi="方正书宋简体" w:eastAsia="方正书宋简体" w:cs="方正书宋简体"/>
          <w:spacing w:val="-3"/>
          <w:sz w:val="24"/>
          <w:szCs w:val="24"/>
        </w:rPr>
        <w:t>学校的有关规定执行。</w:t>
      </w:r>
    </w:p>
    <w:p>
      <w:pPr>
        <w:spacing w:before="209" w:line="249" w:lineRule="auto"/>
        <w:ind w:left="2" w:right="8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实验教学必须配备指导教师，指导教师由课程主讲教师、实验技术</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人员担任。实验教学主要环节包括：教学准备、预备实验、组织教学、实验指导、</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3"/>
          <w:sz w:val="24"/>
          <w:szCs w:val="24"/>
        </w:rPr>
        <w:t>实验评价、批阅报告。</w:t>
      </w:r>
    </w:p>
    <w:p>
      <w:pPr>
        <w:spacing w:before="206"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第十六条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实验指导教师职责</w:t>
      </w:r>
    </w:p>
    <w:p>
      <w:pPr>
        <w:sectPr>
          <w:footerReference r:id="rId187" w:type="default"/>
          <w:pgSz w:w="11905" w:h="16840"/>
          <w:pgMar w:top="1431" w:right="1503" w:bottom="1365" w:left="1588" w:header="0" w:footer="1241" w:gutter="0"/>
          <w:cols w:space="720" w:num="1"/>
        </w:sectPr>
      </w:pPr>
    </w:p>
    <w:p>
      <w:pPr>
        <w:spacing w:before="426" w:line="253" w:lineRule="auto"/>
        <w:ind w:left="9" w:right="70"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（一）认真备课，预做实验，写好教案，对实验目的要求、原理、步骤、装置、</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注意事项、重点、难点及可能出现的问题及解决方法等准备充分。</w:t>
      </w:r>
    </w:p>
    <w:p>
      <w:pPr>
        <w:spacing w:before="176" w:line="316" w:lineRule="auto"/>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13"/>
          <w:sz w:val="24"/>
          <w:szCs w:val="24"/>
        </w:rPr>
        <w:t>课堂授课要严肃认真，</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讲授要简明扼要。要认真执行教学大纲的规定，</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得随意删减实验项目中的内容或降低对学生的要求。</w:t>
      </w:r>
    </w:p>
    <w:p>
      <w:pPr>
        <w:spacing w:before="3" w:line="314" w:lineRule="auto"/>
        <w:ind w:left="5" w:right="75"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9"/>
          <w:sz w:val="24"/>
          <w:szCs w:val="24"/>
        </w:rPr>
        <w:t>积极引导学生勤奋学习、敢于创新，</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9"/>
          <w:sz w:val="24"/>
          <w:szCs w:val="24"/>
        </w:rPr>
        <w:t>重视实验安全与环保。对第一次上实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验课的学生，应该介绍实验室概况，宣讲实验守则、注意事项及有关规章制度，对</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学生进行安全和纪律教育。</w:t>
      </w:r>
    </w:p>
    <w:p>
      <w:pPr>
        <w:spacing w:before="3" w:line="315" w:lineRule="auto"/>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（四）</w:t>
      </w:r>
      <w:r>
        <w:rPr>
          <w:rFonts w:ascii="方正书宋简体" w:hAnsi="方正书宋简体" w:eastAsia="方正书宋简体" w:cs="方正书宋简体"/>
          <w:spacing w:val="59"/>
          <w:w w:val="101"/>
          <w:sz w:val="24"/>
          <w:szCs w:val="24"/>
        </w:rPr>
        <w:t xml:space="preserve"> </w:t>
      </w:r>
      <w:r>
        <w:rPr>
          <w:rFonts w:ascii="方正书宋简体" w:hAnsi="方正书宋简体" w:eastAsia="方正书宋简体" w:cs="方正书宋简体"/>
          <w:spacing w:val="-13"/>
          <w:sz w:val="24"/>
          <w:szCs w:val="24"/>
        </w:rPr>
        <w:t>严格执行预实验和预习制度，</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3"/>
          <w:sz w:val="24"/>
          <w:szCs w:val="24"/>
        </w:rPr>
        <w:t>预实验或预习提问不合格的学生，</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需要重新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进行预习，合格后方能参加实验。</w:t>
      </w:r>
    </w:p>
    <w:p>
      <w:pPr>
        <w:spacing w:before="1" w:line="315" w:lineRule="auto"/>
        <w:ind w:left="3" w:right="76"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（五）</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3"/>
          <w:sz w:val="24"/>
          <w:szCs w:val="24"/>
        </w:rPr>
        <w:t>在实验过程中，</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指导实验要认真、耐心、经常巡回检查，</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及时发现问题并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着重进行启发和引导，实验结束后，要逐个检查签字，不合格者需重做实验。</w:t>
      </w:r>
    </w:p>
    <w:p>
      <w:pPr>
        <w:spacing w:before="1" w:line="315" w:lineRule="auto"/>
        <w:ind w:left="1" w:right="7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（六）</w:t>
      </w:r>
      <w:r>
        <w:rPr>
          <w:rFonts w:ascii="方正书宋简体" w:hAnsi="方正书宋简体" w:eastAsia="方正书宋简体" w:cs="方正书宋简体"/>
          <w:spacing w:val="79"/>
          <w:sz w:val="24"/>
          <w:szCs w:val="24"/>
        </w:rPr>
        <w:t xml:space="preserve"> </w:t>
      </w:r>
      <w:r>
        <w:rPr>
          <w:rFonts w:ascii="方正书宋简体" w:hAnsi="方正书宋简体" w:eastAsia="方正书宋简体" w:cs="方正书宋简体"/>
          <w:spacing w:val="-9"/>
          <w:sz w:val="24"/>
          <w:szCs w:val="24"/>
        </w:rPr>
        <w:t>实验结束后，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要组织学生整理好仪器设备、做好仪器设备使用登记、搞好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清洁卫生，同时检查仪器设备及工具缺损情况。若发现缺损，要立即组织当事人检</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
          <w:sz w:val="24"/>
          <w:szCs w:val="24"/>
        </w:rPr>
        <w:t>查并填写仪器设备报废缺损事故报告单，报实验室主任，按学校有关规定执行。</w:t>
      </w:r>
    </w:p>
    <w:p>
      <w:pPr>
        <w:spacing w:before="2" w:line="310" w:lineRule="auto"/>
        <w:ind w:left="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（七）实验报告要认真批改，</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2"/>
          <w:sz w:val="24"/>
          <w:szCs w:val="24"/>
        </w:rPr>
        <w:t>指出存在的问题及错误的原因，</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2"/>
          <w:sz w:val="24"/>
          <w:szCs w:val="24"/>
        </w:rPr>
        <w:t>实事求是评定成绩，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不合格的实验报告要退回重写，对报告中存在的共性问题要分析原因，进行重点讲</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解。实验课程结束后，实验报告统一存档。</w:t>
      </w:r>
    </w:p>
    <w:p>
      <w:pPr>
        <w:spacing w:before="21" w:line="187"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（八）实验教学结束后，认真填写实验教学日志。</w:t>
      </w:r>
    </w:p>
    <w:p>
      <w:pPr>
        <w:spacing w:before="171"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第十七条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实验室管理人员职责</w:t>
      </w:r>
    </w:p>
    <w:p>
      <w:pPr>
        <w:spacing w:before="150" w:line="253" w:lineRule="auto"/>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65"/>
          <w:sz w:val="24"/>
          <w:szCs w:val="24"/>
        </w:rPr>
        <w:t xml:space="preserve"> </w:t>
      </w:r>
      <w:r>
        <w:rPr>
          <w:rFonts w:ascii="方正书宋简体" w:hAnsi="方正书宋简体" w:eastAsia="方正书宋简体" w:cs="方正书宋简体"/>
          <w:spacing w:val="-13"/>
          <w:sz w:val="24"/>
          <w:szCs w:val="24"/>
        </w:rPr>
        <w:t>根据实验项目的要求在课前做好准备工作，</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保证每组仪器设备完好，</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对每</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组实验的难点、重点及易出现的故障做到心中有数，有应急措施。</w:t>
      </w:r>
    </w:p>
    <w:p>
      <w:pPr>
        <w:spacing w:before="166" w:line="320" w:lineRule="auto"/>
        <w:ind w:left="3"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配合指导教师预做实验，</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实验中随时了解仪器设备的运行状况，</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及时排除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故障，保证实验顺利进行并协助指导教师做好学生指导工作。</w:t>
      </w:r>
    </w:p>
    <w:p>
      <w:pPr>
        <w:spacing w:before="1" w:line="264" w:lineRule="auto"/>
        <w:ind w:left="6" w:right="75"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实验结束时，</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3"/>
          <w:sz w:val="24"/>
          <w:szCs w:val="24"/>
        </w:rPr>
        <w:t>填写实验室工作日志，</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在指导教师对仪器设备及工具等检查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的基础上，做好仪器设备验收、整理、复位工作，做好室内卫生、门、窗、水、电</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7"/>
          <w:sz w:val="24"/>
          <w:szCs w:val="24"/>
        </w:rPr>
        <w:t>等工作。</w:t>
      </w:r>
    </w:p>
    <w:p>
      <w:pPr>
        <w:spacing w:before="206" w:line="180" w:lineRule="auto"/>
        <w:ind w:firstLine="317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第五章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4"/>
          <w:sz w:val="24"/>
          <w:szCs w:val="24"/>
        </w:rPr>
        <w:t>实验考核管理</w:t>
      </w:r>
    </w:p>
    <w:p>
      <w:pPr>
        <w:spacing w:before="138" w:line="282" w:lineRule="auto"/>
        <w:ind w:right="77"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实验课程必须进行考核，未参加考核或考核成绩不合格的学生，该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课程按不及格处理。</w:t>
      </w:r>
    </w:p>
    <w:p>
      <w:pPr>
        <w:spacing w:before="11"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实验考核一般采用笔试或口试（仪器原理、实验原理、实验结果分</w:t>
      </w:r>
    </w:p>
    <w:p>
      <w:pPr>
        <w:sectPr>
          <w:footerReference r:id="rId188" w:type="default"/>
          <w:pgSz w:w="11905" w:h="16840"/>
          <w:pgMar w:top="1431" w:right="1510" w:bottom="1365" w:left="1588" w:header="0" w:footer="1241" w:gutter="0"/>
          <w:cols w:space="720" w:num="1"/>
        </w:sectPr>
      </w:pPr>
    </w:p>
    <w:p>
      <w:pPr>
        <w:spacing w:before="425"/>
        <w:ind w:left="4" w:right="24"/>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析等）、操作考试（随机抽题、独立操作等）、平时考核（每次实验的预习、操作、</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报告等）相结合的办法，按照实验教学考核大纲要求进行成绩综合评定。</w:t>
      </w:r>
    </w:p>
    <w:p>
      <w:pPr>
        <w:spacing w:before="202" w:line="250" w:lineRule="auto"/>
        <w:ind w:left="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独立开设的实验课程成绩，可根据实验成绩和期末考核成绩综合评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定。课程中进行的实验教学，实验成绩应按照实验教学考核大纲规定占总成绩的比</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例计入课程总成绩。</w:t>
      </w:r>
    </w:p>
    <w:p>
      <w:pPr>
        <w:spacing w:before="205" w:line="180" w:lineRule="auto"/>
        <w:ind w:firstLine="257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第六章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实验教学检查与实验教学研究</w:t>
      </w:r>
    </w:p>
    <w:p>
      <w:pPr>
        <w:spacing w:before="139" w:line="25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第二十一条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4"/>
          <w:sz w:val="24"/>
          <w:szCs w:val="24"/>
        </w:rPr>
        <w:t>教学检查是加强实验教学管理，</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4"/>
          <w:sz w:val="24"/>
          <w:szCs w:val="24"/>
        </w:rPr>
        <w:t>保证教学质量，及时发现并纠正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教学过程中存在的问题，稳定教学秩序的重要手段，各单位要认真贯彻学校教学检</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查的各项规定，使实验教学检查规范化、制度化、实效化。</w:t>
      </w:r>
    </w:p>
    <w:p>
      <w:pPr>
        <w:spacing w:before="204" w:line="282" w:lineRule="auto"/>
        <w:ind w:right="2"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学校定期对教师实验课教学质量和学院实验教学质量管理进行评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估，并按照相关规定进行表彰和奖励。</w:t>
      </w:r>
    </w:p>
    <w:p>
      <w:pPr>
        <w:spacing w:before="7" w:line="266"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各学院要根据创新创业人才培养的要求积极进行实验教学改革，</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研究各类实验项目的比例、实验内容的更新与改进、努力吸收科学技术发展和教改</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新成果，优化实验教学体系，更新实验内容，</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4"/>
          <w:sz w:val="24"/>
          <w:szCs w:val="24"/>
        </w:rPr>
        <w:t>增开设计性、综合性、研究性实验，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改革教学方法，不断提高实验教学质量和水平。</w:t>
      </w:r>
    </w:p>
    <w:p>
      <w:pPr>
        <w:spacing w:before="206" w:line="294" w:lineRule="auto"/>
        <w:ind w:left="7"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各学院要切实加强仪器设备的管理、维护、功能开发等工作，提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高仪器设备的完好率、利用率和综合效益。努力完善实验技术条件和工作环境，为</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高效率、高水平地完成实验教学任务提供保障。</w:t>
      </w:r>
    </w:p>
    <w:p>
      <w:pPr>
        <w:spacing w:before="1" w:line="294" w:lineRule="auto"/>
        <w:ind w:left="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各学院要发挥教学资源效益，利用开放实验室，开展学科竞赛和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实验技能竞赛，吸收优秀学生参加实验室管理和教师科研工作等，培养学生科学精</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5"/>
          <w:sz w:val="24"/>
          <w:szCs w:val="24"/>
        </w:rPr>
        <w:t>神和研究能力。</w:t>
      </w:r>
    </w:p>
    <w:p>
      <w:pPr>
        <w:spacing w:before="2" w:line="281" w:lineRule="auto"/>
        <w:ind w:left="9" w:right="44"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第二十六条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各学院要充分利用信息化手段加强实验室与实验教学档案管理，</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3"/>
          <w:sz w:val="24"/>
          <w:szCs w:val="24"/>
        </w:rPr>
        <w:t>为实验教学管理与研究提供依据。</w:t>
      </w:r>
    </w:p>
    <w:p>
      <w:pPr>
        <w:spacing w:before="12" w:line="195" w:lineRule="auto"/>
        <w:ind w:firstLine="3894"/>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第七章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5"/>
          <w:sz w:val="24"/>
          <w:szCs w:val="24"/>
        </w:rPr>
        <w:t>附则</w:t>
      </w:r>
    </w:p>
    <w:p>
      <w:pPr>
        <w:spacing w:before="115" w:line="281" w:lineRule="auto"/>
        <w:ind w:left="10" w:right="2"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本办法自发布之日起执行，各单位要结合本办法的要求拟定实施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细则。</w:t>
      </w:r>
    </w:p>
    <w:p>
      <w:pPr>
        <w:spacing w:before="12"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第二十八条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本办法由实验室与设备管理中心负责解释。</w:t>
      </w:r>
    </w:p>
    <w:p>
      <w:pPr>
        <w:sectPr>
          <w:footerReference r:id="rId189" w:type="default"/>
          <w:pgSz w:w="11905" w:h="16840"/>
          <w:pgMar w:top="1431" w:right="1585" w:bottom="1365" w:left="1589" w:header="0" w:footer="1241" w:gutter="0"/>
          <w:cols w:space="720" w:num="1"/>
        </w:sectPr>
      </w:pPr>
    </w:p>
    <w:p>
      <w:pPr>
        <w:spacing w:before="349" w:line="180" w:lineRule="auto"/>
        <w:ind w:firstLine="264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吉首大学实验室工作规程</w:t>
      </w:r>
    </w:p>
    <w:p>
      <w:pPr>
        <w:spacing w:before="110" w:line="184" w:lineRule="auto"/>
        <w:ind w:firstLine="3224"/>
        <w:rPr>
          <w:rFonts w:ascii="楷体" w:hAnsi="楷体" w:eastAsia="楷体" w:cs="楷体"/>
          <w:sz w:val="24"/>
          <w:szCs w:val="24"/>
        </w:rPr>
      </w:pPr>
      <w:r>
        <w:rPr>
          <w:rFonts w:ascii="楷体" w:hAnsi="楷体" w:eastAsia="楷体" w:cs="楷体"/>
          <w:spacing w:val="-5"/>
          <w:sz w:val="24"/>
          <w:szCs w:val="24"/>
        </w:rPr>
        <w:t>（2016</w:t>
      </w:r>
      <w:r>
        <w:rPr>
          <w:rFonts w:ascii="楷体" w:hAnsi="楷体" w:eastAsia="楷体" w:cs="楷体"/>
          <w:spacing w:val="-50"/>
          <w:sz w:val="24"/>
          <w:szCs w:val="24"/>
        </w:rPr>
        <w:t xml:space="preserve"> </w:t>
      </w:r>
      <w:r>
        <w:rPr>
          <w:rFonts w:ascii="楷体" w:hAnsi="楷体" w:eastAsia="楷体" w:cs="楷体"/>
          <w:spacing w:val="-5"/>
          <w:sz w:val="24"/>
          <w:szCs w:val="24"/>
        </w:rPr>
        <w:t>年</w:t>
      </w:r>
      <w:r>
        <w:rPr>
          <w:rFonts w:ascii="楷体" w:hAnsi="楷体" w:eastAsia="楷体" w:cs="楷体"/>
          <w:spacing w:val="-32"/>
          <w:sz w:val="24"/>
          <w:szCs w:val="24"/>
        </w:rPr>
        <w:t xml:space="preserve"> </w:t>
      </w:r>
      <w:r>
        <w:rPr>
          <w:rFonts w:ascii="楷体" w:hAnsi="楷体" w:eastAsia="楷体" w:cs="楷体"/>
          <w:spacing w:val="-5"/>
          <w:sz w:val="24"/>
          <w:szCs w:val="24"/>
        </w:rPr>
        <w:t>3</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61"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left="32"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第一条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4"/>
          <w:sz w:val="24"/>
          <w:szCs w:val="24"/>
        </w:rPr>
        <w:t>为了加强我校实验室的建设和管理，</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4"/>
          <w:sz w:val="24"/>
          <w:szCs w:val="24"/>
        </w:rPr>
        <w:t>保证实验教学质量的稳步提高和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科学研究的正常开展，充分利用教学资源，提高办学效益，根据《高等学校实验室</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工作规程》规定，结合我校实际，特制定本规程。</w:t>
      </w:r>
    </w:p>
    <w:p>
      <w:pPr>
        <w:spacing w:before="204" w:line="280" w:lineRule="auto"/>
        <w:ind w:left="35" w:right="7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
          <w:sz w:val="24"/>
          <w:szCs w:val="24"/>
        </w:rPr>
        <w:t>学校实验室（包括各种操作室、训练室、欣赏室、语音室等</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1"/>
          <w:sz w:val="24"/>
          <w:szCs w:val="24"/>
        </w:rPr>
        <w:t>是从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事实验教学或科学研究、生产试验、技术开发的教学或科研实体。</w:t>
      </w:r>
    </w:p>
    <w:p>
      <w:pPr>
        <w:spacing w:before="18" w:line="265" w:lineRule="auto"/>
        <w:ind w:left="35" w:right="7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实验室是进行教学和科学研究的重要基地，实验室工作是教学、科研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工作的重要组成部分，是反映学校教学水平、</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科学技术水平和管理水平的重要标志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之一。各级领导要重视实验室的建设和管理工作，广大教职工要积极参加和关心实</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验室建设的各项工作。</w:t>
      </w:r>
    </w:p>
    <w:p>
      <w:pPr>
        <w:spacing w:before="207" w:line="292" w:lineRule="auto"/>
        <w:ind w:left="32"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实验室工作要保证完成实验教学任务，不断提高实验教学水平；根据</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需要与可能，积极开展科学研究、生产试验和技术开发工作，为经济建设与社会发</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展服务。</w:t>
      </w:r>
    </w:p>
    <w:p>
      <w:pPr>
        <w:spacing w:before="11" w:line="290" w:lineRule="auto"/>
        <w:ind w:left="34" w:right="7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第五条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4"/>
          <w:sz w:val="24"/>
          <w:szCs w:val="24"/>
        </w:rPr>
        <w:t>实验室的建设，要从学校实际出发，</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4"/>
          <w:sz w:val="24"/>
          <w:szCs w:val="24"/>
        </w:rPr>
        <w:t>根据学科专业建设的需要，统筹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规划，合理设置；必须坚持勤俭办学的方针，</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发扬自力更生、艰苦奋斗的精神；要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做到建筑设施、仪器设备、技术队伍与科学管理协调发展，提高使用效益。</w:t>
      </w:r>
    </w:p>
    <w:p>
      <w:pPr>
        <w:spacing w:before="21" w:line="294" w:lineRule="auto"/>
        <w:ind w:left="38" w:right="77"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加强实验室工作人员的思想教育、业务考核和技术培训，树立全心全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意为实验教学服务的思想，努力提高业务水平，建设一支技术过硬、工作能力强的</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4"/>
          <w:sz w:val="24"/>
          <w:szCs w:val="24"/>
        </w:rPr>
        <w:t>实验室技术队伍。</w:t>
      </w:r>
    </w:p>
    <w:p>
      <w:pPr>
        <w:spacing w:before="1" w:line="202" w:lineRule="auto"/>
        <w:ind w:firstLine="368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基本任务</w:t>
      </w:r>
    </w:p>
    <w:p>
      <w:pPr>
        <w:spacing w:before="103" w:line="258" w:lineRule="auto"/>
        <w:ind w:left="36" w:right="77"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承担实验教学任务。实验室要根据各门学科和各类专业教学计划和教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学大纲的规定制定实验室建设总体规划和实施计划，负责编写或完善实验指导书、</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实验教材等教学资料，安排实验指导人员，以保证完成实验教学任务。</w:t>
      </w:r>
    </w:p>
    <w:p>
      <w:pPr>
        <w:spacing w:before="165" w:line="250" w:lineRule="auto"/>
        <w:ind w:left="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第八条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提高实验教学质量。实验室应当积极吸收科研和教学改革的新成果，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有计划地更新实验内容，</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改革教学方法和教学手段，</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培养学生理论联系实际的作风，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严谨的科学态度和分析问题、解决问题的能力。</w:t>
      </w:r>
    </w:p>
    <w:p>
      <w:pPr>
        <w:spacing w:before="206"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提高实验技术，完善技术条件和工作环境，保障高效率、高水平地完</w:t>
      </w:r>
    </w:p>
    <w:p>
      <w:pPr>
        <w:sectPr>
          <w:footerReference r:id="rId190" w:type="default"/>
          <w:pgSz w:w="11905" w:h="16840"/>
          <w:pgMar w:top="1431" w:right="1510" w:bottom="1365" w:left="1557" w:header="0" w:footer="1241" w:gutter="0"/>
          <w:cols w:space="720" w:num="1"/>
        </w:sectPr>
      </w:pPr>
    </w:p>
    <w:p>
      <w:pPr>
        <w:spacing w:before="427" w:line="238" w:lineRule="auto"/>
        <w:ind w:left="2"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成实验任务，</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在保证完成教学和科研任务的前提下，</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积极开展社会服务、技术开发、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学术与技术交流活动。</w:t>
      </w:r>
    </w:p>
    <w:p>
      <w:pPr>
        <w:spacing w:before="206" w:line="282" w:lineRule="auto"/>
        <w:ind w:left="6" w:right="122"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做好仪器设备的管理、维修、计量及标定工作，保证仪器设备的帐、 </w:t>
      </w:r>
      <w:r>
        <w:rPr>
          <w:rFonts w:ascii="方正书宋简体" w:hAnsi="方正书宋简体" w:eastAsia="方正书宋简体" w:cs="方正书宋简体"/>
          <w:spacing w:val="-2"/>
          <w:sz w:val="24"/>
          <w:szCs w:val="24"/>
        </w:rPr>
        <w:t>卡、物相符，使仪器设备处于完好状态，积极开展实验装置的研究和自制工作。</w:t>
      </w:r>
    </w:p>
    <w:p>
      <w:pPr>
        <w:spacing w:before="11" w:line="281" w:lineRule="auto"/>
        <w:ind w:left="3" w:right="122"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切实做好实验室工作环境管理和劳动保护工作，针对高温、低温、 </w:t>
      </w:r>
      <w:r>
        <w:rPr>
          <w:rFonts w:ascii="方正书宋简体" w:hAnsi="方正书宋简体" w:eastAsia="方正书宋简体" w:cs="方正书宋简体"/>
          <w:spacing w:val="-1"/>
          <w:sz w:val="24"/>
          <w:szCs w:val="24"/>
        </w:rPr>
        <w:t>辐射、病菌、噪声、毒性、激光、粉尘、超净等人体有害的环境，进行有效防护。</w:t>
      </w:r>
    </w:p>
    <w:p>
      <w:pPr>
        <w:spacing w:before="13" w:line="282" w:lineRule="auto"/>
        <w:ind w:right="9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第十二条    </w:t>
      </w:r>
      <w:r>
        <w:rPr>
          <w:rFonts w:ascii="方正书宋简体" w:hAnsi="方正书宋简体" w:eastAsia="方正书宋简体" w:cs="方正书宋简体"/>
          <w:spacing w:val="2"/>
          <w:sz w:val="24"/>
          <w:szCs w:val="24"/>
        </w:rPr>
        <w:t xml:space="preserve">认真贯彻执行国家、学校实验室建设和管理的各项制度以及各室自 </w:t>
      </w:r>
      <w:r>
        <w:rPr>
          <w:rFonts w:ascii="方正书宋简体" w:hAnsi="方正书宋简体" w:eastAsia="方正书宋简体" w:cs="方正书宋简体"/>
          <w:spacing w:val="-1"/>
          <w:sz w:val="24"/>
          <w:szCs w:val="24"/>
        </w:rPr>
        <w:t>行制定的各种实施细则，加强对工作人员的培训和管理，不断提高管理水平。</w:t>
      </w:r>
    </w:p>
    <w:p>
      <w:pPr>
        <w:spacing w:before="9" w:line="450" w:lineRule="exact"/>
        <w:ind w:firstLine="3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第三章</w:t>
      </w:r>
      <w:r>
        <w:rPr>
          <w:rFonts w:ascii="Microsoft JhengHei" w:hAnsi="Microsoft JhengHei" w:eastAsia="Microsoft JhengHei" w:cs="Microsoft JhengHei"/>
          <w:spacing w:val="6"/>
          <w:position w:val="12"/>
          <w:sz w:val="24"/>
          <w:szCs w:val="24"/>
        </w:rPr>
        <w:t xml:space="preserve">    </w:t>
      </w:r>
      <w:r>
        <w:rPr>
          <w:rFonts w:ascii="Microsoft JhengHei" w:hAnsi="Microsoft JhengHei" w:eastAsia="Microsoft JhengHei" w:cs="Microsoft JhengHei"/>
          <w:spacing w:val="-3"/>
          <w:position w:val="12"/>
          <w:sz w:val="24"/>
          <w:szCs w:val="24"/>
        </w:rPr>
        <w:t>实验室的建设与管理</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学校实验室的设置，应当具备以下基本条件：</w:t>
      </w:r>
    </w:p>
    <w:p>
      <w:pPr>
        <w:spacing w:before="106"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（一）有稳定的学科发展方向和饱满的实验教学或科研、技术开发等任务；</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（二）有符合实验技术工作要求的房舍、设施及环境；</w:t>
      </w:r>
    </w:p>
    <w:p>
      <w:pPr>
        <w:spacing w:before="17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（三）有一定数量、配套的仪器设备；</w:t>
      </w:r>
    </w:p>
    <w:p>
      <w:pPr>
        <w:spacing w:before="17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（四）有合格的实验室主任和一定数量的实验室技术人员；</w:t>
      </w:r>
    </w:p>
    <w:p>
      <w:pPr>
        <w:spacing w:before="180"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（五）有科学的工作规范和完善的管理制度。</w:t>
      </w:r>
    </w:p>
    <w:p>
      <w:pPr>
        <w:spacing w:before="17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实验室建设、调整与撤销，必须经学校正式批准。</w:t>
      </w:r>
    </w:p>
    <w:p>
      <w:pPr>
        <w:spacing w:before="140" w:line="258" w:lineRule="auto"/>
        <w:ind w:right="10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实验室的建设要根据学校发展规划，要对教学科研需要、环境、设</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
          <w:sz w:val="24"/>
          <w:szCs w:val="24"/>
        </w:rPr>
        <w:t>施、仪器设备、人员结构、经费投入等建设效益因素进行综合论证，分轻重缓急，</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3"/>
          <w:sz w:val="24"/>
          <w:szCs w:val="24"/>
        </w:rPr>
        <w:t>有计划有重点地进行建设。</w:t>
      </w:r>
    </w:p>
    <w:p>
      <w:pPr>
        <w:spacing w:before="165" w:line="290" w:lineRule="auto"/>
        <w:ind w:left="1"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3"/>
          <w:sz w:val="24"/>
          <w:szCs w:val="24"/>
        </w:rPr>
        <w:t>实验室的建设要严格按计划进行。</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3"/>
          <w:sz w:val="24"/>
          <w:szCs w:val="24"/>
        </w:rPr>
        <w:t>其中，房舍及其配套设施要纳入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学校基本建设计划；仪器设备和运行、维修费要纳入学校财务计划；工作人员的配</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备与结构调整要纳入学校人事计划。</w:t>
      </w:r>
    </w:p>
    <w:p>
      <w:pPr>
        <w:spacing w:before="24" w:line="265" w:lineRule="auto"/>
        <w:ind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要保证实验室建设所需的基本资金。除了合理规划一定比例的基建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费、事业费、专项费资金用于实验室建设外，</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还应广开财路，多渠道筹措资金，加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快我校实验室建设步伐。实验室主管部门定期检查实验室的使用效益，并以此作为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今后项目投资的重要依据。</w:t>
      </w:r>
    </w:p>
    <w:p>
      <w:pPr>
        <w:spacing w:before="206" w:line="282" w:lineRule="auto"/>
        <w:ind w:left="1" w:right="9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第十八条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4"/>
          <w:sz w:val="24"/>
          <w:szCs w:val="24"/>
        </w:rPr>
        <w:t>实验室要建立和健全岗位责任制，</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4"/>
          <w:sz w:val="24"/>
          <w:szCs w:val="24"/>
        </w:rPr>
        <w:t>要定期对实验室工作人员的工作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量和水平进行考核。</w:t>
      </w:r>
    </w:p>
    <w:p>
      <w:pPr>
        <w:spacing w:before="8" w:line="282" w:lineRule="auto"/>
        <w:ind w:right="9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4"/>
          <w:sz w:val="24"/>
          <w:szCs w:val="24"/>
        </w:rPr>
        <w:t>实验室要完善各项管理规章制度，</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4"/>
          <w:sz w:val="24"/>
          <w:szCs w:val="24"/>
        </w:rPr>
        <w:t>实行科学管理。要采用信息化手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段对实验室的工作、人员、物资、经费、环境状况等信息进行记录、统计和分析，</w:t>
      </w:r>
    </w:p>
    <w:p>
      <w:pPr>
        <w:sectPr>
          <w:footerReference r:id="rId191" w:type="default"/>
          <w:pgSz w:w="11905" w:h="16840"/>
          <w:pgMar w:top="1431" w:right="1489" w:bottom="1365" w:left="1590" w:header="0" w:footer="1241" w:gutter="0"/>
          <w:cols w:space="720" w:num="1"/>
        </w:sectPr>
      </w:pPr>
    </w:p>
    <w:p>
      <w:pPr>
        <w:spacing w:before="427"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及时为学校或上级主管部门提供实验室状况的准确数据。</w:t>
      </w:r>
    </w:p>
    <w:p>
      <w:pPr>
        <w:spacing w:before="181" w:line="290" w:lineRule="auto"/>
        <w:ind w:left="4"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购置实验室仪器设备要按年度计划进行，要求做到选型合理，经济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实用，供应及时；设备采购按照学校有关政策进行。由于论证工作失误而造成重大</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经济损失的，要追究有关当事人的责任。</w:t>
      </w:r>
    </w:p>
    <w:p>
      <w:pPr>
        <w:spacing w:before="20" w:line="288"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实验室仪器设备和材料、低值易耗品等物资的管理，按照《吉首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大学仪器设备管理办法》、《吉首大学材料低值易耗品管理办法》和学校有关文件</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规定执行。</w:t>
      </w:r>
    </w:p>
    <w:p>
      <w:pPr>
        <w:spacing w:before="25" w:line="302"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实验室要严格遵守《化学危险品安全管理条例》、《中华人民共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和国保守国家秘密法》、《中华人民共和国传染病防治法》、</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8"/>
          <w:sz w:val="24"/>
          <w:szCs w:val="24"/>
        </w:rPr>
        <w:t>《微生物和生物医学实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验室生物安全通用准则》和《吉首大学实验室安全管理办法》等有关规章制度，定</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期检查安全措施的落实情况；要经常对师生开展安全保密教育，落实实验室安全准</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入制度，切实保障人身和财产安全。</w:t>
      </w:r>
    </w:p>
    <w:p>
      <w:pPr>
        <w:spacing w:before="9" w:line="281" w:lineRule="auto"/>
        <w:ind w:left="30" w:right="8" w:firstLine="45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建立学校实验室的总结评估制度。学校对实验室定期进行总结评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比，表彰先进，评估结果与实验室建设、经费分配挂钩。</w:t>
      </w:r>
    </w:p>
    <w:p>
      <w:pPr>
        <w:spacing w:before="11" w:line="197" w:lineRule="auto"/>
        <w:ind w:firstLine="3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管理体制与人员</w:t>
      </w:r>
    </w:p>
    <w:p>
      <w:pPr>
        <w:spacing w:before="110" w:line="294" w:lineRule="auto"/>
        <w:ind w:left="6"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第二十四条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4"/>
          <w:sz w:val="24"/>
          <w:szCs w:val="24"/>
        </w:rPr>
        <w:t>实验室在主管校长统一领导下，</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4"/>
          <w:sz w:val="24"/>
          <w:szCs w:val="24"/>
        </w:rPr>
        <w:t>实行校、院两级管理体制，实验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室与设备管理中心代表学校负责全校各类实验室建设与管理工作，各学院实验教学</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中心是学院层面实验室建设与管理工作的主体机构。</w:t>
      </w:r>
    </w:p>
    <w:p>
      <w:pPr>
        <w:spacing w:line="266"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实验教学中心和实验室分别设置中心主任和实验室主任，中心主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任负责学院实验室的全面工作，实验室主任负责主管实验室的具体工作，中心主任</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必须为学院主管实验室工作的院领导，实验室主任一般要由具有较高的思想政治觉</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悟和一定的专业理论修养的副高级以上职称人员担任。</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实验教学中心主任和实验室主任均由学校聘任或任命。</w:t>
      </w:r>
    </w:p>
    <w:p>
      <w:pPr>
        <w:spacing w:before="138" w:line="250"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实验室其他工作人员包括：实验教学秘书、实验室管理员、实验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教师、科研人员等，各类人员要各司其职、分工明确、团结协作，积极完成各项教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学科研任务。</w:t>
      </w:r>
    </w:p>
    <w:p>
      <w:pPr>
        <w:spacing w:before="204" w:line="278" w:lineRule="auto"/>
        <w:ind w:left="10" w:right="2" w:firstLine="47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实验室各类人员的职务聘任、职称晋升，根据实验室的工作特点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和本人的工作实绩，按照国家和学校的有关规定执行。</w:t>
      </w:r>
    </w:p>
    <w:p>
      <w:pPr>
        <w:spacing w:before="23" w:line="190" w:lineRule="auto"/>
        <w:ind w:firstLine="335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9"/>
          <w:w w:val="101"/>
          <w:sz w:val="24"/>
          <w:szCs w:val="24"/>
        </w:rPr>
        <w:t xml:space="preserve">  </w:t>
      </w:r>
      <w:r>
        <w:rPr>
          <w:rFonts w:ascii="Microsoft JhengHei" w:hAnsi="Microsoft JhengHei" w:eastAsia="Microsoft JhengHei" w:cs="Microsoft JhengHei"/>
          <w:spacing w:val="-3"/>
          <w:sz w:val="24"/>
          <w:szCs w:val="24"/>
        </w:rPr>
        <w:t>安全与劳动保护</w:t>
      </w:r>
    </w:p>
    <w:p>
      <w:pPr>
        <w:spacing w:before="122"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各学院的实验室安全实行单位一把手负责制，学院应安排专门工</w:t>
      </w:r>
    </w:p>
    <w:p>
      <w:pPr>
        <w:sectPr>
          <w:footerReference r:id="rId192" w:type="default"/>
          <w:pgSz w:w="11905" w:h="16840"/>
          <w:pgMar w:top="1431" w:right="1585" w:bottom="1365" w:left="1590" w:header="0" w:footer="1241" w:gutter="0"/>
          <w:cols w:space="720" w:num="1"/>
        </w:sectPr>
      </w:pPr>
    </w:p>
    <w:p>
      <w:pPr>
        <w:spacing w:before="415" w:line="267"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作人员担任安全管理员，做好本单位实验室安全教育、登记检查和隐患排查。学院</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要认真做好实验室安全防护工作，加强对师生员工的安全教育和演练，切实保障师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生员工的安全和国家财产不受损失。</w:t>
      </w:r>
    </w:p>
    <w:p>
      <w:pPr>
        <w:spacing w:before="208" w:line="265"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1"/>
          <w:sz w:val="24"/>
          <w:szCs w:val="24"/>
        </w:rPr>
        <w:t>学校按国家有关规定加强对在高温、低温、辐射、病菌、噪声、毒</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性、激光、粉尘、超净等对人体有毒有害的环境中从事本科实验教学和管理的工作</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人员的劳动保护工作，专职实验和管理人员享受津贴和劳保待遇，实验教师享受津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贴。发放工作由实验室与设备管理中心负责。</w:t>
      </w:r>
    </w:p>
    <w:p>
      <w:pPr>
        <w:spacing w:before="208" w:line="295"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第三十一条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1"/>
          <w:sz w:val="24"/>
          <w:szCs w:val="24"/>
        </w:rPr>
        <w:t>要加强对易燃、易爆、医学标本、剧毒物品及放射性物品的管理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工作，要设专库存放危险品和剧毒品，指定专人负责，严格按照国家相关制度执行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危险剧毒物品的审批、登记、领用、使用及处置工作。实验室负责对初次进入本室</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工作的人员进行安全和保密教育。</w:t>
      </w:r>
    </w:p>
    <w:p>
      <w:pPr>
        <w:spacing w:before="24" w:line="190" w:lineRule="auto"/>
        <w:ind w:firstLine="377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22" w:line="260" w:lineRule="auto"/>
        <w:ind w:left="489" w:right="83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各学院应根据本规程结合实际制定切实可行的实施细则。</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3"/>
          <w:sz w:val="24"/>
          <w:szCs w:val="24"/>
        </w:rPr>
        <w:t>第三十三条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实验室工作人员实行坐班制。</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本规程自公布之日起执行，最终解释权归实验室与设备管理中心</w:t>
      </w:r>
    </w:p>
    <w:p>
      <w:pPr>
        <w:spacing w:before="114"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所有。</w:t>
      </w:r>
    </w:p>
    <w:p>
      <w:pPr>
        <w:sectPr>
          <w:footerReference r:id="rId193" w:type="default"/>
          <w:pgSz w:w="11905" w:h="16840"/>
          <w:pgMar w:top="1431" w:right="1585" w:bottom="1365" w:left="1590" w:header="0" w:footer="1241" w:gutter="0"/>
          <w:cols w:space="720" w:num="1"/>
        </w:sectPr>
      </w:pPr>
    </w:p>
    <w:p>
      <w:pPr>
        <w:spacing w:before="349" w:line="180" w:lineRule="auto"/>
        <w:ind w:firstLine="18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吉首大学教学科研仪器设备管理办法</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61"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82" w:lineRule="auto"/>
        <w:ind w:left="37" w:right="98"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学校的教学科研仪器设备是固定资产的一部分，为了加强仪器设备的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管理，根据国家有关规定，制定本办法。</w:t>
      </w:r>
    </w:p>
    <w:p>
      <w:pPr>
        <w:spacing w:before="9" w:line="260" w:lineRule="auto"/>
        <w:ind w:left="3326" w:right="214" w:hanging="280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不论经费来源，凡是用于教学和科研的仪器设备，均适用于本办法。</w:t>
      </w:r>
      <w:r>
        <w:rPr>
          <w:rFonts w:ascii="方正书宋简体" w:hAnsi="方正书宋简体" w:eastAsia="方正书宋简体" w:cs="方正书宋简体"/>
          <w:spacing w:val="1"/>
          <w:w w:val="101"/>
          <w:sz w:val="24"/>
          <w:szCs w:val="24"/>
        </w:rPr>
        <w:t xml:space="preserve"> </w:t>
      </w: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3"/>
          <w:sz w:val="24"/>
          <w:szCs w:val="24"/>
        </w:rPr>
        <w:t>计划与购置</w:t>
      </w:r>
    </w:p>
    <w:p>
      <w:pPr>
        <w:spacing w:before="1" w:line="204"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教学科研设备计划原则上应于上年度</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2"/>
          <w:sz w:val="24"/>
          <w:szCs w:val="24"/>
        </w:rPr>
        <w:t>11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月前报到实验室与设备管理中</w:t>
      </w:r>
    </w:p>
    <w:p>
      <w:pPr>
        <w:spacing w:before="108"/>
        <w:ind w:left="37" w:right="9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心，购买大型精密仪器设备的，必须在提交计划的同时报送《大型精密仪器设备请</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购论证报告》，凡不按要求申报的项目职能部门不予受理。</w:t>
      </w:r>
    </w:p>
    <w:p>
      <w:pPr>
        <w:spacing w:before="203" w:line="282" w:lineRule="auto"/>
        <w:ind w:left="34" w:right="9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实验室与设备管理中心依据各学院申报的项目组建项目库，根据学科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专业规划按轻重缓急遴选当年度的设备投入计划。</w:t>
      </w:r>
    </w:p>
    <w:p>
      <w:pPr>
        <w:spacing w:before="11"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第五条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4"/>
          <w:sz w:val="24"/>
          <w:szCs w:val="24"/>
        </w:rPr>
        <w:t>计划的制订、审批与执行程序：</w:t>
      </w:r>
    </w:p>
    <w:p>
      <w:pPr>
        <w:spacing w:before="124" w:line="314" w:lineRule="auto"/>
        <w:ind w:left="34" w:right="97"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1、学院组织项目计划的论证并报学院分管领导审查，</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院长签批后报实验室与设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备管理中心。</w:t>
      </w:r>
    </w:p>
    <w:p>
      <w:pPr>
        <w:spacing w:before="3" w:line="238" w:lineRule="auto"/>
        <w:ind w:left="36"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2、实验室与设备管理中心组织项目的综合论证、评审和初步审批工作，</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经主管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校长批准后报校务会批准实施。</w:t>
      </w:r>
    </w:p>
    <w:p>
      <w:pPr>
        <w:spacing w:before="219"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3、审批通过的项目填写《仪器设备采购项目管理表》并按相关程序审核。</w:t>
      </w:r>
    </w:p>
    <w:p>
      <w:pPr>
        <w:spacing w:before="195" w:line="180"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4、审核通过的项目按照学校招标、采购、验收、报账相关程序执行。</w:t>
      </w:r>
    </w:p>
    <w:p>
      <w:pPr>
        <w:spacing w:before="180" w:line="281" w:lineRule="auto"/>
        <w:ind w:left="52" w:right="98"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第六条    </w:t>
      </w:r>
      <w:r>
        <w:rPr>
          <w:rFonts w:ascii="方正书宋简体" w:hAnsi="方正书宋简体" w:eastAsia="方正书宋简体" w:cs="方正书宋简体"/>
          <w:spacing w:val="2"/>
          <w:sz w:val="24"/>
          <w:szCs w:val="24"/>
        </w:rPr>
        <w:t>设备计划项目批准后，原则上不得变动，如确有必要变动，应事先提</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出报告并说明理由，按第五条规定办理审批手续。</w:t>
      </w:r>
    </w:p>
    <w:p>
      <w:pPr>
        <w:spacing w:before="11" w:line="282" w:lineRule="auto"/>
        <w:ind w:left="34" w:right="5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第七条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4"/>
          <w:sz w:val="24"/>
          <w:szCs w:val="24"/>
        </w:rPr>
        <w:t>属于国家专项控制商品的设备，招标与采购中心在购置前向省</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4"/>
          <w:sz w:val="24"/>
          <w:szCs w:val="24"/>
        </w:rPr>
        <w:t>（市）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专控办申报，并领取准购证后方可购置。</w:t>
      </w:r>
    </w:p>
    <w:p>
      <w:pPr>
        <w:spacing w:before="10" w:line="281" w:lineRule="auto"/>
        <w:ind w:left="30" w:right="98"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仪器设备到货后，项目单位应及时安装、调试、试运行，并按程序申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请验收。</w:t>
      </w:r>
    </w:p>
    <w:p>
      <w:pPr>
        <w:spacing w:before="14" w:line="195" w:lineRule="auto"/>
        <w:ind w:firstLine="368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4"/>
          <w:sz w:val="24"/>
          <w:szCs w:val="24"/>
        </w:rPr>
        <w:t>管理</w:t>
      </w:r>
    </w:p>
    <w:p>
      <w:pPr>
        <w:spacing w:before="113"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7"/>
          <w:sz w:val="24"/>
          <w:szCs w:val="24"/>
        </w:rPr>
        <w:t>各学院应明确专职资产管理员对本学院的仪器设备进行管理，</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7"/>
          <w:sz w:val="24"/>
          <w:szCs w:val="24"/>
        </w:rPr>
        <w:t>如账务、</w:t>
      </w:r>
    </w:p>
    <w:p>
      <w:pPr>
        <w:spacing w:before="152" w:line="180" w:lineRule="auto"/>
        <w:ind w:firstLine="3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仪器设备学院内部调拨、报修、报废等。</w:t>
      </w:r>
    </w:p>
    <w:p>
      <w:pPr>
        <w:spacing w:before="180"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仪器设备的管理和使用，必须实行专管共享、责任到人的原则，制订</w:t>
      </w:r>
    </w:p>
    <w:p>
      <w:pPr>
        <w:sectPr>
          <w:footerReference r:id="rId194" w:type="default"/>
          <w:pgSz w:w="11905" w:h="16840"/>
          <w:pgMar w:top="1431" w:right="1490" w:bottom="1365" w:left="1557" w:header="0" w:footer="1241" w:gutter="0"/>
          <w:cols w:space="720" w:num="1"/>
        </w:sectPr>
      </w:pPr>
    </w:p>
    <w:p>
      <w:pPr>
        <w:spacing w:before="426" w:line="180"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操作规程、使用和保养制度，</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3"/>
          <w:sz w:val="24"/>
          <w:szCs w:val="24"/>
        </w:rPr>
        <w:t>并有专人负责技术安全工作，</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3"/>
          <w:sz w:val="24"/>
          <w:szCs w:val="24"/>
        </w:rPr>
        <w:t>认真填好仪器使用登记本。</w:t>
      </w:r>
    </w:p>
    <w:p>
      <w:pPr>
        <w:spacing w:before="179" w:line="282" w:lineRule="auto"/>
        <w:ind w:left="2" w:right="9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第十一条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4"/>
          <w:sz w:val="24"/>
          <w:szCs w:val="24"/>
        </w:rPr>
        <w:t>要加强仪器设备维修和保养工作，</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4"/>
          <w:sz w:val="24"/>
          <w:szCs w:val="24"/>
        </w:rPr>
        <w:t>对所有仪器设备的完好程度、使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用效益进行检查，不断提高完好率和利用率。</w:t>
      </w:r>
    </w:p>
    <w:p>
      <w:pPr>
        <w:spacing w:before="9" w:line="233" w:lineRule="auto"/>
        <w:ind w:left="10" w:right="92" w:firstLine="47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各实验室应做好仪器设备的档案管理工作，包括设备验收单、说明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书、购置论证报告、安装调试记录、维修记录、运行记录等材料。</w:t>
      </w:r>
    </w:p>
    <w:p>
      <w:pPr>
        <w:spacing w:before="167" w:line="290" w:lineRule="auto"/>
        <w:ind w:right="8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仪器设备如发生损坏或丢失事故时，资产管理员或使用人应及时写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好“仪器设备器材损坏或丢失事故报告”，由学院的专职人员报送实验室与设备管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理中心，事故处理后须将有关情况记入技术档案备查。</w:t>
      </w:r>
    </w:p>
    <w:p>
      <w:pPr>
        <w:spacing w:before="20" w:line="282" w:lineRule="auto"/>
        <w:ind w:left="4" w:right="92"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教学科研设备的调拨，由学院实验室申请，经实验室与设备管理中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心批准，由资产处进行相应的账目调整。</w:t>
      </w:r>
    </w:p>
    <w:p>
      <w:pPr>
        <w:spacing w:before="10"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第十五条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仪器设备凡符合下列条件之一者，可申请报废：</w:t>
      </w:r>
    </w:p>
    <w:p>
      <w:pPr>
        <w:spacing w:before="12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1、因技术落后，按国家有关政策应予淘汰的设备。</w:t>
      </w:r>
    </w:p>
    <w:p>
      <w:pPr>
        <w:spacing w:before="195" w:line="315" w:lineRule="auto"/>
        <w:ind w:right="91"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2、因使用年限已满，</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主要结构和零部件严重老化或磨损，</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性能已不能达到教学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科研最低要求，无法修复或无修复价值者。</w:t>
      </w:r>
    </w:p>
    <w:p>
      <w:pPr>
        <w:spacing w:before="1"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3、因意外灾害或重大事故，严重损坏不能修复或无修复价值者。</w:t>
      </w:r>
    </w:p>
    <w:p>
      <w:pPr>
        <w:spacing w:before="158"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4、修理费用过高，超过原值</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60％以上的设备。</w:t>
      </w:r>
    </w:p>
    <w:p>
      <w:pPr>
        <w:spacing w:before="189" w:line="303" w:lineRule="auto"/>
        <w:ind w:left="4" w:right="9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5、继续使用易发生危险的、耗能高、效益低、严重污染环境的，</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按国家有关政</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策应予淘汰的设备。</w:t>
      </w:r>
    </w:p>
    <w:p>
      <w:pPr>
        <w:spacing w:before="27" w:line="18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第十六条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报废工作程序如下：</w:t>
      </w:r>
    </w:p>
    <w:p>
      <w:pPr>
        <w:spacing w:before="138" w:line="253" w:lineRule="auto"/>
        <w:ind w:right="91"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1、报废申请单位专职人员提出报废申请报告，</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填写《吉首大学仪器设备报废审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批单》，并附报废仪器设备明细表；</w:t>
      </w:r>
    </w:p>
    <w:p>
      <w:pPr>
        <w:spacing w:before="17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2、报废申请单位组织学院专家进行论证，院长审查并签署意见；</w:t>
      </w:r>
    </w:p>
    <w:p>
      <w:pPr>
        <w:spacing w:before="174"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3、实验室与设备管理中心组织有关专家审议，并提出报废意见；</w:t>
      </w:r>
    </w:p>
    <w:p>
      <w:pPr>
        <w:spacing w:before="178" w:line="253" w:lineRule="auto"/>
        <w:ind w:left="4" w:right="91"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4、资产管理处组织学校专家进行论证并签署技术鉴定报告和意见，</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并报学校主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管校长、学校报废领导小组审批；</w:t>
      </w:r>
    </w:p>
    <w:p>
      <w:pPr>
        <w:spacing w:before="181"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5、审批后到资产管理处办理销卡、销账手续。</w:t>
      </w:r>
    </w:p>
    <w:p>
      <w:pPr>
        <w:spacing w:before="17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第十七条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报废审批权限如下：</w:t>
      </w:r>
    </w:p>
    <w:p>
      <w:pPr>
        <w:spacing w:before="150"/>
        <w:ind w:left="4" w:right="92"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总价在千元以下的一般仪器设备由职能部门审批，总价在千元以上的由主管处</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长审批，总价在万元以上的由主管校长、学校报废领导小组审批。</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已批准报废的仪器设备由资产处统一回收处理，其它部门不得擅自</w:t>
      </w:r>
    </w:p>
    <w:p>
      <w:pPr>
        <w:sectPr>
          <w:footerReference r:id="rId195" w:type="default"/>
          <w:pgSz w:w="11905" w:h="16840"/>
          <w:pgMar w:top="1431" w:right="1496" w:bottom="1365" w:left="1590" w:header="0" w:footer="1241" w:gutter="0"/>
          <w:cols w:space="720" w:num="1"/>
        </w:sectPr>
      </w:pPr>
    </w:p>
    <w:p>
      <w:pPr>
        <w:spacing w:before="433"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处理。</w:t>
      </w:r>
    </w:p>
    <w:p>
      <w:pPr>
        <w:spacing w:before="174" w:line="260" w:lineRule="auto"/>
        <w:ind w:left="3415" w:hanging="2924"/>
        <w:rPr>
          <w:rFonts w:ascii="Microsoft JhengHei" w:hAnsi="Microsoft JhengHei" w:eastAsia="Microsoft JhengHei" w:cs="Microsoft JhengHei"/>
          <w:sz w:val="24"/>
          <w:szCs w:val="24"/>
        </w:rPr>
      </w:pPr>
      <w:r>
        <w:rPr>
          <w:rFonts w:ascii="Microsoft JhengHei" w:hAnsi="Microsoft JhengHei" w:eastAsia="Microsoft JhengHei" w:cs="Microsoft JhengHei"/>
          <w:spacing w:val="-18"/>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8"/>
          <w:sz w:val="24"/>
          <w:szCs w:val="24"/>
        </w:rPr>
        <w:t>报废仪器设备收回的残值，</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8"/>
          <w:sz w:val="24"/>
          <w:szCs w:val="24"/>
        </w:rPr>
        <w:t>应根据有关规定，</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8"/>
          <w:sz w:val="24"/>
          <w:szCs w:val="24"/>
        </w:rPr>
        <w:t>纳入学校年度设备经费。</w:t>
      </w:r>
      <w:r>
        <w:rPr>
          <w:rFonts w:ascii="方正书宋简体" w:hAnsi="方正书宋简体" w:eastAsia="方正书宋简体" w:cs="方正书宋简体"/>
          <w:sz w:val="24"/>
          <w:szCs w:val="24"/>
        </w:rPr>
        <w:t xml:space="preserve"> </w:t>
      </w: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账务处理</w:t>
      </w:r>
    </w:p>
    <w:p>
      <w:pPr>
        <w:spacing w:line="204"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学校仪器设备的账目设置应按适当集中掌握、分级负责管理的原则，</w:t>
      </w:r>
    </w:p>
    <w:p>
      <w:pPr>
        <w:spacing w:before="109"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做到口径一致，以便查对和分析研究。各部门设账目要求如下：</w:t>
      </w:r>
    </w:p>
    <w:p>
      <w:pPr>
        <w:spacing w:before="196"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1、财务处按会计制度规定设置有关账目。</w:t>
      </w:r>
    </w:p>
    <w:p>
      <w:pPr>
        <w:spacing w:before="190"/>
        <w:ind w:left="1" w:right="10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2、资产管理处建立全校教学科研仪器设备总账、分户分类明细账和设备卡片，</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4"/>
          <w:sz w:val="24"/>
          <w:szCs w:val="24"/>
        </w:rPr>
        <w:t>并实现信息化管理。</w:t>
      </w:r>
    </w:p>
    <w:p>
      <w:pPr>
        <w:spacing w:before="215"/>
        <w:ind w:left="7"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3、各学院实验室应建立各自的总账，</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分类明细账及设备卡片，</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有专人负责并实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现信息化管理。</w:t>
      </w:r>
    </w:p>
    <w:p>
      <w:pPr>
        <w:spacing w:line="149" w:lineRule="exact"/>
      </w:pPr>
    </w:p>
    <w:p>
      <w:pPr>
        <w:sectPr>
          <w:footerReference r:id="rId196" w:type="default"/>
          <w:pgSz w:w="11905" w:h="16840"/>
          <w:pgMar w:top="1431" w:right="1491" w:bottom="1365" w:left="1588" w:header="0" w:footer="1241" w:gutter="0"/>
          <w:cols w:equalWidth="0" w:num="1">
            <w:col w:w="8825"/>
          </w:cols>
        </w:sectPr>
      </w:pPr>
    </w:p>
    <w:p>
      <w:pPr>
        <w:spacing w:before="55" w:line="281" w:lineRule="auto"/>
        <w:ind w:left="4" w:right="7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5"/>
          <w:sz w:val="24"/>
          <w:szCs w:val="24"/>
        </w:rPr>
        <w:t>仪器设备账目。</w:t>
      </w:r>
    </w:p>
    <w:p>
      <w:pPr>
        <w:spacing w:before="12" w:line="270" w:lineRule="exact"/>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position w:val="-1"/>
          <w:sz w:val="24"/>
          <w:szCs w:val="24"/>
        </w:rPr>
        <w:t>第二十二条</w:t>
      </w:r>
    </w:p>
    <w:p>
      <w:pPr>
        <w:spacing w:line="14" w:lineRule="auto"/>
        <w:rPr>
          <w:rFonts w:ascii="Malgun Gothic"/>
          <w:sz w:val="2"/>
        </w:rPr>
      </w:pPr>
      <w:r>
        <w:rPr>
          <w:rFonts w:ascii="Malgun Gothic" w:hAnsi="Malgun Gothic" w:eastAsia="Malgun Gothic" w:cs="Malgun Gothic"/>
          <w:sz w:val="2"/>
          <w:szCs w:val="2"/>
        </w:rPr>
        <w:br w:type="column"/>
      </w:r>
    </w:p>
    <w:p>
      <w:pPr>
        <w:spacing w:before="64" w:line="180" w:lineRule="auto"/>
        <w:ind w:firstLine="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各学院实验室一律依据资产管理处开出的入库验收单，建立各类</w:t>
      </w:r>
    </w:p>
    <w:p>
      <w:pPr>
        <w:spacing w:line="368" w:lineRule="auto"/>
        <w:rPr>
          <w:rFonts w:ascii="Malgun Gothic"/>
          <w:sz w:val="21"/>
        </w:rPr>
      </w:pPr>
    </w:p>
    <w:p>
      <w:pPr>
        <w:spacing w:before="86" w:line="180" w:lineRule="auto"/>
        <w:ind w:firstLine="7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新购的仪器设备，在调试、安装、验收合格后，资产管理处应对</w:t>
      </w:r>
    </w:p>
    <w:p>
      <w:pPr>
        <w:sectPr>
          <w:type w:val="continuous"/>
          <w:pgSz w:w="11905" w:h="16840"/>
          <w:pgMar w:top="1431" w:right="1491" w:bottom="1365" w:left="1588" w:header="0" w:footer="1241" w:gutter="0"/>
          <w:cols w:equalWidth="0" w:num="2">
            <w:col w:w="1764" w:space="100"/>
            <w:col w:w="6961"/>
          </w:cols>
        </w:sectPr>
      </w:pPr>
    </w:p>
    <w:p>
      <w:pPr>
        <w:spacing w:before="192" w:line="239" w:lineRule="auto"/>
        <w:ind w:left="4" w:right="94" w:hanging="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设备进行统一编号、贴固定资产标签，同时详细填写学校统一印制的“吉首大学仪</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4"/>
          <w:sz w:val="24"/>
          <w:szCs w:val="24"/>
        </w:rPr>
        <w:t>器设备验收单”。</w:t>
      </w:r>
    </w:p>
    <w:p>
      <w:pPr>
        <w:spacing w:before="207" w:line="281" w:lineRule="auto"/>
        <w:ind w:left="6" w:right="9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由校外调入或馈赠的教学科研设备，均是学校财产，必须经资产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管理处统一验收、编号、贴标签、登记，使用单位做好建账、建卡。</w:t>
      </w:r>
    </w:p>
    <w:p>
      <w:pPr>
        <w:spacing w:before="12" w:line="282" w:lineRule="auto"/>
        <w:ind w:left="12" w:right="104" w:firstLine="47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1"/>
          <w:sz w:val="24"/>
          <w:szCs w:val="24"/>
        </w:rPr>
        <w:t xml:space="preserve">仪器设备的账、卡及凭证单据必须妥善保管，不得任意涂改，账 </w:t>
      </w:r>
      <w:r>
        <w:rPr>
          <w:rFonts w:ascii="方正书宋简体" w:hAnsi="方正书宋简体" w:eastAsia="方正书宋简体" w:cs="方正书宋简体"/>
          <w:spacing w:val="-2"/>
          <w:sz w:val="24"/>
          <w:szCs w:val="24"/>
        </w:rPr>
        <w:t>和单据的销毁应按有关财务规定，办理批准手续。</w:t>
      </w:r>
    </w:p>
    <w:p>
      <w:pPr>
        <w:spacing w:before="11" w:line="250" w:lineRule="auto"/>
        <w:ind w:left="1" w:right="1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各学院资产管理专职人员在接收和开始使用仪器设备固定资产账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本时，</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5"/>
          <w:sz w:val="24"/>
          <w:szCs w:val="24"/>
        </w:rPr>
        <w:t>要在启用页上签字，</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5"/>
          <w:sz w:val="24"/>
          <w:szCs w:val="24"/>
        </w:rPr>
        <w:t>注明开始日期，</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账、卡及凭证单据交接必须清楚、严格，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要由双方的经手人和监交人签章，并注明交接日期。</w:t>
      </w:r>
    </w:p>
    <w:p>
      <w:pPr>
        <w:spacing w:before="203" w:line="282" w:lineRule="auto"/>
        <w:ind w:left="4" w:right="9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各学院实验室每年底必须全面清查账、卡、物一次，并与资产管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理处对账，做到账账、账卡、账物相符。</w:t>
      </w:r>
    </w:p>
    <w:p>
      <w:pPr>
        <w:spacing w:before="10" w:line="197"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第五章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11" w:line="281" w:lineRule="auto"/>
        <w:ind w:left="3"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第二十七条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大型精密仪器设备按照《吉首大学大型精密仪器设备管理办法》</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有关规定执行。</w:t>
      </w:r>
    </w:p>
    <w:p>
      <w:pPr>
        <w:spacing w:before="12"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第二十八条    </w:t>
      </w:r>
      <w:r>
        <w:rPr>
          <w:rFonts w:ascii="方正书宋简体" w:hAnsi="方正书宋简体" w:eastAsia="方正书宋简体" w:cs="方正书宋简体"/>
          <w:spacing w:val="2"/>
          <w:sz w:val="24"/>
          <w:szCs w:val="24"/>
        </w:rPr>
        <w:t>本管理办法自发文之日起执行，解释权归实验室与设备管理中心</w:t>
      </w:r>
    </w:p>
    <w:p>
      <w:pPr>
        <w:spacing w:before="123" w:line="239" w:lineRule="auto"/>
        <w:ind w:left="2" w:right="9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所有，如与以前文件有不一致的地方，以此办法为准，各学院实验室可据此办法结</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合自己的具体情况，制订更具体的管理措施。</w:t>
      </w:r>
    </w:p>
    <w:p>
      <w:pPr>
        <w:sectPr>
          <w:type w:val="continuous"/>
          <w:pgSz w:w="11905" w:h="16840"/>
          <w:pgMar w:top="1431" w:right="1491" w:bottom="1365" w:left="1588" w:header="0" w:footer="1241" w:gutter="0"/>
          <w:cols w:equalWidth="0" w:num="1">
            <w:col w:w="8825"/>
          </w:cols>
        </w:sectPr>
      </w:pPr>
    </w:p>
    <w:p>
      <w:pPr>
        <w:spacing w:before="349" w:line="180" w:lineRule="auto"/>
        <w:ind w:firstLine="243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吉首大学实验室安全管理办法</w:t>
      </w:r>
    </w:p>
    <w:p>
      <w:pPr>
        <w:spacing w:before="110" w:line="184" w:lineRule="auto"/>
        <w:ind w:firstLine="3334"/>
        <w:rPr>
          <w:rFonts w:ascii="楷体" w:hAnsi="楷体" w:eastAsia="楷体" w:cs="楷体"/>
          <w:sz w:val="24"/>
          <w:szCs w:val="24"/>
        </w:rPr>
      </w:pPr>
      <w:r>
        <w:rPr>
          <w:rFonts w:ascii="楷体" w:hAnsi="楷体" w:eastAsia="楷体" w:cs="楷体"/>
          <w:spacing w:val="-5"/>
          <w:sz w:val="24"/>
          <w:szCs w:val="24"/>
        </w:rPr>
        <w:t>（2016</w:t>
      </w:r>
      <w:r>
        <w:rPr>
          <w:rFonts w:ascii="楷体" w:hAnsi="楷体" w:eastAsia="楷体" w:cs="楷体"/>
          <w:spacing w:val="-47"/>
          <w:sz w:val="24"/>
          <w:szCs w:val="24"/>
        </w:rPr>
        <w:t xml:space="preserve"> </w:t>
      </w:r>
      <w:r>
        <w:rPr>
          <w:rFonts w:ascii="楷体" w:hAnsi="楷体" w:eastAsia="楷体" w:cs="楷体"/>
          <w:spacing w:val="-5"/>
          <w:sz w:val="24"/>
          <w:szCs w:val="24"/>
        </w:rPr>
        <w:t>年</w:t>
      </w:r>
      <w:r>
        <w:rPr>
          <w:rFonts w:ascii="楷体" w:hAnsi="楷体" w:eastAsia="楷体" w:cs="楷体"/>
          <w:spacing w:val="-35"/>
          <w:sz w:val="24"/>
          <w:szCs w:val="24"/>
        </w:rPr>
        <w:t xml:space="preserve"> </w:t>
      </w:r>
      <w:r>
        <w:rPr>
          <w:rFonts w:ascii="楷体" w:hAnsi="楷体" w:eastAsia="楷体" w:cs="楷体"/>
          <w:spacing w:val="-5"/>
          <w:sz w:val="24"/>
          <w:szCs w:val="24"/>
        </w:rPr>
        <w:t>1</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61" w:lineRule="auto"/>
        <w:rPr>
          <w:rFonts w:ascii="Malgun Gothic"/>
          <w:sz w:val="21"/>
        </w:rPr>
      </w:pPr>
    </w:p>
    <w:p>
      <w:pPr>
        <w:spacing w:before="104" w:line="180" w:lineRule="auto"/>
        <w:ind w:firstLine="379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第一章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5"/>
          <w:sz w:val="24"/>
          <w:szCs w:val="24"/>
        </w:rPr>
        <w:t>总则</w:t>
      </w:r>
    </w:p>
    <w:p>
      <w:pPr>
        <w:tabs>
          <w:tab w:val="left" w:pos="146"/>
        </w:tabs>
        <w:spacing w:before="141" w:line="286"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实验室是学校实验教学、科学研究及社会服务的重要基地，实验室安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全是保证实验室正常运行的基石。为了加强实验室安全管理，</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3"/>
          <w:sz w:val="24"/>
          <w:szCs w:val="24"/>
        </w:rPr>
        <w:t>消除实验室安全隐患，</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杜绝安全事故发生，确保教学科研工作的正常进行，根据《高等学校实验室工作规</w:t>
      </w:r>
      <w:r>
        <w:rPr>
          <w:rFonts w:ascii="方正书宋简体" w:hAnsi="方正书宋简体" w:eastAsia="方正书宋简体" w:cs="方正书宋简体"/>
          <w:spacing w:val="4"/>
          <w:w w:val="102"/>
          <w:sz w:val="24"/>
          <w:szCs w:val="24"/>
        </w:rPr>
        <w:t xml:space="preserve">   </w:t>
      </w:r>
      <w:r>
        <w:rPr>
          <w:rFonts w:ascii="方正书宋简体" w:hAnsi="方正书宋简体" w:eastAsia="方正书宋简体" w:cs="方正书宋简体"/>
          <w:spacing w:val="-13"/>
          <w:sz w:val="24"/>
          <w:szCs w:val="24"/>
        </w:rPr>
        <w:t>程》（原国家教委令第</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3"/>
          <w:sz w:val="24"/>
          <w:szCs w:val="24"/>
        </w:rPr>
        <w:t>20</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3"/>
          <w:sz w:val="24"/>
          <w:szCs w:val="24"/>
        </w:rPr>
        <w:t>号）、</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13"/>
          <w:sz w:val="24"/>
          <w:szCs w:val="24"/>
        </w:rPr>
        <w:t>《高等学校消防安全管理规定》（教育部、公安部令第</w:t>
      </w:r>
      <w:r>
        <w:rPr>
          <w:rFonts w:ascii="方正书宋简体" w:hAnsi="方正书宋简体" w:eastAsia="方正书宋简体" w:cs="方正书宋简体"/>
          <w:sz w:val="24"/>
          <w:szCs w:val="24"/>
        </w:rPr>
        <w:t xml:space="preserve">   </w:t>
      </w:r>
      <w:r>
        <w:rPr>
          <w:rFonts w:ascii="Malgun Gothic" w:hAnsi="Malgun Gothic" w:eastAsia="Malgun Gothic" w:cs="Malgun Gothic"/>
          <w:sz w:val="21"/>
          <w:szCs w:val="21"/>
        </w:rPr>
        <w:tab/>
      </w:r>
      <w:r>
        <w:rPr>
          <w:rFonts w:ascii="方正书宋简体" w:hAnsi="方正书宋简体" w:eastAsia="方正书宋简体" w:cs="方正书宋简体"/>
          <w:spacing w:val="-11"/>
          <w:w w:val="95"/>
          <w:sz w:val="24"/>
          <w:szCs w:val="24"/>
        </w:rPr>
        <w:t>28</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1"/>
          <w:w w:val="95"/>
          <w:sz w:val="24"/>
          <w:szCs w:val="24"/>
        </w:rPr>
        <w:t>号）、</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1"/>
          <w:w w:val="95"/>
          <w:sz w:val="24"/>
          <w:szCs w:val="24"/>
        </w:rPr>
        <w:t>《危险化学品安全管理条例》（国务院令第</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5"/>
          <w:sz w:val="24"/>
          <w:szCs w:val="24"/>
        </w:rPr>
        <w:t>591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5"/>
          <w:sz w:val="24"/>
          <w:szCs w:val="24"/>
        </w:rPr>
        <w:t>号）</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5"/>
          <w:sz w:val="24"/>
          <w:szCs w:val="24"/>
        </w:rPr>
        <w:t>等有关法规和规章，</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w w:val="95"/>
          <w:sz w:val="24"/>
          <w:szCs w:val="24"/>
        </w:rPr>
        <w:t>以及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《吉首大学党政领导干部维稳安全工作“一岗双责”暂行规定》（吉大党办发〔2015〕</w:t>
      </w:r>
      <w:r>
        <w:rPr>
          <w:rFonts w:ascii="方正书宋简体" w:hAnsi="方正书宋简体" w:eastAsia="方正书宋简体" w:cs="方正书宋简体"/>
          <w:spacing w:val="35"/>
          <w:w w:val="101"/>
          <w:sz w:val="24"/>
          <w:szCs w:val="24"/>
        </w:rPr>
        <w:t xml:space="preserve"> </w:t>
      </w:r>
      <w:r>
        <w:rPr>
          <w:rFonts w:ascii="Malgun Gothic" w:hAnsi="Malgun Gothic" w:eastAsia="Malgun Gothic" w:cs="Malgun Gothic"/>
          <w:sz w:val="21"/>
          <w:szCs w:val="21"/>
        </w:rPr>
        <w:tab/>
      </w:r>
      <w:r>
        <w:rPr>
          <w:rFonts w:ascii="方正书宋简体" w:hAnsi="方正书宋简体" w:eastAsia="方正书宋简体" w:cs="方正书宋简体"/>
          <w:spacing w:val="-2"/>
          <w:sz w:val="24"/>
          <w:szCs w:val="24"/>
        </w:rPr>
        <w:t>22</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号）等文件精神，结合学校实际，特制定本办法。</w:t>
      </w:r>
    </w:p>
    <w:p>
      <w:pPr>
        <w:spacing w:before="206" w:line="265" w:lineRule="auto"/>
        <w:ind w:left="143" w:right="11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第二条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5"/>
          <w:sz w:val="24"/>
          <w:szCs w:val="24"/>
        </w:rPr>
        <w:t>本办法中的“实验室”是指全校各二级单位负责管理的各级各类开展教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学、科研和服务的实验实训场所（主要包括实验室、研究室、所、中心、基地等）。</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6"/>
          <w:sz w:val="24"/>
          <w:szCs w:val="24"/>
        </w:rPr>
        <w:t>实验室安全工作是校园综合治理和平安校园建设的重要组成部分，保证实验室安全，</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5"/>
          <w:sz w:val="24"/>
          <w:szCs w:val="24"/>
        </w:rPr>
        <w:t>创建良好的实验室工作环境是各二级单位领导以及广大师生员工的共同责任和义务。</w:t>
      </w:r>
    </w:p>
    <w:p>
      <w:pPr>
        <w:spacing w:before="203" w:line="295" w:lineRule="auto"/>
        <w:ind w:left="148" w:right="123"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实验室安全管理贯彻“以人为本、安全第一、预防为主”的方针，按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照“党政同责、一岗双责、失职追责”的要求，坚持“谁主管谁负责，谁使用谁负</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责”的原则，实行“统一领导、分级管理、各负其责”的管理体制。</w:t>
      </w:r>
    </w:p>
    <w:p>
      <w:pPr>
        <w:spacing w:before="1" w:line="201" w:lineRule="auto"/>
        <w:ind w:firstLine="25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2"/>
          <w:sz w:val="24"/>
          <w:szCs w:val="24"/>
        </w:rPr>
        <w:t>实验室安全管</w:t>
      </w:r>
      <w:r>
        <w:rPr>
          <w:rFonts w:ascii="Microsoft JhengHei" w:hAnsi="Microsoft JhengHei" w:eastAsia="Microsoft JhengHei" w:cs="Microsoft JhengHei"/>
          <w:spacing w:val="-2"/>
          <w:sz w:val="24"/>
          <w:szCs w:val="24"/>
          <w14:textOutline w14:w="3048" w14:cap="flat" w14:cmpd="sng">
            <w14:solidFill>
              <w14:srgbClr w14:val="000000"/>
            </w14:solidFill>
            <w14:prstDash w14:val="solid"/>
            <w14:miter w14:val="1"/>
          </w14:textOutline>
        </w:rPr>
        <w:t>理机构及职责</w:t>
      </w:r>
    </w:p>
    <w:p>
      <w:pPr>
        <w:spacing w:before="101"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第四条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6"/>
          <w:sz w:val="24"/>
          <w:szCs w:val="24"/>
        </w:rPr>
        <w:t>实验室安全工作实行校、院（部门）、实验室三级管理。</w:t>
      </w:r>
    </w:p>
    <w:p>
      <w:pPr>
        <w:spacing w:before="139"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学校成立实验室安全管理领导小组和工作小组。领导小组组长由校长</w:t>
      </w:r>
    </w:p>
    <w:p>
      <w:pPr>
        <w:spacing w:before="150" w:line="318" w:lineRule="auto"/>
        <w:ind w:left="142" w:right="121"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担任，副组长由相关分管校领导担任，成员包括实验室与设备管理中心、保卫处、</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科技处、社科处、后勤管理处、学工部等职能部门负责人，领导小组办公室设在实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验室与设备管理中心，中心主任担任办公室主任。领导小组负责全校各类实验室安</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全的检查、督促和管理，制定相关规章制度，</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协调解决有关重大问题，督促各二级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单位认真履行职责。工作小组组长由分管教学工作的校领导担任，副组长由分管安</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全保卫和科研工作的校领导担任，成员为各相关二级单位党政一把手。工作小组在</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领导小组的领导下，开展学校实验室安全管理的具体工作。实验室与设备管理中心</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负责协调全校实验室安全管理的日常工作及负责教学实验室安全管理；保卫处负责</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实验室消防设施配备、协助实验室与设备管理中心开展安全管理工作；科技处、社</w:t>
      </w:r>
    </w:p>
    <w:p>
      <w:pPr>
        <w:sectPr>
          <w:footerReference r:id="rId197" w:type="default"/>
          <w:pgSz w:w="11905" w:h="16840"/>
          <w:pgMar w:top="1431" w:right="1464" w:bottom="1365" w:left="1447" w:header="0" w:footer="1241" w:gutter="0"/>
          <w:cols w:space="720" w:num="1"/>
        </w:sectPr>
      </w:pPr>
    </w:p>
    <w:p>
      <w:pPr>
        <w:spacing w:before="418" w:line="312"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科处负责重点实验室、协同创新、工程中心等科研平台实验室安全管理工作；基建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办负责实验室建设安全论证，消防设施设计工作；资产处负责实验用房的安全性论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证；后勤管理处负责实验室用水用电设施的正常运行及改造过程的安全管理；教务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处负责大学生创新中心、实践基地、校企合作基地的安全管理；</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学工部负责强化本、</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专科学生实验室安全意识的宣传及日常管理；</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研究生处负责各类研究生的实验室安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全知识宣传和管理工作；人事处负责新进实验教师、外聘人员及博士进站人员的实</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验室安全知识宣传和管理工作。</w:t>
      </w:r>
    </w:p>
    <w:p>
      <w:pPr>
        <w:spacing w:before="31" w:line="280" w:lineRule="auto"/>
        <w:ind w:right="9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各二级单位的党政一把手是所在单位实验室安全的第一责任人，全面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领导和负责本单位实验室安全管理工作。其职责为：组织成立本单位实验室安全工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作领导小组，落实实验室安全分管领导，明确各级各类实验室负责人；建立实验室</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安全责任体系；制定本单位的实验室安全工作计划并组织实施；定期、不定期组织</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实验室安全检查；组织本单位实验室安全教育培训；组织落实实验室准入制度。</w:t>
      </w:r>
    </w:p>
    <w:p>
      <w:pPr>
        <w:spacing w:before="167" w:line="280" w:lineRule="auto"/>
        <w:ind w:left="2" w:right="9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第七条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各二级单位的各级各类实验室负责人是本室安全管理的直接责任人，</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全面负责该室的实验室安全管理工作。其职责为：负责本室安全责任体系的建立和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规章制度（包括操作规程、应急预案、实验室准入制度、值班制度等）的建设，组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织、督促相关人员做好实验室安全工作；定期、不定期开展检查，并组织落实安全</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
          <w:sz w:val="24"/>
          <w:szCs w:val="24"/>
        </w:rPr>
        <w:t>隐患整改；根据上级管理部门的有关通知，做好安全信息的汇总、上报等工作。</w:t>
      </w:r>
    </w:p>
    <w:p>
      <w:pPr>
        <w:spacing w:before="165" w:line="250" w:lineRule="auto"/>
        <w:ind w:left="5" w:right="96"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学校逐级落实安全管理责任。学校与各二级单位签订实验室安全管理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责任书，各二级单位与实验室或课题负责人签订实验室安全管理责任书，实验室负</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责人与到本单位实验室开展教学科研的所有人员签订实验室安全管理责任书。</w:t>
      </w:r>
    </w:p>
    <w:p>
      <w:pPr>
        <w:spacing w:before="205" w:line="180" w:lineRule="auto"/>
        <w:ind w:firstLine="281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实验室技术安全管理</w:t>
      </w:r>
    </w:p>
    <w:p>
      <w:pPr>
        <w:spacing w:before="141" w:line="265" w:lineRule="auto"/>
        <w:ind w:right="1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各级各类实验室应根据具体情况，制定相应的技术安全管理制度，包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括各类实验安全操作规程、人员岗位职责、紧急安全事故应急预案、安全责任书等，</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2"/>
          <w:sz w:val="24"/>
          <w:szCs w:val="24"/>
        </w:rPr>
        <w:t>经各二级单位审核确认后报实验室与设备管理中心备案。相关的安全管理制度、操</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作规程和该房的责任领导和责任人等均应张贴在实验室的醒目位置。</w:t>
      </w:r>
    </w:p>
    <w:p>
      <w:pPr>
        <w:spacing w:before="205" w:line="250" w:lineRule="auto"/>
        <w:ind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实行实验室准入制度。对进入实验室的师生应建立出入许可制度，无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关人员一律不得入内。所有进入实验室工作和学习的师生必须经过各二级单位组织</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的实验室安全知识的学习和考核，考核合格后方可进入实验室。</w:t>
      </w:r>
    </w:p>
    <w:p>
      <w:pPr>
        <w:spacing w:before="204" w:line="282" w:lineRule="auto"/>
        <w:ind w:left="2" w:right="9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在实验室工作、学习的所有人员均对实验室和自身安全负有责任，</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必须遵循实验室各项安全管理制度，严格按照实验安全操作规程或实验指导书开展</w:t>
      </w:r>
    </w:p>
    <w:p>
      <w:pPr>
        <w:sectPr>
          <w:footerReference r:id="rId198" w:type="default"/>
          <w:pgSz w:w="11905" w:h="16840"/>
          <w:pgMar w:top="1431" w:right="1489" w:bottom="1365" w:left="1590" w:header="0" w:footer="1241" w:gutter="0"/>
          <w:cols w:space="720" w:num="1"/>
        </w:sectPr>
      </w:pPr>
    </w:p>
    <w:p>
      <w:pPr>
        <w:spacing w:before="414" w:line="243" w:lineRule="auto"/>
        <w:ind w:left="3" w:right="96"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实验，配合各级安全责任人和管理人做好实验室安全工作，排除安全隐患，杜绝安</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5"/>
          <w:sz w:val="24"/>
          <w:szCs w:val="24"/>
        </w:rPr>
        <w:t>全事故的发生。</w:t>
      </w:r>
    </w:p>
    <w:p>
      <w:pPr>
        <w:spacing w:before="207" w:line="294"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危险化学品、药品安全管理。各二级单位要严格按照国家法律法规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以及学校的相关规定，加强对所有涉及危险化学品、药品的教学、科研和实验场所</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及其活动环节的安全监督与管理，</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6"/>
          <w:sz w:val="24"/>
          <w:szCs w:val="24"/>
        </w:rPr>
        <w:t>杜绝安全隐患。危险化学品、药品的购置、使用、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储存等由各实验室负责，应安排专人管理，分类存放，建立出入库使用登记。</w:t>
      </w:r>
    </w:p>
    <w:p>
      <w:pPr>
        <w:spacing w:before="33" w:line="275" w:lineRule="auto"/>
        <w:ind w:left="4"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3"/>
          <w:sz w:val="24"/>
          <w:szCs w:val="24"/>
        </w:rPr>
        <w:t>剧毒（易制毒）化学品安全管理。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3"/>
          <w:sz w:val="24"/>
          <w:szCs w:val="24"/>
        </w:rPr>
        <w:t>剧毒（易制毒）化学品的购置应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向学校实验室与设备管理中心申请，由实验室与设备管理中心审批，保卫处备案后</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9"/>
          <w:sz w:val="24"/>
          <w:szCs w:val="24"/>
        </w:rPr>
        <w:t>向所在地的公安机关申领《剧毒化学品购买凭证》，</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9"/>
          <w:sz w:val="24"/>
          <w:szCs w:val="24"/>
        </w:rPr>
        <w:t>批准后方可购置。在使用剧毒化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学品时，要严格按照国家“五双”制度要求使用、保管和处理，做好安全防范措施</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和详细记录，并接受学校和上级行政主管部门的监督检查。</w:t>
      </w:r>
    </w:p>
    <w:p>
      <w:pPr>
        <w:spacing w:before="204" w:line="275" w:lineRule="auto"/>
        <w:ind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压力容器安全管理。实验室使用的压力容器严格按照国家有关规定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购置、使用，落实安全责任人，要有防止倾倒的措施，避免碰撞、烘烤和暴晒。要</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严格按照气体性质正确摆放和操作，定期对容器进行安全检查。容器充装单位全面</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负责所提供容器的安全，定期检验。相关单位督促使用人员要严格检查容器检验时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间、使用寿命、压力，并向容器提供单位提出安全要求，明确安全责任。</w:t>
      </w:r>
    </w:p>
    <w:p>
      <w:pPr>
        <w:spacing w:before="205" w:line="265" w:lineRule="auto"/>
        <w:ind w:right="1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辐射安全管理。实验室购买放射源或射线装置等必须严格遵守申报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制度。使用放射源和射线装置的实验室或单位，必须指定专人保管放射性物品，并</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严格执行相关操作、管理规程，</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1"/>
          <w:sz w:val="24"/>
          <w:szCs w:val="24"/>
        </w:rPr>
        <w:t>还应加强辐射场所的安全管理，</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设置安全警示标志，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规范放射性废弃物的处置。</w:t>
      </w:r>
    </w:p>
    <w:p>
      <w:pPr>
        <w:spacing w:before="203" w:line="266" w:lineRule="auto"/>
        <w:ind w:left="2"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生物样品安全管理。必须严格按照国家有关规定，加强对科研、教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学用细菌、病毒等生物样品的管理，由专人保管，并严格执行各项操作规程，做好</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各项安全防控预案，确保全过程安全。实验产生的废弃物必须进行彻底消毒灭活处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理，再严格按国家有关要求进行统一处置。</w:t>
      </w:r>
    </w:p>
    <w:p>
      <w:pPr>
        <w:spacing w:before="203" w:line="295" w:lineRule="auto"/>
        <w:ind w:left="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实验危险废弃物安全管理。危险废弃物包括液体废物、固体废物、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利器、生物废物、动物废物等，</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6"/>
          <w:sz w:val="24"/>
          <w:szCs w:val="24"/>
        </w:rPr>
        <w:t>其处置工作实施“分类收集、定点存放、专人管理、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转移处置”的工作原则。严禁将实验危险废弃物倒入下水道或普通垃圾桶，要分类</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1"/>
          <w:sz w:val="24"/>
          <w:szCs w:val="24"/>
        </w:rPr>
        <w:t>用专用容器收集存放，由实验室与设备管理中心委托有处理资质的公司定期处置。</w:t>
      </w:r>
    </w:p>
    <w:p>
      <w:pPr>
        <w:spacing w:before="28" w:line="282" w:lineRule="auto"/>
        <w:ind w:left="3" w:right="9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实验用动物安全管理。必须严格按照国家有关规定，实验用动物必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须从取得实验动物生产许可证或防疫检验许可证的单位购买，严禁购买不合格的动</w:t>
      </w:r>
    </w:p>
    <w:p>
      <w:pPr>
        <w:sectPr>
          <w:footerReference r:id="rId199" w:type="default"/>
          <w:pgSz w:w="11905" w:h="16840"/>
          <w:pgMar w:top="1431" w:right="1489" w:bottom="1365" w:left="1589" w:header="0" w:footer="1241" w:gutter="0"/>
          <w:cols w:space="720" w:num="1"/>
        </w:sectPr>
      </w:pPr>
    </w:p>
    <w:p>
      <w:pPr>
        <w:spacing w:before="426" w:line="265" w:lineRule="auto"/>
        <w:ind w:right="97"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物用于教学、科研。实验用动物尸体及其他动物实验相关废弃物，应严格按国家有</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关规定保存，集中送往具有处理资质的单位进行无害化处理。感染或放射接种的动</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物应严格按照规范处置，杜绝污染物外泄。学校严禁饲养实验动物。</w:t>
      </w:r>
    </w:p>
    <w:p>
      <w:pPr>
        <w:spacing w:before="202" w:line="275" w:lineRule="auto"/>
        <w:ind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第十九条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仪器设备安全管理。须对仪器设备的操作人员进行岗前培训考核，</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合格后方可操作使用。所有仪器设备均应有完整详实的使用记录。各实验室要加强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仪器设备的安全管理，定期维护保养各种仪器设备及安全设施，对有故障的仪器设</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备要及时检修，仪器设备的维护保养和检修等要有记录。严格按照操作规程开展实</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验教学和科研工作。</w:t>
      </w:r>
    </w:p>
    <w:p>
      <w:pPr>
        <w:spacing w:before="208" w:line="299"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第二十条</w:t>
      </w:r>
      <w:r>
        <w:rPr>
          <w:rFonts w:ascii="Microsoft JhengHei" w:hAnsi="Microsoft JhengHei" w:eastAsia="Microsoft JhengHei" w:cs="Microsoft JhengHei"/>
          <w:spacing w:val="23"/>
          <w:w w:val="101"/>
          <w:sz w:val="24"/>
          <w:szCs w:val="24"/>
        </w:rPr>
        <w:t xml:space="preserve">   </w:t>
      </w:r>
      <w:r>
        <w:rPr>
          <w:rFonts w:ascii="方正书宋简体" w:hAnsi="方正书宋简体" w:eastAsia="方正书宋简体" w:cs="方正书宋简体"/>
          <w:spacing w:val="-9"/>
          <w:sz w:val="24"/>
          <w:szCs w:val="24"/>
        </w:rPr>
        <w:t>特种设备安全管理。特种设备是指涉及生命安全、危险性较大的锅炉、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压力容器（含气瓶）、压力管道、起重机械、高电压设备等设备。特种设备的使用人</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9"/>
          <w:sz w:val="24"/>
          <w:szCs w:val="24"/>
        </w:rPr>
        <w:t>员，必须通过相关部门认可的培训、考核，取得上岗资格证书，</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9"/>
          <w:sz w:val="24"/>
          <w:szCs w:val="24"/>
        </w:rPr>
        <w:t>无证人员严禁使用特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种设备。在使用中必须严格执行国家有关规定，建立使用运行记录，定期检验。</w:t>
      </w:r>
    </w:p>
    <w:p>
      <w:pPr>
        <w:spacing w:before="1" w:line="275" w:lineRule="auto"/>
        <w:ind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用水用电安全管理。实验室用水用电应严格按照规范执行，不得</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擅自改装、拆修电气设施，不得乱接、乱拉电线，不得超负荷用电。实验室应定期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检查电路，发现老化等隐患要及时报修更换，</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用水用电设施安装改造应经后勤管理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处审批，并组织专业队伍安装。后勤管理处应加强对实验室用水用电的管理，定期</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开展实验室用水用电安全检查，发现问题及时整改。</w:t>
      </w:r>
    </w:p>
    <w:p>
      <w:pPr>
        <w:spacing w:before="203" w:line="298" w:lineRule="auto"/>
        <w:ind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6"/>
          <w:sz w:val="24"/>
          <w:szCs w:val="24"/>
        </w:rPr>
        <w:t>安全警示标识管理。各实验室应根据本实验室技术安全的性质（危</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险化学品、易燃易爆、辐射、高压、强磁、压力容器等</w:t>
      </w:r>
      <w:r>
        <w:rPr>
          <w:rFonts w:ascii="方正书宋简体" w:hAnsi="方正书宋简体" w:eastAsia="方正书宋简体" w:cs="方正书宋简体"/>
          <w:spacing w:val="-68"/>
          <w:sz w:val="24"/>
          <w:szCs w:val="24"/>
        </w:rPr>
        <w:t>），</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5"/>
          <w:sz w:val="24"/>
          <w:szCs w:val="24"/>
        </w:rPr>
        <w:t>在实验室房门、房间内相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应位置张贴醒目标识，指向明确到位。实验室的各区域均应张贴逃生指向标识和逃</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生路线图。</w:t>
      </w:r>
    </w:p>
    <w:p>
      <w:pPr>
        <w:spacing w:before="10" w:line="302" w:lineRule="auto"/>
        <w:ind w:left="2" w:right="9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实验室环境管理。实验室应建立卫生值日制度，保持清洁整齐，</w:t>
      </w:r>
      <w:r>
        <w:rPr>
          <w:rFonts w:ascii="方正书宋简体" w:hAnsi="方正书宋简体" w:eastAsia="方正书宋简体" w:cs="方正书宋简体"/>
          <w:spacing w:val="1"/>
          <w:sz w:val="24"/>
          <w:szCs w:val="24"/>
        </w:rPr>
        <w:t xml:space="preserve">  仪器设备布局合理，实验室公共走廊整洁畅通，紧急通道畅通，按要求配备相应的</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消防器材。实验室的物品必须摆放整齐，不得在实验室堆放杂物。实验过程中严禁</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在实验台上放置与实验无关的物品，实验结束后及时清理现场。离开实验室前，务</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必进行安全检查，包括切断电源、关闭水源、气源和门窗等。</w:t>
      </w:r>
    </w:p>
    <w:p>
      <w:pPr>
        <w:spacing w:before="3" w:line="202" w:lineRule="auto"/>
        <w:ind w:firstLine="281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安全教育与安全检查</w:t>
      </w:r>
    </w:p>
    <w:p>
      <w:pPr>
        <w:spacing w:before="101" w:line="290" w:lineRule="auto"/>
        <w:ind w:left="5" w:right="97"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根据实验室的性质，结合学校实际，由实验室与设备管理中心牵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头组织编撰《吉首大学实验室安全知识教程》</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
          <w:sz w:val="24"/>
          <w:szCs w:val="24"/>
        </w:rPr>
        <w:t>等安全方面的材料，搭建安全知识学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习、考核平台，定期组织开展实验室安全基础知识讲座宣传，对各类实验人员进行</w:t>
      </w:r>
    </w:p>
    <w:p>
      <w:pPr>
        <w:sectPr>
          <w:footerReference r:id="rId200" w:type="default"/>
          <w:pgSz w:w="11905" w:h="16840"/>
          <w:pgMar w:top="1431" w:right="1487" w:bottom="1365" w:left="1590" w:header="0" w:footer="1241" w:gutter="0"/>
          <w:cols w:space="720" w:num="1"/>
        </w:sectPr>
      </w:pPr>
    </w:p>
    <w:p>
      <w:pPr>
        <w:spacing w:before="431" w:line="180"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培训。</w:t>
      </w:r>
    </w:p>
    <w:p>
      <w:pPr>
        <w:spacing w:before="178" w:line="301" w:lineRule="auto"/>
        <w:ind w:right="9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第二十五条</w:t>
      </w:r>
      <w:r>
        <w:rPr>
          <w:rFonts w:ascii="Microsoft JhengHei" w:hAnsi="Microsoft JhengHei" w:eastAsia="Microsoft JhengHei" w:cs="Microsoft JhengHei"/>
          <w:spacing w:val="15"/>
          <w:sz w:val="24"/>
          <w:szCs w:val="24"/>
        </w:rPr>
        <w:t xml:space="preserve">    </w:t>
      </w:r>
      <w:r>
        <w:rPr>
          <w:rFonts w:ascii="方正书宋简体" w:hAnsi="方正书宋简体" w:eastAsia="方正书宋简体" w:cs="方正书宋简体"/>
          <w:spacing w:val="8"/>
          <w:sz w:val="24"/>
          <w:szCs w:val="24"/>
        </w:rPr>
        <w:t>各二级单位应根据自身特点确定新进实验室人员的安全教育学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习、考核的内容和形式。要认真落实实验室安全准入制度，所有进入实验室的人员</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都必须经过安全知识的学习和考核，并建立相应的考核记录，考核合格后方可进入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实验室工作学习，确保实验室工作的所有人员熟知有关安全知识、安全事项和急救</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措施等。</w:t>
      </w:r>
    </w:p>
    <w:p>
      <w:pPr>
        <w:spacing w:before="8" w:line="294" w:lineRule="auto"/>
        <w:ind w:right="90"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各二级单位应定期组织开展实验室安全教育和宣传工作，开展必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要的安全急救和逃生演练。举办专门的安全教育讲座，严格进行日常管理，提高师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生的安全防范意识。</w:t>
      </w:r>
    </w:p>
    <w:p>
      <w:pPr>
        <w:spacing w:before="2" w:line="295" w:lineRule="auto"/>
        <w:ind w:left="5" w:right="90"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实验室安全工作实行定期检查制度。由实验室与设备管理中心牵</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头组织相关职能部门对全校各类实验室进行安全检查，各二级单位应定期对本单位</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的实验室开展安全检查，一旦发现安全隐患即责令整改，不能马上解决的，要确定</w:t>
      </w:r>
    </w:p>
    <w:p>
      <w:pPr>
        <w:spacing w:before="13" w:line="194"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整改措施、整改期限和整改负责人，确保整改合格。</w:t>
      </w:r>
    </w:p>
    <w:p>
      <w:pPr>
        <w:spacing w:before="159" w:line="294" w:lineRule="auto"/>
        <w:ind w:left="2" w:right="9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第二十八条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4"/>
          <w:sz w:val="24"/>
          <w:szCs w:val="24"/>
        </w:rPr>
        <w:t>实验室在进行维修改造施工时，</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
          <w:sz w:val="24"/>
          <w:szCs w:val="24"/>
        </w:rPr>
        <w:t>必须安排专人现场值班，后勤管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理处与施工单位签订安全责任书，督促施工单位安全施工。施工现场应配备必要的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安全急救设施。</w:t>
      </w:r>
    </w:p>
    <w:p>
      <w:pPr>
        <w:spacing w:before="3" w:line="25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第二十九条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7"/>
          <w:sz w:val="24"/>
          <w:szCs w:val="24"/>
        </w:rPr>
        <w:t>各二级单位安全管理人员要切实履行职责，</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做好实验室安全监督。</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对违反本管理办法或管理不善造成实验室安全事故的，取消该单位和个人的年终考</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核评优资格，直至依法追责。</w:t>
      </w:r>
    </w:p>
    <w:p>
      <w:pPr>
        <w:spacing w:before="204" w:line="250" w:lineRule="auto"/>
        <w:ind w:left="2" w:right="90"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实验室发生安全事故时，应做好应急处置工作，立即采取有效措施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控制事故的蔓延，并及时报告保卫处和实验室与设备管理中心。事故所在单位应写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出事故报告，并配合相关部门的调查和处理。</w:t>
      </w:r>
    </w:p>
    <w:p>
      <w:pPr>
        <w:spacing w:before="204" w:line="180" w:lineRule="auto"/>
        <w:ind w:firstLine="3653"/>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第五章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5"/>
          <w:sz w:val="24"/>
          <w:szCs w:val="24"/>
        </w:rPr>
        <w:t>附则</w:t>
      </w:r>
    </w:p>
    <w:p>
      <w:pPr>
        <w:spacing w:before="13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第三十一条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本办法未尽事项，按国家有关法律法规执行。</w:t>
      </w:r>
    </w:p>
    <w:p>
      <w:pPr>
        <w:spacing w:before="138"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第三十二条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2"/>
          <w:sz w:val="24"/>
          <w:szCs w:val="24"/>
        </w:rPr>
        <w:t>本办法由实验室与设备管理中心负责解释，自公布之日起实施。</w:t>
      </w:r>
    </w:p>
    <w:p>
      <w:pPr>
        <w:sectPr>
          <w:footerReference r:id="rId201" w:type="default"/>
          <w:pgSz w:w="11905" w:h="16840"/>
          <w:pgMar w:top="1431" w:right="1494" w:bottom="1365" w:left="1590" w:header="0" w:footer="1241" w:gutter="0"/>
          <w:cols w:space="720" w:num="1"/>
        </w:sectPr>
      </w:pPr>
    </w:p>
    <w:p>
      <w:pPr>
        <w:spacing w:before="349" w:line="180" w:lineRule="auto"/>
        <w:ind w:firstLine="18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吉首大学大型精密仪器设备管理办法</w:t>
      </w:r>
    </w:p>
    <w:p>
      <w:pPr>
        <w:spacing w:before="110" w:line="184" w:lineRule="auto"/>
        <w:ind w:firstLine="3164"/>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10</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61"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82" w:lineRule="auto"/>
        <w:ind w:left="32" w:right="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第一条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4"/>
          <w:sz w:val="24"/>
          <w:szCs w:val="24"/>
        </w:rPr>
        <w:t>为了加强大型精密仪器设备的管理，</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4"/>
          <w:sz w:val="24"/>
          <w:szCs w:val="24"/>
        </w:rPr>
        <w:t>充分发挥投资效益，根据国家有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关规定，特制定本办法。</w:t>
      </w:r>
    </w:p>
    <w:p>
      <w:pPr>
        <w:spacing w:before="10" w:line="281" w:lineRule="auto"/>
        <w:ind w:left="43" w:right="32" w:firstLine="47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我校大型精密仪器设备是指单台或成套价格在人民币十万元以上（含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十万元）仪器设备。</w:t>
      </w:r>
    </w:p>
    <w:p>
      <w:pPr>
        <w:spacing w:before="13" w:line="281" w:lineRule="auto"/>
        <w:ind w:left="37" w:right="32"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教学科研大型精密仪器设备的购置、</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3"/>
          <w:sz w:val="24"/>
          <w:szCs w:val="24"/>
        </w:rPr>
        <w:t>调拨、转让、大修、改造、报废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等，应作专项申请，经职能部门审核，报主管校长审批后实施。</w:t>
      </w:r>
    </w:p>
    <w:p>
      <w:pPr>
        <w:spacing w:before="12" w:line="450" w:lineRule="exact"/>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position w:val="12"/>
          <w:sz w:val="24"/>
          <w:szCs w:val="24"/>
        </w:rPr>
        <w:t>第二章</w:t>
      </w:r>
      <w:r>
        <w:rPr>
          <w:rFonts w:ascii="Microsoft JhengHei" w:hAnsi="Microsoft JhengHei" w:eastAsia="Microsoft JhengHei" w:cs="Microsoft JhengHei"/>
          <w:spacing w:val="1"/>
          <w:w w:val="101"/>
          <w:position w:val="12"/>
          <w:sz w:val="24"/>
          <w:szCs w:val="24"/>
        </w:rPr>
        <w:t xml:space="preserve">    </w:t>
      </w:r>
      <w:r>
        <w:rPr>
          <w:rFonts w:ascii="Microsoft JhengHei" w:hAnsi="Microsoft JhengHei" w:eastAsia="Microsoft JhengHei" w:cs="Microsoft JhengHei"/>
          <w:spacing w:val="-4"/>
          <w:position w:val="12"/>
          <w:sz w:val="24"/>
          <w:szCs w:val="24"/>
        </w:rPr>
        <w:t>购</w:t>
      </w:r>
      <w:r>
        <w:rPr>
          <w:rFonts w:ascii="Microsoft JhengHei" w:hAnsi="Microsoft JhengHei" w:eastAsia="Microsoft JhengHei" w:cs="Microsoft JhengHei"/>
          <w:spacing w:val="3"/>
          <w:w w:val="101"/>
          <w:position w:val="12"/>
          <w:sz w:val="24"/>
          <w:szCs w:val="24"/>
        </w:rPr>
        <w:t xml:space="preserve">    </w:t>
      </w:r>
      <w:r>
        <w:rPr>
          <w:rFonts w:ascii="Microsoft JhengHei" w:hAnsi="Microsoft JhengHei" w:eastAsia="Microsoft JhengHei" w:cs="Microsoft JhengHei"/>
          <w:spacing w:val="-4"/>
          <w:position w:val="12"/>
          <w:sz w:val="24"/>
          <w:szCs w:val="24"/>
        </w:rPr>
        <w:t>置</w:t>
      </w:r>
    </w:p>
    <w:p>
      <w:pPr>
        <w:spacing w:line="204"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第四条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7"/>
          <w:sz w:val="24"/>
          <w:szCs w:val="24"/>
        </w:rPr>
        <w:t>申购论证审批程序：</w:t>
      </w:r>
    </w:p>
    <w:p>
      <w:pPr>
        <w:spacing w:before="109"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1、申购单位填写《大型精密仪器设备申请论证报告》。</w:t>
      </w:r>
    </w:p>
    <w:p>
      <w:pPr>
        <w:spacing w:before="196" w:line="314" w:lineRule="auto"/>
        <w:ind w:left="36" w:right="3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2、申购单位组织初级论证，</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单位各级主管负责人在论证报告上签署意见，</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报实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验室与设备管理中心。</w:t>
      </w:r>
    </w:p>
    <w:p>
      <w:pPr>
        <w:spacing w:before="2" w:line="315" w:lineRule="auto"/>
        <w:ind w:left="37" w:right="3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3、实验室与设备管理中心组织有关专家进行综合论证，</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sz w:val="24"/>
          <w:szCs w:val="24"/>
        </w:rPr>
        <w:t>并签署意见，</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报主管校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长审批。</w:t>
      </w:r>
    </w:p>
    <w:p>
      <w:pPr>
        <w:spacing w:line="239" w:lineRule="auto"/>
        <w:ind w:left="35" w:right="30"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4、论证报告经主管校长批准后生效，</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其原件交校档案室存档，</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实验室与设备管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理中心和申购单位各自保存一份复印件。</w:t>
      </w:r>
    </w:p>
    <w:p>
      <w:pPr>
        <w:spacing w:before="207" w:line="281" w:lineRule="auto"/>
        <w:ind w:left="37" w:right="32"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第五条    </w:t>
      </w:r>
      <w:r>
        <w:rPr>
          <w:rFonts w:ascii="方正书宋简体" w:hAnsi="方正书宋简体" w:eastAsia="方正书宋简体" w:cs="方正书宋简体"/>
          <w:spacing w:val="2"/>
          <w:sz w:val="24"/>
          <w:szCs w:val="24"/>
        </w:rPr>
        <w:t>设备购置申请批准后，原则上不得更改型号、规格、配置，如因情况</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变化确有必要更改，申购单位应提出更改报告，审批程序按第四条规定办理。</w:t>
      </w:r>
    </w:p>
    <w:p>
      <w:pPr>
        <w:spacing w:before="12"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大型精密仪器设备的采购工作，按学校有关规定执行。</w:t>
      </w:r>
    </w:p>
    <w:p>
      <w:pPr>
        <w:spacing w:before="109" w:line="250" w:lineRule="auto"/>
        <w:ind w:left="32" w:right="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大型精密仪器设备到货后，使用单位应会同有关职能部门按合同有关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要求及时组织专家、技术人员进行安装、调试、验收，凡未按时完成，学校将追究</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4"/>
          <w:sz w:val="24"/>
          <w:szCs w:val="24"/>
        </w:rPr>
        <w:t>相关责任人的责任。</w:t>
      </w:r>
    </w:p>
    <w:p>
      <w:pPr>
        <w:spacing w:before="204" w:line="282" w:lineRule="auto"/>
        <w:ind w:left="38" w:right="32"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第八条    </w:t>
      </w:r>
      <w:r>
        <w:rPr>
          <w:rFonts w:ascii="方正书宋简体" w:hAnsi="方正书宋简体" w:eastAsia="方正书宋简体" w:cs="方正书宋简体"/>
          <w:spacing w:val="2"/>
          <w:sz w:val="24"/>
          <w:szCs w:val="24"/>
        </w:rPr>
        <w:t>使用单位应将仪器设备安装、调试结果及时报到相关职能部门。如发</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现质量问题，相关职能部门按合同要求，及时处理。</w:t>
      </w:r>
    </w:p>
    <w:p>
      <w:pPr>
        <w:spacing w:before="11" w:line="197" w:lineRule="auto"/>
        <w:ind w:firstLine="380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第三章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5"/>
          <w:sz w:val="24"/>
          <w:szCs w:val="24"/>
        </w:rPr>
        <w:t>管</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5"/>
          <w:sz w:val="24"/>
          <w:szCs w:val="24"/>
        </w:rPr>
        <w:t>理</w:t>
      </w:r>
    </w:p>
    <w:p>
      <w:pPr>
        <w:spacing w:before="110" w:line="292" w:lineRule="auto"/>
        <w:ind w:left="44" w:right="29" w:firstLine="478"/>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第九条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5"/>
          <w:sz w:val="24"/>
          <w:szCs w:val="24"/>
        </w:rPr>
        <w:t>大型精密仪器设备实行“学校统筹，</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5"/>
          <w:sz w:val="24"/>
          <w:szCs w:val="24"/>
        </w:rPr>
        <w:t>专人管理，开放共享”的原则。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主管仪器人员要尽快熟悉仪器原理、构造、性能、操作方法等，并建立仪器设备使</w:t>
      </w:r>
    </w:p>
    <w:p>
      <w:pPr>
        <w:sectPr>
          <w:footerReference r:id="rId202" w:type="default"/>
          <w:pgSz w:w="11905" w:h="16840"/>
          <w:pgMar w:top="1431" w:right="1556" w:bottom="1365" w:left="1557" w:header="0" w:footer="1241" w:gutter="0"/>
          <w:cols w:space="720" w:num="1"/>
        </w:sectPr>
      </w:pPr>
    </w:p>
    <w:p>
      <w:pPr>
        <w:spacing w:before="428" w:line="180"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用、维修记录制度，人员变动时要有移交手续的记录。</w:t>
      </w:r>
    </w:p>
    <w:p>
      <w:pPr>
        <w:spacing w:before="178" w:line="282" w:lineRule="auto"/>
        <w:ind w:left="5" w:right="121"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3"/>
          <w:sz w:val="24"/>
          <w:szCs w:val="24"/>
        </w:rPr>
        <w:t>在一年内使用效益低或使用机时低于</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3"/>
          <w:sz w:val="24"/>
          <w:szCs w:val="24"/>
        </w:rPr>
        <w:t>500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3"/>
          <w:sz w:val="24"/>
          <w:szCs w:val="24"/>
        </w:rPr>
        <w:t>小时的大型精密仪器设备，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相关职能部门会同有关管理部门提出报告，经主管校长批准后，可予以调整使用。</w:t>
      </w:r>
    </w:p>
    <w:p>
      <w:pPr>
        <w:spacing w:before="11" w:line="250" w:lineRule="auto"/>
        <w:ind w:left="3" w:right="7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大型精密仪器设备所在实验室要建立设备使用保管岗位责任制、操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作规程、维修保养和技术安全制度，对于结构复杂的仪器设备要由专门训练和考核</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合格的专职人员操作使用。</w:t>
      </w:r>
    </w:p>
    <w:p>
      <w:pPr>
        <w:spacing w:before="205" w:line="258"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5"/>
          <w:sz w:val="24"/>
          <w:szCs w:val="24"/>
        </w:rPr>
        <w:t>各实验室应收集每台大型仪器设备的有关资料</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5"/>
          <w:sz w:val="24"/>
          <w:szCs w:val="24"/>
        </w:rPr>
        <w:t>（包括设备验收单、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说明书、购置论证报告、订货原始依据、安装验收记录、维修记录、运行记录等</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以及规划、计划和总结等材料，并按档案管理要求严格管理归档。</w:t>
      </w:r>
    </w:p>
    <w:p>
      <w:pPr>
        <w:spacing w:before="166" w:line="250" w:lineRule="auto"/>
        <w:ind w:left="3" w:right="7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实验室每学年做一次总结，认真总结仪器设备的使用效益，检查仪</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器设备完好程度，并认真检查论证报告中的功能开发情况，有无创新，对未完成的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应说明原因，并提出准备采取的措施。</w:t>
      </w:r>
    </w:p>
    <w:p>
      <w:pPr>
        <w:spacing w:before="205" w:line="293" w:lineRule="auto"/>
        <w:ind w:left="3" w:right="7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大型精密仪器设备如发生故障或损坏时，设备管理（或使用）人员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应及时写出书面报告，报告损坏原因、计划修理方案等，报送实验室与设备管理中</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心，以便及时排除故障修复使用。并做到修前有记录，修后有验收。</w:t>
      </w:r>
    </w:p>
    <w:p>
      <w:pPr>
        <w:spacing w:before="7" w:line="265" w:lineRule="auto"/>
        <w:ind w:left="3" w:right="7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大型精密仪器设备发生重大事故时，当事人不得擅自处理，应保护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现场，并及时报告实验室与设备管理中心。对在事故防范或抢救中的有功人员，学</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校将予表扬或奖励。对造成事故损失者，学校将根据情节轻重进行处理。事故处理</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后须将有关情况记入技术档案备查。</w:t>
      </w:r>
    </w:p>
    <w:p>
      <w:pPr>
        <w:spacing w:before="206" w:line="180" w:lineRule="auto"/>
        <w:ind w:firstLine="353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第四章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5"/>
          <w:sz w:val="24"/>
          <w:szCs w:val="24"/>
        </w:rPr>
        <w:t>报</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5"/>
          <w:sz w:val="24"/>
          <w:szCs w:val="24"/>
        </w:rPr>
        <w:t>废</w:t>
      </w:r>
    </w:p>
    <w:p>
      <w:pPr>
        <w:spacing w:before="139"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第十六条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大型精密仪器设备凡符合下列条件之一者，按有关规定申请报废：</w:t>
      </w:r>
    </w:p>
    <w:p>
      <w:pPr>
        <w:spacing w:before="150" w:line="253" w:lineRule="auto"/>
        <w:ind w:left="14" w:right="98" w:firstLine="49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1、计算机设备使用年限</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4"/>
          <w:sz w:val="24"/>
          <w:szCs w:val="24"/>
        </w:rPr>
        <w:t>10</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年以上，年平均使用时数</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4"/>
          <w:sz w:val="24"/>
          <w:szCs w:val="24"/>
        </w:rPr>
        <w:t>1500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4"/>
          <w:sz w:val="24"/>
          <w:szCs w:val="24"/>
        </w:rPr>
        <w:t>小时以上，故障多，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主要功能严重失效，无法修复或一次性修理费超过原值</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60％以上者；</w:t>
      </w:r>
    </w:p>
    <w:p>
      <w:pPr>
        <w:spacing w:before="177" w:line="274" w:lineRule="auto"/>
        <w:ind w:left="5"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2、机械设备使用年限达</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3"/>
          <w:sz w:val="24"/>
          <w:szCs w:val="24"/>
        </w:rPr>
        <w:t>20</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年以上，年平均使用时数</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3"/>
          <w:sz w:val="24"/>
          <w:szCs w:val="24"/>
        </w:rPr>
        <w:t>1000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小时以上，故障多，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主要结构和零部件严重老化或磨损，效能无法满足教学科研最低要求，无法修复或</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一次修理费超过原值</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60％者；</w:t>
      </w:r>
    </w:p>
    <w:p>
      <w:pPr>
        <w:spacing w:before="177" w:line="274" w:lineRule="auto"/>
        <w:ind w:left="4" w:right="80"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3、其它大型精密仪器设备凡使用年限达</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2"/>
          <w:sz w:val="24"/>
          <w:szCs w:val="24"/>
        </w:rPr>
        <w:t>10</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年以上，年平均使用时数</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800</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小时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以上，</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sz w:val="24"/>
          <w:szCs w:val="24"/>
        </w:rPr>
        <w:t>或使用达</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4"/>
          <w:sz w:val="24"/>
          <w:szCs w:val="24"/>
        </w:rPr>
        <w:t>15</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4"/>
          <w:sz w:val="24"/>
          <w:szCs w:val="24"/>
        </w:rPr>
        <w:t>年以上，</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4"/>
          <w:sz w:val="24"/>
          <w:szCs w:val="24"/>
        </w:rPr>
        <w:t>使用总时数</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4"/>
          <w:sz w:val="24"/>
          <w:szCs w:val="24"/>
        </w:rPr>
        <w:t>10000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4"/>
          <w:sz w:val="24"/>
          <w:szCs w:val="24"/>
        </w:rPr>
        <w:t>小时以上，</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4"/>
          <w:sz w:val="24"/>
          <w:szCs w:val="24"/>
        </w:rPr>
        <w:t>无法修复或一次性修理费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超过原值</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60％者；</w:t>
      </w:r>
    </w:p>
    <w:p>
      <w:pPr>
        <w:spacing w:before="175"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4、由于意外灾害或重大事故，严重损坏不能修复或一次性修理费超过原值</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8"/>
          <w:sz w:val="24"/>
          <w:szCs w:val="24"/>
        </w:rPr>
        <w:t>60％者；</w:t>
      </w:r>
    </w:p>
    <w:p>
      <w:pPr>
        <w:sectPr>
          <w:footerReference r:id="rId203" w:type="default"/>
          <w:pgSz w:w="11905" w:h="16840"/>
          <w:pgMar w:top="1431" w:right="1507" w:bottom="1365" w:left="1587" w:header="0" w:footer="1241" w:gutter="0"/>
          <w:cols w:space="720" w:num="1"/>
        </w:sectPr>
      </w:pPr>
    </w:p>
    <w:p>
      <w:pPr>
        <w:spacing w:before="426"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5、按国家有关政策应予淘汰者。</w:t>
      </w:r>
    </w:p>
    <w:p>
      <w:pPr>
        <w:spacing w:before="179" w:line="250" w:lineRule="auto"/>
        <w:ind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第十七条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5"/>
          <w:sz w:val="24"/>
          <w:szCs w:val="24"/>
        </w:rPr>
        <w:t>凡申请报废的大型精密仪器设备，</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5"/>
          <w:sz w:val="24"/>
          <w:szCs w:val="24"/>
        </w:rPr>
        <w:t>统一填写仪器设备报废申请表，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由相关职能部门组织有关人员进行技术鉴定，</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并报主管校长批准后，按学校相关程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序办理。</w:t>
      </w:r>
    </w:p>
    <w:p>
      <w:pPr>
        <w:spacing w:before="205" w:line="180" w:lineRule="auto"/>
        <w:ind w:firstLine="3771"/>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第五章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40" w:line="281" w:lineRule="auto"/>
        <w:ind w:left="6" w:right="3"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大型精密仪器设备的使用单位应根据本办法结合实际情况制定实施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细则。</w:t>
      </w:r>
    </w:p>
    <w:p>
      <w:pPr>
        <w:spacing w:before="11" w:line="197" w:lineRule="auto"/>
        <w:ind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第十九条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2"/>
          <w:sz w:val="24"/>
          <w:szCs w:val="24"/>
        </w:rPr>
        <w:t>本办法自发文之日起执行，解释权归实验室与设备管理中心所有。</w:t>
      </w:r>
    </w:p>
    <w:p>
      <w:pPr>
        <w:sectPr>
          <w:footerReference r:id="rId204" w:type="default"/>
          <w:pgSz w:w="11905" w:h="16840"/>
          <w:pgMar w:top="1431" w:right="1585" w:bottom="1365" w:left="1593" w:header="0" w:footer="1241" w:gutter="0"/>
          <w:cols w:space="720" w:num="1"/>
        </w:sectPr>
      </w:pPr>
    </w:p>
    <w:p>
      <w:pPr>
        <w:spacing w:before="409" w:line="180" w:lineRule="auto"/>
        <w:ind w:firstLine="688"/>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吉首大学本科实验教学材料费使用管理办法（暂行）</w:t>
      </w:r>
    </w:p>
    <w:p>
      <w:pPr>
        <w:spacing w:line="443" w:lineRule="auto"/>
        <w:rPr>
          <w:rFonts w:ascii="Malgun Gothic"/>
          <w:sz w:val="21"/>
        </w:rPr>
      </w:pPr>
    </w:p>
    <w:p>
      <w:pPr>
        <w:spacing w:before="86" w:line="304" w:lineRule="auto"/>
        <w:ind w:left="6" w:right="8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为加强本科实验教学材料费的管理，提高经费使用效益，确保实验教学的正常</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开展，根据上级和学校有关文件精神，结合学校实际，特制定本办法。</w:t>
      </w:r>
    </w:p>
    <w:p>
      <w:pPr>
        <w:spacing w:before="25" w:line="187"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一、管理原则</w:t>
      </w:r>
    </w:p>
    <w:p>
      <w:pPr>
        <w:spacing w:before="139" w:line="239" w:lineRule="auto"/>
        <w:ind w:right="79"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1、一把手负责制原则。各教学单位根据本办法制定相应的管理办法，</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按照“谁</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使用、谁负责”的原则实行单位一把手负责制。</w:t>
      </w:r>
    </w:p>
    <w:p>
      <w:pPr>
        <w:spacing w:before="212" w:line="304" w:lineRule="auto"/>
        <w:ind w:right="79"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2、专款专用原则。材料费是保证实验教学正常运行的专项经费，</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根据文件规定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使用范围实行专款专用，不得挪做他用。</w:t>
      </w:r>
    </w:p>
    <w:p>
      <w:pPr>
        <w:spacing w:before="36"/>
        <w:ind w:left="8" w:right="79"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3、高效节约原则。在保证正常实验教学情况下，</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各学院加强对师生员工勤俭节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约、爱护公共财产的教育，自觉管好用好各种物品，杜绝铺张浪费。</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二、使用范围</w:t>
      </w:r>
    </w:p>
    <w:p>
      <w:pPr>
        <w:spacing w:before="148" w:line="303" w:lineRule="auto"/>
        <w:ind w:left="6" w:right="8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实验教学材料费主要用于开支本科实验教学过程中必须的实验材料、低值品和</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易耗品（不包括纳入固定资产管理的仪器设备及相关物品）等方面。</w:t>
      </w:r>
    </w:p>
    <w:p>
      <w:pPr>
        <w:spacing w:before="35" w:line="315" w:lineRule="auto"/>
        <w:ind w:left="3" w:right="8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实验材料：指一次使用后即消耗或不能复原的物资，如金属，非金属的各种原</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材料、燃料、试剂及化学药品等。</w:t>
      </w:r>
    </w:p>
    <w:p>
      <w:pPr>
        <w:spacing w:before="3"/>
        <w:ind w:right="7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低值品：</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1"/>
          <w:w w:val="95"/>
          <w:sz w:val="24"/>
          <w:szCs w:val="24"/>
        </w:rPr>
        <w:t>指价值在</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w w:val="95"/>
          <w:sz w:val="24"/>
          <w:szCs w:val="24"/>
        </w:rPr>
        <w:t>1000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5"/>
          <w:sz w:val="24"/>
          <w:szCs w:val="24"/>
        </w:rPr>
        <w:t>元以下，</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w w:val="95"/>
          <w:sz w:val="24"/>
          <w:szCs w:val="24"/>
        </w:rPr>
        <w:t>耐用期在</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5"/>
          <w:sz w:val="24"/>
          <w:szCs w:val="24"/>
        </w:rPr>
        <w:t>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w w:val="95"/>
          <w:sz w:val="24"/>
          <w:szCs w:val="24"/>
        </w:rPr>
        <w:t>年以上，</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w w:val="95"/>
          <w:sz w:val="24"/>
          <w:szCs w:val="24"/>
        </w:rPr>
        <w:t>能独立使用的物品，</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5"/>
          <w:sz w:val="24"/>
          <w:szCs w:val="24"/>
        </w:rPr>
        <w:t>如低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值仪器，仪表，工具，量具等。</w:t>
      </w:r>
    </w:p>
    <w:p>
      <w:pPr>
        <w:spacing w:before="211" w:line="303" w:lineRule="auto"/>
        <w:ind w:left="4"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易耗品：</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1"/>
          <w:sz w:val="24"/>
          <w:szCs w:val="24"/>
        </w:rPr>
        <w:t>指在使用过程中易于消耗的，</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不属于固定资产、材料和低值品的物品，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如玻璃仪器、元器件、零配件、解剖用尸体、实验小动物、标本等。</w:t>
      </w:r>
    </w:p>
    <w:p>
      <w:pPr>
        <w:spacing w:before="29" w:line="187"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三、操作流程</w:t>
      </w:r>
    </w:p>
    <w:p>
      <w:pPr>
        <w:spacing w:before="14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1、编报计划</w:t>
      </w:r>
    </w:p>
    <w:p>
      <w:pPr>
        <w:spacing w:before="185" w:line="307" w:lineRule="auto"/>
        <w:ind w:right="7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（1）编制内容。各学院根据学校年初下达的实验材料费编制本年度实验材料费</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使用计划，计划中明确材料名称、单价、数量总金额及与之对应的专业、班级、人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数、实验项目等。</w:t>
      </w:r>
    </w:p>
    <w:p>
      <w:pPr>
        <w:spacing w:before="42" w:line="315" w:lineRule="auto"/>
        <w:ind w:right="79"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（2）编制流程。计划由实验指导老师和实验室管理人员编制，实验室主任汇总</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初审，分管实验教学的领导审核，单位一把手签字盖章。</w:t>
      </w:r>
    </w:p>
    <w:p>
      <w:pPr>
        <w:spacing w:line="316" w:lineRule="auto"/>
        <w:ind w:left="6" w:right="79"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（3）上报备案。各学院需在学校下达预算后十五天内完成计划编制并上报实验</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室与设备管理中心备案，计划上报备案后原则上不得随意变更。</w:t>
      </w:r>
    </w:p>
    <w:p>
      <w:pPr>
        <w:sectPr>
          <w:footerReference r:id="rId205" w:type="default"/>
          <w:pgSz w:w="11905" w:h="16840"/>
          <w:pgMar w:top="1431" w:right="1507" w:bottom="1365" w:left="1590" w:header="0" w:footer="1241" w:gutter="0"/>
          <w:cols w:space="720" w:num="1"/>
        </w:sectPr>
      </w:pPr>
    </w:p>
    <w:p>
      <w:pPr>
        <w:spacing w:before="423"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2、材料采购</w:t>
      </w:r>
    </w:p>
    <w:p>
      <w:pPr>
        <w:spacing w:before="173" w:line="304" w:lineRule="auto"/>
        <w:ind w:left="3" w:right="1"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（1）计划采购。实验材料的采购必须按上报实验室管理中心备案的计划进行采</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购，因特殊情况计划外采购需按程序报实验室与设备管理中心同意后方可实施。</w:t>
      </w:r>
    </w:p>
    <w:p>
      <w:pPr>
        <w:spacing w:before="33" w:line="307" w:lineRule="auto"/>
        <w:ind w:right="1"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（2）采购方式。一次性采购金额</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
          <w:sz w:val="24"/>
          <w:szCs w:val="24"/>
        </w:rPr>
        <w:t>1</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
          <w:sz w:val="24"/>
          <w:szCs w:val="24"/>
        </w:rPr>
        <w:t>万元以下的按学校有关程序自行采购；一次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性采购金额达到（含）</w:t>
      </w:r>
      <w:r>
        <w:rPr>
          <w:rFonts w:ascii="方正书宋简体" w:hAnsi="方正书宋简体" w:eastAsia="方正书宋简体" w:cs="方正书宋简体"/>
          <w:spacing w:val="90"/>
          <w:sz w:val="24"/>
          <w:szCs w:val="24"/>
        </w:rPr>
        <w:t xml:space="preserve"> </w:t>
      </w:r>
      <w:r>
        <w:rPr>
          <w:rFonts w:ascii="方正书宋简体" w:hAnsi="方正书宋简体" w:eastAsia="方正书宋简体" w:cs="方正书宋简体"/>
          <w:spacing w:val="-11"/>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sz w:val="24"/>
          <w:szCs w:val="24"/>
        </w:rPr>
        <w:t>万元以上时，</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1"/>
          <w:sz w:val="24"/>
          <w:szCs w:val="24"/>
        </w:rPr>
        <w:t>必须填写《吉首大学本科实验教学材料采购项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目管理表》（见附件</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2"/>
          <w:sz w:val="24"/>
          <w:szCs w:val="24"/>
        </w:rPr>
        <w:t>并按相关程序实施。</w:t>
      </w:r>
    </w:p>
    <w:p>
      <w:pPr>
        <w:spacing w:before="39" w:line="253" w:lineRule="auto"/>
        <w:ind w:right="1"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（3）采购要求。原则上实行集中采购、集体采购，尽量减少临时、零星、个人</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外出采购，实验材料采购需货比三家，确保质量，及时到位，满足实验教学要求。</w:t>
      </w:r>
    </w:p>
    <w:p>
      <w:pPr>
        <w:spacing w:before="182"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3、验收报账</w:t>
      </w:r>
    </w:p>
    <w:p>
      <w:pPr>
        <w:spacing w:before="190" w:line="315" w:lineRule="auto"/>
        <w:ind w:right="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（1）验收入库。学院必须明确固定验收人员，严格按照采购数量、质量、用途</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进行实物验收，按时准确在实验室综合管理系统中登记入库、办理领用手续。</w:t>
      </w:r>
    </w:p>
    <w:p>
      <w:pPr>
        <w:spacing w:before="2" w:line="273" w:lineRule="auto"/>
        <w:ind w:left="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（2）规范报账。按照财务处的相关规定及时报账，零星采购的凭发票、系统打</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印的出入库单报账；集中采购的凭发票、系统打印的出入库单、吉首大学本科实验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教学材料采购项目管理表报账，发票需经经手人、采购人和单位一把手签字。</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（3）建立台账。学院需建立实验材料出库、入库台账，专人管理。</w:t>
      </w:r>
    </w:p>
    <w:p>
      <w:pPr>
        <w:spacing w:before="166" w:line="180"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四、绩效评价与使用</w:t>
      </w:r>
    </w:p>
    <w:p>
      <w:pPr>
        <w:spacing w:before="150" w:line="311"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每年底实验室与设备管理中心会同财务处、审计处等职能部门对各教学单位的</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经费使用及管理情况进行专项评价与审计，评价结果与学院教学管理及下一年度材</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料费分配指标挂钩。评价内容主要包括：</w:t>
      </w:r>
    </w:p>
    <w:p>
      <w:pPr>
        <w:spacing w:before="16" w:line="193"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1、材料费计划执行情况；</w:t>
      </w:r>
    </w:p>
    <w:p>
      <w:pPr>
        <w:spacing w:before="175"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2、材料费使用开支情况；</w:t>
      </w:r>
    </w:p>
    <w:p>
      <w:pPr>
        <w:spacing w:before="174"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3、材料费使用效益情况。</w:t>
      </w:r>
    </w:p>
    <w:p>
      <w:pPr>
        <w:spacing w:before="175" w:line="193"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4、材料费相关文档规范情况。</w:t>
      </w:r>
    </w:p>
    <w:p>
      <w:pPr>
        <w:spacing w:before="166" w:line="180" w:lineRule="auto"/>
        <w:ind w:firstLine="48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五、其他</w:t>
      </w:r>
    </w:p>
    <w:p>
      <w:pPr>
        <w:spacing w:before="147" w:line="193"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1、本办法只适用于本科实验教学材料费，自公布之日起实施。</w:t>
      </w:r>
    </w:p>
    <w:p>
      <w:pPr>
        <w:spacing w:before="179"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2、本办法由实验室与设备管理中心负责解释。</w:t>
      </w:r>
    </w:p>
    <w:p>
      <w:pPr>
        <w:spacing w:line="365" w:lineRule="auto"/>
        <w:rPr>
          <w:rFonts w:ascii="Malgun Gothic"/>
          <w:sz w:val="21"/>
        </w:rPr>
      </w:pPr>
    </w:p>
    <w:p>
      <w:pPr>
        <w:spacing w:before="87" w:line="193"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附件：吉首大学本科实验教学材料采购项目管理表</w:t>
      </w:r>
    </w:p>
    <w:p>
      <w:pPr>
        <w:sectPr>
          <w:footerReference r:id="rId206" w:type="default"/>
          <w:pgSz w:w="11905" w:h="16840"/>
          <w:pgMar w:top="1431" w:right="1585" w:bottom="1365" w:left="1591" w:header="0" w:footer="1241" w:gutter="0"/>
          <w:cols w:space="720" w:num="1"/>
        </w:sectPr>
      </w:pPr>
    </w:p>
    <w:p/>
    <w:p>
      <w:pPr>
        <w:spacing w:line="101" w:lineRule="exact"/>
      </w:pPr>
    </w:p>
    <w:p>
      <w:pPr>
        <w:sectPr>
          <w:footerReference r:id="rId207" w:type="default"/>
          <w:pgSz w:w="11905" w:h="16840"/>
          <w:pgMar w:top="1431" w:right="1548" w:bottom="1365" w:left="1548" w:header="0" w:footer="1241" w:gutter="0"/>
          <w:cols w:equalWidth="0" w:num="1">
            <w:col w:w="8808"/>
          </w:cols>
        </w:sectPr>
      </w:pPr>
    </w:p>
    <w:p>
      <w:pPr>
        <w:spacing w:before="71" w:line="180" w:lineRule="auto"/>
        <w:ind w:firstLine="64"/>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rPr>
        <w:t>附件</w:t>
      </w:r>
    </w:p>
    <w:p>
      <w:pPr>
        <w:spacing w:line="352" w:lineRule="auto"/>
        <w:rPr>
          <w:rFonts w:ascii="Malgun Gothic"/>
          <w:sz w:val="21"/>
        </w:rPr>
      </w:pPr>
    </w:p>
    <w:p>
      <w:pPr>
        <w:spacing w:line="353" w:lineRule="auto"/>
        <w:rPr>
          <w:rFonts w:ascii="Malgun Gothic"/>
          <w:sz w:val="21"/>
        </w:rPr>
      </w:pPr>
    </w:p>
    <w:p>
      <w:pPr>
        <w:spacing w:before="68" w:line="184" w:lineRule="auto"/>
        <w:ind w:firstLine="47"/>
        <w:rPr>
          <w:rFonts w:ascii="仿宋" w:hAnsi="仿宋" w:eastAsia="仿宋" w:cs="仿宋"/>
          <w:sz w:val="21"/>
          <w:szCs w:val="21"/>
        </w:rPr>
      </w:pPr>
      <w:r>
        <w:rPr>
          <w:rFonts w:ascii="仿宋" w:hAnsi="仿宋" w:eastAsia="仿宋" w:cs="仿宋"/>
          <w:spacing w:val="-3"/>
          <w:sz w:val="21"/>
          <w:szCs w:val="21"/>
        </w:rPr>
        <w:t>编号:</w:t>
      </w:r>
    </w:p>
    <w:p>
      <w:pPr>
        <w:spacing w:line="14" w:lineRule="auto"/>
        <w:rPr>
          <w:rFonts w:ascii="Malgun Gothic"/>
          <w:sz w:val="2"/>
        </w:rPr>
      </w:pPr>
      <w:r>
        <w:rPr>
          <w:rFonts w:ascii="Malgun Gothic" w:hAnsi="Malgun Gothic" w:eastAsia="Malgun Gothic" w:cs="Malgun Gothic"/>
          <w:sz w:val="2"/>
          <w:szCs w:val="2"/>
        </w:rPr>
        <w:br w:type="column"/>
      </w:r>
    </w:p>
    <w:p>
      <w:pPr>
        <w:spacing w:before="426" w:line="180" w:lineRule="auto"/>
        <w:ind w:firstLine="35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吉首大学本科实验教学材料采购项目管理表</w:t>
      </w:r>
    </w:p>
    <w:p>
      <w:pPr>
        <w:spacing w:before="215" w:line="184" w:lineRule="auto"/>
        <w:ind w:firstLine="2727"/>
        <w:rPr>
          <w:rFonts w:ascii="仿宋" w:hAnsi="仿宋" w:eastAsia="仿宋" w:cs="仿宋"/>
          <w:sz w:val="21"/>
          <w:szCs w:val="21"/>
        </w:rPr>
      </w:pPr>
      <w:r>
        <w:rPr>
          <w:rFonts w:ascii="仿宋" w:hAnsi="仿宋" w:eastAsia="仿宋" w:cs="仿宋"/>
          <w:spacing w:val="-9"/>
          <w:sz w:val="21"/>
          <w:szCs w:val="21"/>
        </w:rPr>
        <w:t>(1</w:t>
      </w:r>
      <w:r>
        <w:rPr>
          <w:rFonts w:ascii="仿宋" w:hAnsi="仿宋" w:eastAsia="仿宋" w:cs="仿宋"/>
          <w:spacing w:val="-31"/>
          <w:sz w:val="21"/>
          <w:szCs w:val="21"/>
        </w:rPr>
        <w:t xml:space="preserve"> </w:t>
      </w:r>
      <w:r>
        <w:rPr>
          <w:rFonts w:ascii="仿宋" w:hAnsi="仿宋" w:eastAsia="仿宋" w:cs="仿宋"/>
          <w:spacing w:val="-9"/>
          <w:sz w:val="21"/>
          <w:szCs w:val="21"/>
        </w:rPr>
        <w:t>万元及以上)</w:t>
      </w:r>
    </w:p>
    <w:p>
      <w:pPr>
        <w:spacing w:before="250" w:line="184" w:lineRule="auto"/>
        <w:ind w:firstLine="5852"/>
        <w:rPr>
          <w:rFonts w:ascii="仿宋" w:hAnsi="仿宋" w:eastAsia="仿宋" w:cs="仿宋"/>
          <w:sz w:val="21"/>
          <w:szCs w:val="21"/>
        </w:rPr>
      </w:pPr>
      <w:r>
        <w:rPr>
          <w:rFonts w:ascii="仿宋" w:hAnsi="仿宋" w:eastAsia="仿宋" w:cs="仿宋"/>
          <w:spacing w:val="-10"/>
          <w:sz w:val="21"/>
          <w:szCs w:val="21"/>
        </w:rPr>
        <w:t>年</w:t>
      </w:r>
      <w:r>
        <w:rPr>
          <w:rFonts w:ascii="仿宋" w:hAnsi="仿宋" w:eastAsia="仿宋" w:cs="仿宋"/>
          <w:spacing w:val="6"/>
          <w:sz w:val="21"/>
          <w:szCs w:val="21"/>
        </w:rPr>
        <w:t xml:space="preserve">   </w:t>
      </w:r>
      <w:r>
        <w:rPr>
          <w:rFonts w:ascii="仿宋" w:hAnsi="仿宋" w:eastAsia="仿宋" w:cs="仿宋"/>
          <w:spacing w:val="-10"/>
          <w:sz w:val="21"/>
          <w:szCs w:val="21"/>
        </w:rPr>
        <w:t>月</w:t>
      </w:r>
      <w:r>
        <w:rPr>
          <w:rFonts w:ascii="仿宋" w:hAnsi="仿宋" w:eastAsia="仿宋" w:cs="仿宋"/>
          <w:spacing w:val="16"/>
          <w:sz w:val="21"/>
          <w:szCs w:val="21"/>
        </w:rPr>
        <w:t xml:space="preserve">   </w:t>
      </w:r>
      <w:r>
        <w:rPr>
          <w:rFonts w:ascii="仿宋" w:hAnsi="仿宋" w:eastAsia="仿宋" w:cs="仿宋"/>
          <w:spacing w:val="-10"/>
          <w:sz w:val="21"/>
          <w:szCs w:val="21"/>
        </w:rPr>
        <w:t>日</w:t>
      </w:r>
    </w:p>
    <w:p>
      <w:pPr>
        <w:sectPr>
          <w:type w:val="continuous"/>
          <w:pgSz w:w="11905" w:h="16840"/>
          <w:pgMar w:top="1431" w:right="1548" w:bottom="1365" w:left="1548" w:header="0" w:footer="1241" w:gutter="0"/>
          <w:cols w:equalWidth="0" w:num="2">
            <w:col w:w="920" w:space="100"/>
            <w:col w:w="7789"/>
          </w:cols>
        </w:sectPr>
      </w:pPr>
    </w:p>
    <w:p>
      <w:pPr>
        <w:spacing w:line="32" w:lineRule="exact"/>
      </w:pPr>
    </w:p>
    <w:tbl>
      <w:tblPr>
        <w:tblStyle w:val="4"/>
        <w:tblW w:w="879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685"/>
        <w:gridCol w:w="1603"/>
        <w:gridCol w:w="235"/>
        <w:gridCol w:w="856"/>
        <w:gridCol w:w="464"/>
        <w:gridCol w:w="862"/>
        <w:gridCol w:w="1272"/>
        <w:gridCol w:w="14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415" w:type="dxa"/>
            <w:tcBorders>
              <w:top w:val="single" w:color="000000" w:sz="6" w:space="0"/>
              <w:left w:val="single" w:color="000000" w:sz="6" w:space="0"/>
            </w:tcBorders>
            <w:vAlign w:val="top"/>
          </w:tcPr>
          <w:p>
            <w:pPr>
              <w:spacing w:before="122" w:line="180" w:lineRule="auto"/>
              <w:ind w:firstLine="4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单位</w:t>
            </w:r>
          </w:p>
        </w:tc>
        <w:tc>
          <w:tcPr>
            <w:tcW w:w="2288" w:type="dxa"/>
            <w:gridSpan w:val="2"/>
            <w:tcBorders>
              <w:top w:val="single" w:color="000000" w:sz="6" w:space="0"/>
            </w:tcBorders>
            <w:vAlign w:val="top"/>
          </w:tcPr>
          <w:p>
            <w:pPr>
              <w:rPr>
                <w:rFonts w:ascii="Malgun Gothic"/>
                <w:sz w:val="21"/>
              </w:rPr>
            </w:pPr>
          </w:p>
        </w:tc>
        <w:tc>
          <w:tcPr>
            <w:tcW w:w="1555" w:type="dxa"/>
            <w:gridSpan w:val="3"/>
            <w:tcBorders>
              <w:top w:val="single" w:color="000000" w:sz="6" w:space="0"/>
            </w:tcBorders>
            <w:vAlign w:val="top"/>
          </w:tcPr>
          <w:p>
            <w:pPr>
              <w:spacing w:before="125" w:line="180"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经手人</w:t>
            </w:r>
          </w:p>
        </w:tc>
        <w:tc>
          <w:tcPr>
            <w:tcW w:w="3534" w:type="dxa"/>
            <w:gridSpan w:val="3"/>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2100" w:type="dxa"/>
            <w:gridSpan w:val="2"/>
            <w:tcBorders>
              <w:left w:val="single" w:color="000000" w:sz="6" w:space="0"/>
            </w:tcBorders>
            <w:vAlign w:val="top"/>
          </w:tcPr>
          <w:p>
            <w:pPr>
              <w:spacing w:before="214" w:line="193" w:lineRule="auto"/>
              <w:ind w:firstLine="62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材料名称</w:t>
            </w:r>
          </w:p>
        </w:tc>
        <w:tc>
          <w:tcPr>
            <w:tcW w:w="1838" w:type="dxa"/>
            <w:gridSpan w:val="2"/>
            <w:vAlign w:val="top"/>
          </w:tcPr>
          <w:p>
            <w:pPr>
              <w:spacing w:before="222" w:line="180" w:lineRule="auto"/>
              <w:ind w:firstLine="4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规格型号</w:t>
            </w:r>
          </w:p>
        </w:tc>
        <w:tc>
          <w:tcPr>
            <w:tcW w:w="856" w:type="dxa"/>
            <w:vAlign w:val="top"/>
          </w:tcPr>
          <w:p>
            <w:pPr>
              <w:spacing w:before="220" w:line="180" w:lineRule="auto"/>
              <w:ind w:firstLine="21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数量</w:t>
            </w:r>
          </w:p>
        </w:tc>
        <w:tc>
          <w:tcPr>
            <w:tcW w:w="1326" w:type="dxa"/>
            <w:gridSpan w:val="2"/>
            <w:vAlign w:val="top"/>
          </w:tcPr>
          <w:p>
            <w:pPr>
              <w:spacing w:before="214" w:line="193" w:lineRule="auto"/>
              <w:ind w:firstLine="2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单价(元)</w:t>
            </w:r>
          </w:p>
        </w:tc>
        <w:tc>
          <w:tcPr>
            <w:tcW w:w="1272" w:type="dxa"/>
            <w:vAlign w:val="top"/>
          </w:tcPr>
          <w:p>
            <w:pPr>
              <w:spacing w:before="214" w:line="193"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金额(元)</w:t>
            </w:r>
          </w:p>
        </w:tc>
        <w:tc>
          <w:tcPr>
            <w:tcW w:w="1400" w:type="dxa"/>
            <w:tcBorders>
              <w:right w:val="single" w:color="000000" w:sz="6" w:space="0"/>
            </w:tcBorders>
            <w:vAlign w:val="top"/>
          </w:tcPr>
          <w:p>
            <w:pPr>
              <w:spacing w:before="65" w:line="205" w:lineRule="auto"/>
              <w:ind w:left="176" w:right="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是否列入年</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度采购计划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100" w:type="dxa"/>
            <w:gridSpan w:val="2"/>
            <w:tcBorders>
              <w:left w:val="single" w:color="000000" w:sz="6" w:space="0"/>
            </w:tcBorders>
            <w:vAlign w:val="top"/>
          </w:tcPr>
          <w:p>
            <w:pPr>
              <w:rPr>
                <w:rFonts w:ascii="Malgun Gothic"/>
                <w:sz w:val="21"/>
              </w:rPr>
            </w:pPr>
          </w:p>
        </w:tc>
        <w:tc>
          <w:tcPr>
            <w:tcW w:w="1838" w:type="dxa"/>
            <w:gridSpan w:val="2"/>
            <w:vAlign w:val="top"/>
          </w:tcPr>
          <w:p>
            <w:pPr>
              <w:rPr>
                <w:rFonts w:ascii="Malgun Gothic"/>
                <w:sz w:val="21"/>
              </w:rPr>
            </w:pPr>
          </w:p>
        </w:tc>
        <w:tc>
          <w:tcPr>
            <w:tcW w:w="856" w:type="dxa"/>
            <w:vAlign w:val="top"/>
          </w:tcPr>
          <w:p>
            <w:pPr>
              <w:rPr>
                <w:rFonts w:ascii="Malgun Gothic"/>
                <w:sz w:val="21"/>
              </w:rPr>
            </w:pPr>
          </w:p>
        </w:tc>
        <w:tc>
          <w:tcPr>
            <w:tcW w:w="1326" w:type="dxa"/>
            <w:gridSpan w:val="2"/>
            <w:vAlign w:val="top"/>
          </w:tcPr>
          <w:p>
            <w:pPr>
              <w:rPr>
                <w:rFonts w:ascii="Malgun Gothic"/>
                <w:sz w:val="21"/>
              </w:rPr>
            </w:pPr>
          </w:p>
        </w:tc>
        <w:tc>
          <w:tcPr>
            <w:tcW w:w="1272" w:type="dxa"/>
            <w:vAlign w:val="top"/>
          </w:tcPr>
          <w:p>
            <w:pPr>
              <w:rPr>
                <w:rFonts w:ascii="Malgun Gothic"/>
                <w:sz w:val="21"/>
              </w:rPr>
            </w:pPr>
          </w:p>
        </w:tc>
        <w:tc>
          <w:tcPr>
            <w:tcW w:w="140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00" w:type="dxa"/>
            <w:gridSpan w:val="2"/>
            <w:tcBorders>
              <w:left w:val="single" w:color="000000" w:sz="6" w:space="0"/>
            </w:tcBorders>
            <w:vAlign w:val="top"/>
          </w:tcPr>
          <w:p>
            <w:pPr>
              <w:rPr>
                <w:rFonts w:ascii="Malgun Gothic"/>
                <w:sz w:val="21"/>
              </w:rPr>
            </w:pPr>
          </w:p>
        </w:tc>
        <w:tc>
          <w:tcPr>
            <w:tcW w:w="1838" w:type="dxa"/>
            <w:gridSpan w:val="2"/>
            <w:vAlign w:val="top"/>
          </w:tcPr>
          <w:p>
            <w:pPr>
              <w:rPr>
                <w:rFonts w:ascii="Malgun Gothic"/>
                <w:sz w:val="21"/>
              </w:rPr>
            </w:pPr>
          </w:p>
        </w:tc>
        <w:tc>
          <w:tcPr>
            <w:tcW w:w="856" w:type="dxa"/>
            <w:vAlign w:val="top"/>
          </w:tcPr>
          <w:p>
            <w:pPr>
              <w:rPr>
                <w:rFonts w:ascii="Malgun Gothic"/>
                <w:sz w:val="21"/>
              </w:rPr>
            </w:pPr>
          </w:p>
        </w:tc>
        <w:tc>
          <w:tcPr>
            <w:tcW w:w="1326" w:type="dxa"/>
            <w:gridSpan w:val="2"/>
            <w:vAlign w:val="top"/>
          </w:tcPr>
          <w:p>
            <w:pPr>
              <w:rPr>
                <w:rFonts w:ascii="Malgun Gothic"/>
                <w:sz w:val="21"/>
              </w:rPr>
            </w:pPr>
          </w:p>
        </w:tc>
        <w:tc>
          <w:tcPr>
            <w:tcW w:w="1272" w:type="dxa"/>
            <w:vAlign w:val="top"/>
          </w:tcPr>
          <w:p>
            <w:pPr>
              <w:rPr>
                <w:rFonts w:ascii="Malgun Gothic"/>
                <w:sz w:val="21"/>
              </w:rPr>
            </w:pPr>
          </w:p>
        </w:tc>
        <w:tc>
          <w:tcPr>
            <w:tcW w:w="140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100" w:type="dxa"/>
            <w:gridSpan w:val="2"/>
            <w:tcBorders>
              <w:left w:val="single" w:color="000000" w:sz="6" w:space="0"/>
            </w:tcBorders>
            <w:vAlign w:val="top"/>
          </w:tcPr>
          <w:p>
            <w:pPr>
              <w:spacing w:before="114" w:line="180" w:lineRule="auto"/>
              <w:ind w:firstLine="7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合</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计</w:t>
            </w:r>
          </w:p>
        </w:tc>
        <w:tc>
          <w:tcPr>
            <w:tcW w:w="1838" w:type="dxa"/>
            <w:gridSpan w:val="2"/>
            <w:vAlign w:val="top"/>
          </w:tcPr>
          <w:p>
            <w:pPr>
              <w:rPr>
                <w:rFonts w:ascii="Malgun Gothic"/>
                <w:sz w:val="21"/>
              </w:rPr>
            </w:pPr>
          </w:p>
        </w:tc>
        <w:tc>
          <w:tcPr>
            <w:tcW w:w="856" w:type="dxa"/>
            <w:vAlign w:val="top"/>
          </w:tcPr>
          <w:p>
            <w:pPr>
              <w:rPr>
                <w:rFonts w:ascii="Malgun Gothic"/>
                <w:sz w:val="21"/>
              </w:rPr>
            </w:pPr>
          </w:p>
        </w:tc>
        <w:tc>
          <w:tcPr>
            <w:tcW w:w="1326" w:type="dxa"/>
            <w:gridSpan w:val="2"/>
            <w:vAlign w:val="top"/>
          </w:tcPr>
          <w:p>
            <w:pPr>
              <w:rPr>
                <w:rFonts w:ascii="Malgun Gothic"/>
                <w:sz w:val="21"/>
              </w:rPr>
            </w:pPr>
          </w:p>
        </w:tc>
        <w:tc>
          <w:tcPr>
            <w:tcW w:w="1272" w:type="dxa"/>
            <w:vAlign w:val="top"/>
          </w:tcPr>
          <w:p>
            <w:pPr>
              <w:rPr>
                <w:rFonts w:ascii="Malgun Gothic"/>
                <w:sz w:val="21"/>
              </w:rPr>
            </w:pPr>
          </w:p>
        </w:tc>
        <w:tc>
          <w:tcPr>
            <w:tcW w:w="140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2" w:hRule="atLeast"/>
        </w:trPr>
        <w:tc>
          <w:tcPr>
            <w:tcW w:w="8792" w:type="dxa"/>
            <w:gridSpan w:val="9"/>
            <w:tcBorders>
              <w:left w:val="single" w:color="000000" w:sz="6" w:space="0"/>
              <w:bottom w:val="nil"/>
              <w:right w:val="single" w:color="000000" w:sz="6" w:space="0"/>
            </w:tcBorders>
            <w:vAlign w:val="top"/>
          </w:tcPr>
          <w:p>
            <w:pPr>
              <w:spacing w:before="72"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采购单位负责人意见：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8792" w:type="dxa"/>
            <w:gridSpan w:val="9"/>
            <w:tcBorders>
              <w:top w:val="nil"/>
              <w:left w:val="single" w:color="000000" w:sz="6" w:space="0"/>
              <w:right w:val="single" w:color="000000" w:sz="6" w:space="0"/>
            </w:tcBorders>
            <w:vAlign w:val="top"/>
          </w:tcPr>
          <w:p>
            <w:pPr>
              <w:spacing w:line="325" w:lineRule="auto"/>
              <w:rPr>
                <w:rFonts w:ascii="Malgun Gothic"/>
                <w:sz w:val="21"/>
              </w:rPr>
            </w:pPr>
          </w:p>
          <w:p>
            <w:pPr>
              <w:spacing w:before="75" w:line="180" w:lineRule="auto"/>
              <w:ind w:firstLine="398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年</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792" w:type="dxa"/>
            <w:gridSpan w:val="9"/>
            <w:tcBorders>
              <w:left w:val="single" w:color="000000" w:sz="6" w:space="0"/>
              <w:bottom w:val="nil"/>
              <w:right w:val="single" w:color="000000" w:sz="6" w:space="0"/>
            </w:tcBorders>
            <w:vAlign w:val="top"/>
          </w:tcPr>
          <w:p>
            <w:pPr>
              <w:spacing w:before="74"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主管部门意见：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0" w:hRule="atLeast"/>
        </w:trPr>
        <w:tc>
          <w:tcPr>
            <w:tcW w:w="8792" w:type="dxa"/>
            <w:gridSpan w:val="9"/>
            <w:tcBorders>
              <w:top w:val="nil"/>
              <w:left w:val="single" w:color="000000" w:sz="6" w:space="0"/>
              <w:right w:val="single" w:color="000000" w:sz="6" w:space="0"/>
            </w:tcBorders>
            <w:vAlign w:val="top"/>
          </w:tcPr>
          <w:p>
            <w:pPr>
              <w:spacing w:line="277" w:lineRule="auto"/>
              <w:rPr>
                <w:rFonts w:ascii="Malgun Gothic"/>
                <w:sz w:val="21"/>
              </w:rPr>
            </w:pPr>
          </w:p>
          <w:p>
            <w:pPr>
              <w:spacing w:before="75" w:line="193"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年</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8792" w:type="dxa"/>
            <w:gridSpan w:val="9"/>
            <w:tcBorders>
              <w:left w:val="single" w:color="000000" w:sz="6" w:space="0"/>
              <w:bottom w:val="nil"/>
              <w:right w:val="single" w:color="000000" w:sz="6" w:space="0"/>
            </w:tcBorders>
            <w:vAlign w:val="top"/>
          </w:tcPr>
          <w:p>
            <w:pPr>
              <w:spacing w:before="75"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审计处事前审计意见：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8792" w:type="dxa"/>
            <w:gridSpan w:val="9"/>
            <w:tcBorders>
              <w:top w:val="nil"/>
              <w:left w:val="single" w:color="000000" w:sz="6" w:space="0"/>
              <w:right w:val="single" w:color="000000" w:sz="6" w:space="0"/>
            </w:tcBorders>
            <w:vAlign w:val="top"/>
          </w:tcPr>
          <w:p>
            <w:pPr>
              <w:spacing w:line="302" w:lineRule="auto"/>
              <w:rPr>
                <w:rFonts w:ascii="Malgun Gothic"/>
                <w:sz w:val="21"/>
              </w:rPr>
            </w:pPr>
          </w:p>
          <w:p>
            <w:pPr>
              <w:spacing w:before="75" w:line="193"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年</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792" w:type="dxa"/>
            <w:gridSpan w:val="9"/>
            <w:tcBorders>
              <w:left w:val="single" w:color="000000" w:sz="6" w:space="0"/>
              <w:bottom w:val="nil"/>
              <w:right w:val="single" w:color="000000" w:sz="6" w:space="0"/>
            </w:tcBorders>
            <w:vAlign w:val="top"/>
          </w:tcPr>
          <w:p>
            <w:pPr>
              <w:spacing w:before="76"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主管部门验收意见：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8792" w:type="dxa"/>
            <w:gridSpan w:val="9"/>
            <w:tcBorders>
              <w:top w:val="nil"/>
              <w:left w:val="single" w:color="000000" w:sz="6" w:space="0"/>
              <w:right w:val="single" w:color="000000" w:sz="6" w:space="0"/>
            </w:tcBorders>
            <w:vAlign w:val="top"/>
          </w:tcPr>
          <w:p>
            <w:pPr>
              <w:spacing w:line="327" w:lineRule="auto"/>
              <w:rPr>
                <w:rFonts w:ascii="Malgun Gothic"/>
                <w:sz w:val="21"/>
              </w:rPr>
            </w:pPr>
          </w:p>
          <w:p>
            <w:pPr>
              <w:spacing w:before="74" w:line="193"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年</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8792" w:type="dxa"/>
            <w:gridSpan w:val="9"/>
            <w:tcBorders>
              <w:left w:val="single" w:color="000000" w:sz="6" w:space="0"/>
              <w:bottom w:val="nil"/>
              <w:right w:val="single" w:color="000000" w:sz="6" w:space="0"/>
            </w:tcBorders>
            <w:vAlign w:val="top"/>
          </w:tcPr>
          <w:p>
            <w:pPr>
              <w:spacing w:before="78"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审计处事后审计意见：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8792" w:type="dxa"/>
            <w:gridSpan w:val="9"/>
            <w:tcBorders>
              <w:top w:val="nil"/>
              <w:left w:val="single" w:color="000000" w:sz="6" w:space="0"/>
              <w:bottom w:val="single" w:color="000000" w:sz="6" w:space="0"/>
              <w:right w:val="single" w:color="000000" w:sz="6" w:space="0"/>
            </w:tcBorders>
            <w:vAlign w:val="top"/>
          </w:tcPr>
          <w:p>
            <w:pPr>
              <w:spacing w:line="283" w:lineRule="auto"/>
              <w:rPr>
                <w:rFonts w:ascii="Malgun Gothic"/>
                <w:sz w:val="21"/>
              </w:rPr>
            </w:pPr>
          </w:p>
          <w:p>
            <w:pPr>
              <w:spacing w:before="75" w:line="193"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年</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日</w:t>
            </w:r>
          </w:p>
        </w:tc>
      </w:tr>
    </w:tbl>
    <w:p>
      <w:pPr>
        <w:spacing w:before="43" w:line="180" w:lineRule="auto"/>
        <w:ind w:firstLine="39"/>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说明：</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7"/>
          <w:sz w:val="21"/>
          <w:szCs w:val="21"/>
        </w:rPr>
        <w:t>1、采购单位于审计处事后审计后将此表送交学校财务处报账。</w:t>
      </w:r>
    </w:p>
    <w:p>
      <w:pPr>
        <w:spacing w:before="84" w:line="193" w:lineRule="auto"/>
        <w:ind w:firstLine="6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2、对未列入年度采购计划的实验材料购置需另附说明。</w:t>
      </w:r>
    </w:p>
    <w:p>
      <w:pPr>
        <w:sectPr>
          <w:type w:val="continuous"/>
          <w:pgSz w:w="11905" w:h="16840"/>
          <w:pgMar w:top="1431" w:right="1548" w:bottom="1365" w:left="1548" w:header="0" w:footer="1241" w:gutter="0"/>
          <w:cols w:equalWidth="0" w:num="1">
            <w:col w:w="8808"/>
          </w:cols>
        </w:sectPr>
      </w:pPr>
    </w:p>
    <w:p>
      <w:pPr>
        <w:spacing w:before="349" w:line="180" w:lineRule="auto"/>
        <w:ind w:firstLine="248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吉首大学实验教学工作规范</w:t>
      </w:r>
    </w:p>
    <w:p>
      <w:pPr>
        <w:spacing w:before="110" w:line="184" w:lineRule="auto"/>
        <w:ind w:firstLine="3164"/>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10</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80" w:lineRule="auto"/>
        <w:rPr>
          <w:rFonts w:ascii="Malgun Gothic"/>
          <w:sz w:val="21"/>
        </w:rPr>
      </w:pPr>
    </w:p>
    <w:p>
      <w:pPr>
        <w:spacing w:before="87"/>
        <w:ind w:left="35" w:right="97"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为提高我校实验教学工作水平，保证实验教学质量，根据《吉首大学本科实验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教学管理办法》，特制定本规范。</w:t>
      </w:r>
    </w:p>
    <w:p>
      <w:pPr>
        <w:spacing w:before="204"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一、课前准备</w:t>
      </w:r>
    </w:p>
    <w:p>
      <w:pPr>
        <w:spacing w:before="146" w:line="314" w:lineRule="auto"/>
        <w:ind w:left="34" w:right="93"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1、备课。教师应按照实验教学大纲要求，</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研究实验教材或实验指导书，</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认真撰</w:t>
      </w:r>
      <w:r>
        <w:rPr>
          <w:rFonts w:ascii="方正书宋简体" w:hAnsi="方正书宋简体" w:eastAsia="方正书宋简体" w:cs="方正书宋简体"/>
          <w:spacing w:val="1"/>
          <w:sz w:val="24"/>
          <w:szCs w:val="24"/>
        </w:rPr>
        <w:t xml:space="preserve"> 写实验教案。教案的内容一般应包括实验目的与要求、实验原理、实验操作步骤、</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结果处理、安全注意事项等需向学生讲解的内容，以及课后思考题等。教师应认真</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执行教学大纲的规定，不得随意删减实验项目中的内容或降低对学生的要求。</w:t>
      </w:r>
    </w:p>
    <w:p>
      <w:pPr>
        <w:spacing w:before="13" w:line="264" w:lineRule="auto"/>
        <w:ind w:left="34" w:right="9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2、预备实验。每次课前，</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w w:val="98"/>
          <w:sz w:val="24"/>
          <w:szCs w:val="24"/>
        </w:rPr>
        <w:t>教师应进行预备实验，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8"/>
          <w:sz w:val="24"/>
          <w:szCs w:val="24"/>
        </w:rPr>
        <w:t>了解实验仪器设备的状况，</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得可靠数据，发现可能存在的问题并找到解决的办法，认真撰写预备实验报告，以</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正确指导学生实验。</w:t>
      </w:r>
    </w:p>
    <w:p>
      <w:pPr>
        <w:spacing w:before="215" w:line="254" w:lineRule="auto"/>
        <w:ind w:left="35" w:right="96"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3、器材和安全检查。每次实验课，</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2"/>
          <w:sz w:val="24"/>
          <w:szCs w:val="24"/>
        </w:rPr>
        <w:t>教师应提前</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2"/>
          <w:sz w:val="24"/>
          <w:szCs w:val="24"/>
        </w:rPr>
        <w:t>10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2"/>
          <w:sz w:val="24"/>
          <w:szCs w:val="24"/>
        </w:rPr>
        <w:t>分钟进入实验室，</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sz w:val="24"/>
          <w:szCs w:val="24"/>
        </w:rPr>
        <w:t>检查实验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器材是否完备，安全设施是否完好，配合实验室管理人员做好课前的准备工作。</w:t>
      </w:r>
    </w:p>
    <w:p>
      <w:pPr>
        <w:spacing w:before="166"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二、课堂指导</w:t>
      </w:r>
    </w:p>
    <w:p>
      <w:pPr>
        <w:spacing w:before="153" w:line="239" w:lineRule="auto"/>
        <w:ind w:left="36" w:right="95"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1、预习检查。教师应首先检查学生预习情况并做好记录，</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对预习检查不合格的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学生，应要求其重新预习，合格后方能参加实验。</w:t>
      </w:r>
    </w:p>
    <w:p>
      <w:pPr>
        <w:spacing w:before="214"/>
        <w:ind w:left="3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2、内容讲解。教师应对实验目的与要求、实验原理、实验操作步骤、结果处理、</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2"/>
          <w:sz w:val="24"/>
          <w:szCs w:val="24"/>
        </w:rPr>
        <w:t>安全注意事项等内容进行认真讲解。</w:t>
      </w:r>
    </w:p>
    <w:p>
      <w:pPr>
        <w:spacing w:before="214" w:line="312" w:lineRule="auto"/>
        <w:ind w:left="33" w:right="95"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3、巡回指导。教师应巡回指导学生实验，</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sz w:val="24"/>
          <w:szCs w:val="24"/>
        </w:rPr>
        <w:t>耐心解答学生提问，</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指点学生掌握技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术要领，必要时应给予准确示范。引导学生正确观察和记录实验现象，形成严谨、</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务实的科学态度，启发和鼓励学生的创新思维，培养学生实验兴趣。</w:t>
      </w:r>
    </w:p>
    <w:p>
      <w:pPr>
        <w:spacing w:before="20" w:line="310" w:lineRule="auto"/>
        <w:ind w:left="34" w:right="93"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4、作业布置、记录登记和检查。实验结束时，</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教师应对学生布置课后作业，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明</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确实验报告要求；督促学生做好实验器材使用登记、现场整理和实验器材上缴等事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项并进行检查，若发现缺损，应按实验室管理有关规章制度处理；检查学生实验原</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始记录，合格者教师签字后，方得离开实验室，不合格者应视情况予以处理；填好</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5"/>
          <w:sz w:val="24"/>
          <w:szCs w:val="24"/>
        </w:rPr>
        <w:t>实验教学日志。</w:t>
      </w:r>
    </w:p>
    <w:p>
      <w:pPr>
        <w:spacing w:before="22" w:line="19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三、实验报告批改及成绩评定</w:t>
      </w:r>
    </w:p>
    <w:p>
      <w:pPr>
        <w:spacing w:before="137"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1、教师应及时批改实验报告，</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一般情况应在学生下次实验课前批改完并发放给</w:t>
      </w:r>
    </w:p>
    <w:p>
      <w:pPr>
        <w:sectPr>
          <w:footerReference r:id="rId208" w:type="default"/>
          <w:pgSz w:w="11905" w:h="16840"/>
          <w:pgMar w:top="1431" w:right="1491" w:bottom="1365" w:left="1557" w:header="0" w:footer="1241" w:gutter="0"/>
          <w:cols w:space="720" w:num="1"/>
        </w:sectPr>
      </w:pPr>
    </w:p>
    <w:p>
      <w:pPr>
        <w:spacing w:before="432" w:line="180" w:lineRule="auto"/>
        <w:ind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学生。</w:t>
      </w:r>
    </w:p>
    <w:p>
      <w:pPr>
        <w:spacing w:before="188" w:line="315"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2、教师应用红笔认真批改学生的实验报告，</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对实验报告中的错误或有疑问之处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应写出有针对性的简短批语，每次实验报告应根据完成情况和质量评定成绩，并有</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批阅时间和教师完整的签名，批改字迹应使学生一目了然。一般情况下，教师应对</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学生实验报告进行全批全改。</w:t>
      </w:r>
    </w:p>
    <w:p>
      <w:pPr>
        <w:spacing w:before="1" w:line="201"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3、对未交实验报告的学生，应要求其补交，并认真批改。</w:t>
      </w:r>
    </w:p>
    <w:p>
      <w:pPr>
        <w:spacing w:before="162"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4、每学期课程结束后，应将学生的实验报告收齐、整理，交学院存档。</w:t>
      </w:r>
    </w:p>
    <w:p>
      <w:pPr>
        <w:sectPr>
          <w:footerReference r:id="rId209" w:type="default"/>
          <w:pgSz w:w="11905" w:h="16840"/>
          <w:pgMar w:top="1431" w:right="1585" w:bottom="1365" w:left="1591" w:header="0" w:footer="1241" w:gutter="0"/>
          <w:cols w:space="720" w:num="1"/>
        </w:sectPr>
      </w:pPr>
    </w:p>
    <w:p>
      <w:pPr>
        <w:spacing w:before="349" w:line="180" w:lineRule="auto"/>
        <w:ind w:firstLine="54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吉首大学实验室人员劳保补贴及劳保用品发放暂行办法</w:t>
      </w:r>
    </w:p>
    <w:p>
      <w:pPr>
        <w:spacing w:line="313" w:lineRule="auto"/>
        <w:rPr>
          <w:rFonts w:ascii="Malgun Gothic"/>
          <w:sz w:val="21"/>
        </w:rPr>
      </w:pPr>
    </w:p>
    <w:p>
      <w:pPr>
        <w:spacing w:before="85" w:line="313" w:lineRule="auto"/>
        <w:ind w:left="15" w:right="9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为了保障实验室工作人员的身心健康，使其更好地为教学、科研工作服务，根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据国家教委《高等学校从事有害健康工种人员营养保健等级及标准的暂行规定》（国</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
          <w:sz w:val="24"/>
          <w:szCs w:val="24"/>
        </w:rPr>
        <w:t>家教委[1988]教备局字</w:t>
      </w:r>
      <w:r>
        <w:rPr>
          <w:rFonts w:ascii="方正书宋简体" w:hAnsi="方正书宋简体" w:eastAsia="方正书宋简体" w:cs="方正书宋简体"/>
          <w:spacing w:val="64"/>
          <w:w w:val="101"/>
          <w:sz w:val="24"/>
          <w:szCs w:val="24"/>
        </w:rPr>
        <w:t xml:space="preserve"> </w:t>
      </w:r>
      <w:r>
        <w:rPr>
          <w:rFonts w:ascii="方正书宋简体" w:hAnsi="方正书宋简体" w:eastAsia="方正书宋简体" w:cs="方正书宋简体"/>
          <w:spacing w:val="-1"/>
          <w:sz w:val="24"/>
          <w:szCs w:val="24"/>
        </w:rPr>
        <w:t>008</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1"/>
          <w:sz w:val="24"/>
          <w:szCs w:val="24"/>
        </w:rPr>
        <w:t>号）和《吉首大学关于印发&lt;吉首大学劳保补贴劳保防护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w w:val="98"/>
          <w:sz w:val="24"/>
          <w:szCs w:val="24"/>
        </w:rPr>
        <w:t>用品发放管理办法&gt;的通知》（校发[2001]47</w:t>
      </w:r>
      <w:r>
        <w:rPr>
          <w:rFonts w:ascii="方正书宋简体" w:hAnsi="方正书宋简体" w:eastAsia="方正书宋简体" w:cs="方正书宋简体"/>
          <w:spacing w:val="65"/>
          <w:w w:val="101"/>
          <w:sz w:val="24"/>
          <w:szCs w:val="24"/>
        </w:rPr>
        <w:t xml:space="preserve"> </w:t>
      </w:r>
      <w:r>
        <w:rPr>
          <w:rFonts w:ascii="方正书宋简体" w:hAnsi="方正书宋简体" w:eastAsia="方正书宋简体" w:cs="方正书宋简体"/>
          <w:spacing w:val="-6"/>
          <w:w w:val="98"/>
          <w:sz w:val="24"/>
          <w:szCs w:val="24"/>
        </w:rPr>
        <w:t>号）文件精神，</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w w:val="98"/>
          <w:sz w:val="24"/>
          <w:szCs w:val="24"/>
        </w:rPr>
        <w:t>结合我校实验室工作的实</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际和目前市场价格情况，特制订本暂行办法。</w:t>
      </w:r>
    </w:p>
    <w:p>
      <w:pPr>
        <w:spacing w:before="8" w:line="199"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一、发放范围</w:t>
      </w:r>
    </w:p>
    <w:p>
      <w:pPr>
        <w:spacing w:before="118" w:line="238" w:lineRule="auto"/>
        <w:ind w:left="18" w:right="9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劳保补贴及用品的发放范围是学校在职在岗的实验室工作人员，包括专职实验</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室人员和本年度从事实验教学的教师。</w:t>
      </w:r>
    </w:p>
    <w:p>
      <w:pPr>
        <w:spacing w:before="207" w:line="180" w:lineRule="auto"/>
        <w:ind w:firstLine="50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二、发放等级和标准</w:t>
      </w:r>
    </w:p>
    <w:p>
      <w:pPr>
        <w:spacing w:before="153" w:line="180" w:lineRule="auto"/>
        <w:ind w:firstLine="51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1、劳保补贴</w:t>
      </w:r>
    </w:p>
    <w:p>
      <w:pPr>
        <w:spacing w:before="193" w:line="296" w:lineRule="auto"/>
        <w:ind w:left="13"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（1）专职实验室工作人员及实验教学教师享受实验教学劳保补贴。劳保补贴根</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据接触有毒有害药品的类别实行分类发放。发放等级分为四类：接触甲醛、尸体时</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间超过实验室工作时间</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
          <w:sz w:val="24"/>
          <w:szCs w:val="24"/>
        </w:rPr>
        <w:t>50%以上的为第一类，接触甲苯、二甲苯时间超过实验室工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z w:val="24"/>
          <w:szCs w:val="24"/>
        </w:rPr>
        <w:t>作时间</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z w:val="24"/>
          <w:szCs w:val="24"/>
        </w:rPr>
        <w:t>50%以上的为第二类，接触有毒有害化学药品、实验动物时间超过实验室工  作时间</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z w:val="24"/>
          <w:szCs w:val="24"/>
        </w:rPr>
        <w:t xml:space="preserve">50%以上的为第三类，其余均为第四类。同时，为调动广大实验室工作人员  </w:t>
      </w:r>
      <w:r>
        <w:rPr>
          <w:rFonts w:ascii="方正书宋简体" w:hAnsi="方正书宋简体" w:eastAsia="方正书宋简体" w:cs="方正书宋简体"/>
          <w:spacing w:val="-3"/>
          <w:sz w:val="24"/>
          <w:szCs w:val="24"/>
        </w:rPr>
        <w:t>的积极性，在分配上向专职实验室人员倾斜，</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第三类、第四类中分两个等级，专职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实验室人员为甲等，</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1"/>
          <w:sz w:val="24"/>
          <w:szCs w:val="24"/>
        </w:rPr>
        <w:t>从事实验教学的教师为乙等（医学院第三类按第三类甲等发放）。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各类标准如下：</w:t>
      </w:r>
    </w:p>
    <w:p>
      <w:pPr>
        <w:spacing w:line="63"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4"/>
        <w:gridCol w:w="2905"/>
        <w:gridCol w:w="2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2914" w:type="dxa"/>
            <w:tcBorders>
              <w:top w:val="single" w:color="000000" w:sz="6" w:space="0"/>
              <w:left w:val="single" w:color="000000" w:sz="6" w:space="0"/>
            </w:tcBorders>
            <w:vAlign w:val="top"/>
          </w:tcPr>
          <w:p>
            <w:pPr>
              <w:spacing w:before="105" w:line="180" w:lineRule="auto"/>
              <w:ind w:firstLine="108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类</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别</w:t>
            </w:r>
          </w:p>
        </w:tc>
        <w:tc>
          <w:tcPr>
            <w:tcW w:w="2905" w:type="dxa"/>
            <w:tcBorders>
              <w:top w:val="single" w:color="000000" w:sz="6" w:space="0"/>
            </w:tcBorders>
            <w:vAlign w:val="top"/>
          </w:tcPr>
          <w:p>
            <w:pPr>
              <w:spacing w:before="105" w:line="180" w:lineRule="auto"/>
              <w:ind w:firstLine="108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等</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4"/>
                <w:sz w:val="21"/>
                <w:szCs w:val="21"/>
              </w:rPr>
              <w:t>级</w:t>
            </w:r>
          </w:p>
        </w:tc>
        <w:tc>
          <w:tcPr>
            <w:tcW w:w="2915" w:type="dxa"/>
            <w:tcBorders>
              <w:top w:val="single" w:color="000000" w:sz="6" w:space="0"/>
              <w:right w:val="single" w:color="000000" w:sz="6" w:space="0"/>
            </w:tcBorders>
            <w:vAlign w:val="top"/>
          </w:tcPr>
          <w:p>
            <w:pPr>
              <w:spacing w:before="101" w:line="193" w:lineRule="auto"/>
              <w:ind w:firstLine="6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标</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
                <w:sz w:val="21"/>
                <w:szCs w:val="21"/>
              </w:rPr>
              <w:t>准（元/月）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914" w:type="dxa"/>
            <w:tcBorders>
              <w:left w:val="single" w:color="000000" w:sz="6" w:space="0"/>
            </w:tcBorders>
            <w:vAlign w:val="top"/>
          </w:tcPr>
          <w:p>
            <w:pPr>
              <w:spacing w:before="96" w:line="180" w:lineRule="auto"/>
              <w:ind w:firstLine="1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第一类</w:t>
            </w:r>
          </w:p>
        </w:tc>
        <w:tc>
          <w:tcPr>
            <w:tcW w:w="2905" w:type="dxa"/>
            <w:vAlign w:val="top"/>
          </w:tcPr>
          <w:p>
            <w:pPr>
              <w:rPr>
                <w:rFonts w:ascii="Malgun Gothic"/>
                <w:sz w:val="21"/>
              </w:rPr>
            </w:pPr>
          </w:p>
        </w:tc>
        <w:tc>
          <w:tcPr>
            <w:tcW w:w="2915" w:type="dxa"/>
            <w:tcBorders>
              <w:right w:val="single" w:color="000000" w:sz="6" w:space="0"/>
            </w:tcBorders>
            <w:vAlign w:val="top"/>
          </w:tcPr>
          <w:p>
            <w:pPr>
              <w:spacing w:before="128" w:line="180" w:lineRule="auto"/>
              <w:ind w:firstLine="135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2914" w:type="dxa"/>
            <w:tcBorders>
              <w:left w:val="single" w:color="000000" w:sz="6" w:space="0"/>
            </w:tcBorders>
            <w:vAlign w:val="top"/>
          </w:tcPr>
          <w:p>
            <w:pPr>
              <w:spacing w:before="99" w:line="180" w:lineRule="auto"/>
              <w:ind w:firstLine="1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第二类</w:t>
            </w:r>
          </w:p>
        </w:tc>
        <w:tc>
          <w:tcPr>
            <w:tcW w:w="2905" w:type="dxa"/>
            <w:vAlign w:val="top"/>
          </w:tcPr>
          <w:p>
            <w:pPr>
              <w:rPr>
                <w:rFonts w:ascii="Malgun Gothic"/>
                <w:sz w:val="21"/>
              </w:rPr>
            </w:pPr>
          </w:p>
        </w:tc>
        <w:tc>
          <w:tcPr>
            <w:tcW w:w="2915" w:type="dxa"/>
            <w:tcBorders>
              <w:right w:val="single" w:color="000000" w:sz="6" w:space="0"/>
            </w:tcBorders>
            <w:vAlign w:val="top"/>
          </w:tcPr>
          <w:p>
            <w:pPr>
              <w:spacing w:before="132" w:line="180" w:lineRule="auto"/>
              <w:ind w:firstLine="135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914" w:type="dxa"/>
            <w:vMerge w:val="restart"/>
            <w:tcBorders>
              <w:left w:val="single" w:color="000000" w:sz="6" w:space="0"/>
              <w:bottom w:val="nil"/>
            </w:tcBorders>
            <w:vAlign w:val="top"/>
          </w:tcPr>
          <w:p>
            <w:pPr>
              <w:spacing w:before="319" w:line="180" w:lineRule="auto"/>
              <w:ind w:firstLine="1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第三类</w:t>
            </w:r>
          </w:p>
        </w:tc>
        <w:tc>
          <w:tcPr>
            <w:tcW w:w="2905" w:type="dxa"/>
            <w:vAlign w:val="top"/>
          </w:tcPr>
          <w:p>
            <w:pPr>
              <w:spacing w:before="103" w:line="180" w:lineRule="auto"/>
              <w:ind w:firstLine="1266"/>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甲等</w:t>
            </w:r>
          </w:p>
        </w:tc>
        <w:tc>
          <w:tcPr>
            <w:tcW w:w="2915" w:type="dxa"/>
            <w:tcBorders>
              <w:right w:val="single" w:color="000000" w:sz="6" w:space="0"/>
            </w:tcBorders>
            <w:vAlign w:val="top"/>
          </w:tcPr>
          <w:p>
            <w:pPr>
              <w:spacing w:before="137" w:line="180" w:lineRule="auto"/>
              <w:ind w:firstLine="13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7" w:hRule="atLeast"/>
        </w:trPr>
        <w:tc>
          <w:tcPr>
            <w:tcW w:w="2914" w:type="dxa"/>
            <w:vMerge w:val="continue"/>
            <w:tcBorders>
              <w:top w:val="nil"/>
              <w:left w:val="single" w:color="000000" w:sz="6" w:space="0"/>
            </w:tcBorders>
            <w:vAlign w:val="top"/>
          </w:tcPr>
          <w:p>
            <w:pPr>
              <w:rPr>
                <w:rFonts w:ascii="Malgun Gothic"/>
                <w:sz w:val="21"/>
              </w:rPr>
            </w:pPr>
          </w:p>
        </w:tc>
        <w:tc>
          <w:tcPr>
            <w:tcW w:w="2905" w:type="dxa"/>
            <w:vAlign w:val="top"/>
          </w:tcPr>
          <w:p>
            <w:pPr>
              <w:spacing w:before="107" w:line="180" w:lineRule="auto"/>
              <w:ind w:firstLine="125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乙等</w:t>
            </w:r>
          </w:p>
        </w:tc>
        <w:tc>
          <w:tcPr>
            <w:tcW w:w="2915" w:type="dxa"/>
            <w:tcBorders>
              <w:right w:val="single" w:color="000000" w:sz="6" w:space="0"/>
            </w:tcBorders>
            <w:vAlign w:val="top"/>
          </w:tcPr>
          <w:p>
            <w:pPr>
              <w:spacing w:before="140" w:line="180" w:lineRule="auto"/>
              <w:ind w:firstLine="13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2914" w:type="dxa"/>
            <w:vMerge w:val="restart"/>
            <w:tcBorders>
              <w:left w:val="single" w:color="000000" w:sz="6" w:space="0"/>
              <w:bottom w:val="nil"/>
            </w:tcBorders>
            <w:vAlign w:val="top"/>
          </w:tcPr>
          <w:p>
            <w:pPr>
              <w:spacing w:before="325" w:line="180" w:lineRule="auto"/>
              <w:ind w:firstLine="1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第四类</w:t>
            </w:r>
          </w:p>
        </w:tc>
        <w:tc>
          <w:tcPr>
            <w:tcW w:w="2905" w:type="dxa"/>
            <w:vAlign w:val="top"/>
          </w:tcPr>
          <w:p>
            <w:pPr>
              <w:spacing w:before="109" w:line="180" w:lineRule="auto"/>
              <w:ind w:firstLine="1266"/>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甲等</w:t>
            </w:r>
          </w:p>
        </w:tc>
        <w:tc>
          <w:tcPr>
            <w:tcW w:w="2915" w:type="dxa"/>
            <w:tcBorders>
              <w:right w:val="single" w:color="000000" w:sz="6" w:space="0"/>
            </w:tcBorders>
            <w:vAlign w:val="top"/>
          </w:tcPr>
          <w:p>
            <w:pPr>
              <w:spacing w:before="141" w:line="180" w:lineRule="auto"/>
              <w:ind w:firstLine="13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2914" w:type="dxa"/>
            <w:vMerge w:val="continue"/>
            <w:tcBorders>
              <w:top w:val="nil"/>
              <w:left w:val="single" w:color="000000" w:sz="6" w:space="0"/>
              <w:bottom w:val="single" w:color="000000" w:sz="6" w:space="0"/>
            </w:tcBorders>
            <w:vAlign w:val="top"/>
          </w:tcPr>
          <w:p>
            <w:pPr>
              <w:rPr>
                <w:rFonts w:ascii="Malgun Gothic"/>
                <w:sz w:val="21"/>
              </w:rPr>
            </w:pPr>
          </w:p>
        </w:tc>
        <w:tc>
          <w:tcPr>
            <w:tcW w:w="2905" w:type="dxa"/>
            <w:tcBorders>
              <w:bottom w:val="single" w:color="000000" w:sz="6" w:space="0"/>
            </w:tcBorders>
            <w:vAlign w:val="top"/>
          </w:tcPr>
          <w:p>
            <w:pPr>
              <w:spacing w:before="112" w:line="180" w:lineRule="auto"/>
              <w:ind w:firstLine="125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乙等</w:t>
            </w:r>
          </w:p>
        </w:tc>
        <w:tc>
          <w:tcPr>
            <w:tcW w:w="2915" w:type="dxa"/>
            <w:tcBorders>
              <w:bottom w:val="single" w:color="000000" w:sz="6" w:space="0"/>
              <w:right w:val="single" w:color="000000" w:sz="6" w:space="0"/>
            </w:tcBorders>
            <w:vAlign w:val="top"/>
          </w:tcPr>
          <w:p>
            <w:pPr>
              <w:spacing w:before="145" w:line="180" w:lineRule="auto"/>
              <w:ind w:firstLine="137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18</w:t>
            </w:r>
          </w:p>
        </w:tc>
      </w:tr>
    </w:tbl>
    <w:p>
      <w:pPr>
        <w:spacing w:before="159"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（2）接触时间以全年</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3"/>
          <w:sz w:val="24"/>
          <w:szCs w:val="24"/>
        </w:rPr>
        <w:t>10</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3"/>
          <w:sz w:val="24"/>
          <w:szCs w:val="24"/>
        </w:rPr>
        <w:t>个月计算，以实际在岗时间为准。</w:t>
      </w:r>
    </w:p>
    <w:p>
      <w:pPr>
        <w:spacing w:before="193"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2、劳保用品</w:t>
      </w:r>
    </w:p>
    <w:p>
      <w:pPr>
        <w:spacing w:before="192" w:line="180"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劳保用品以实物的形式进行发放，全校统一标准，其中专职实验教学人员劳保</w:t>
      </w:r>
    </w:p>
    <w:p>
      <w:pPr>
        <w:sectPr>
          <w:footerReference r:id="rId210" w:type="default"/>
          <w:pgSz w:w="11905" w:h="16840"/>
          <w:pgMar w:top="1431" w:right="1496" w:bottom="1365" w:left="1578" w:header="0" w:footer="1241" w:gutter="0"/>
          <w:cols w:space="720" w:num="1"/>
        </w:sectPr>
      </w:pPr>
    </w:p>
    <w:p>
      <w:pPr>
        <w:spacing w:before="430" w:line="180" w:lineRule="auto"/>
        <w:ind w:firstLine="1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用品发放标准为：</w:t>
      </w:r>
    </w:p>
    <w:p>
      <w:pPr>
        <w:spacing w:line="33" w:lineRule="exact"/>
      </w:pPr>
    </w:p>
    <w:tbl>
      <w:tblPr>
        <w:tblStyle w:val="4"/>
        <w:tblW w:w="87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52"/>
        <w:gridCol w:w="66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2052" w:type="dxa"/>
            <w:tcBorders>
              <w:bottom w:val="single" w:color="000000" w:sz="4" w:space="0"/>
              <w:right w:val="single" w:color="000000" w:sz="4" w:space="0"/>
            </w:tcBorders>
            <w:vAlign w:val="top"/>
          </w:tcPr>
          <w:p>
            <w:pPr>
              <w:spacing w:before="195" w:line="180" w:lineRule="auto"/>
              <w:ind w:firstLine="6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类</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别</w:t>
            </w:r>
          </w:p>
        </w:tc>
        <w:tc>
          <w:tcPr>
            <w:tcW w:w="6682" w:type="dxa"/>
            <w:tcBorders>
              <w:left w:val="single" w:color="000000" w:sz="4" w:space="0"/>
              <w:bottom w:val="single" w:color="000000" w:sz="4" w:space="0"/>
            </w:tcBorders>
            <w:vAlign w:val="top"/>
          </w:tcPr>
          <w:p>
            <w:pPr>
              <w:spacing w:before="197" w:line="180" w:lineRule="auto"/>
              <w:ind w:firstLine="2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标</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9" w:hRule="atLeast"/>
        </w:trPr>
        <w:tc>
          <w:tcPr>
            <w:tcW w:w="2052" w:type="dxa"/>
            <w:tcBorders>
              <w:top w:val="single" w:color="000000" w:sz="4" w:space="0"/>
              <w:right w:val="single" w:color="000000" w:sz="4" w:space="0"/>
            </w:tcBorders>
            <w:vAlign w:val="top"/>
          </w:tcPr>
          <w:p>
            <w:pPr>
              <w:spacing w:before="247" w:line="180" w:lineRule="auto"/>
              <w:ind w:firstLine="3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专职实验人员</w:t>
            </w:r>
          </w:p>
        </w:tc>
        <w:tc>
          <w:tcPr>
            <w:tcW w:w="6682" w:type="dxa"/>
            <w:tcBorders>
              <w:top w:val="single" w:color="000000" w:sz="4" w:space="0"/>
              <w:left w:val="single" w:color="000000" w:sz="4" w:space="0"/>
            </w:tcBorders>
            <w:vAlign w:val="top"/>
          </w:tcPr>
          <w:p>
            <w:pPr>
              <w:spacing w:before="91" w:line="252" w:lineRule="auto"/>
              <w:ind w:left="915" w:right="103" w:hanging="80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毛巾</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6"/>
                <w:sz w:val="21"/>
                <w:szCs w:val="21"/>
              </w:rPr>
              <w:t>2-4</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6"/>
                <w:sz w:val="21"/>
                <w:szCs w:val="21"/>
              </w:rPr>
              <w:t>条、护肤霜</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6"/>
                <w:sz w:val="21"/>
                <w:szCs w:val="21"/>
              </w:rPr>
              <w:t>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6"/>
                <w:sz w:val="21"/>
                <w:szCs w:val="21"/>
              </w:rPr>
              <w:t>瓶、洗发水</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6"/>
                <w:sz w:val="21"/>
                <w:szCs w:val="21"/>
              </w:rPr>
              <w:t>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6"/>
                <w:sz w:val="21"/>
                <w:szCs w:val="21"/>
              </w:rPr>
              <w:t>瓶、洗洁精</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6"/>
                <w:sz w:val="21"/>
                <w:szCs w:val="21"/>
              </w:rPr>
              <w:t>1</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6"/>
                <w:sz w:val="21"/>
                <w:szCs w:val="21"/>
              </w:rPr>
              <w:t>瓶、洗手液</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6"/>
                <w:sz w:val="21"/>
                <w:szCs w:val="21"/>
              </w:rPr>
              <w:t>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6"/>
                <w:sz w:val="21"/>
                <w:szCs w:val="21"/>
              </w:rPr>
              <w:t>瓶、护</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手霜</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3"/>
                <w:sz w:val="21"/>
                <w:szCs w:val="21"/>
              </w:rPr>
              <w:t>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3"/>
                <w:sz w:val="21"/>
                <w:szCs w:val="21"/>
              </w:rPr>
              <w:t>支、洗衣液</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3"/>
                <w:sz w:val="21"/>
                <w:szCs w:val="21"/>
              </w:rPr>
              <w:t>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3"/>
                <w:sz w:val="21"/>
                <w:szCs w:val="21"/>
              </w:rPr>
              <w:t>瓶、洗衣粉</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3"/>
                <w:sz w:val="21"/>
                <w:szCs w:val="21"/>
              </w:rPr>
              <w:t>5-7</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3"/>
                <w:sz w:val="21"/>
                <w:szCs w:val="21"/>
              </w:rPr>
              <w:t>斤、牙膏</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3"/>
                <w:sz w:val="21"/>
                <w:szCs w:val="21"/>
              </w:rPr>
              <w:t>4-6</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支</w:t>
            </w:r>
          </w:p>
        </w:tc>
      </w:tr>
    </w:tbl>
    <w:p>
      <w:pPr>
        <w:spacing w:before="157" w:line="180"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实验室公共卫生用品发放实物，统一按一个标准发放。其标准为：</w:t>
      </w:r>
    </w:p>
    <w:p>
      <w:pPr>
        <w:spacing w:line="36" w:lineRule="exact"/>
      </w:pPr>
    </w:p>
    <w:tbl>
      <w:tblPr>
        <w:tblStyle w:val="4"/>
        <w:tblW w:w="873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52"/>
        <w:gridCol w:w="66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2052" w:type="dxa"/>
            <w:tcBorders>
              <w:bottom w:val="single" w:color="000000" w:sz="4" w:space="0"/>
              <w:right w:val="single" w:color="000000" w:sz="4" w:space="0"/>
            </w:tcBorders>
            <w:vAlign w:val="top"/>
          </w:tcPr>
          <w:p>
            <w:pPr>
              <w:spacing w:before="195" w:line="180" w:lineRule="auto"/>
              <w:ind w:firstLine="6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类</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别</w:t>
            </w:r>
          </w:p>
        </w:tc>
        <w:tc>
          <w:tcPr>
            <w:tcW w:w="6682" w:type="dxa"/>
            <w:tcBorders>
              <w:left w:val="single" w:color="000000" w:sz="4" w:space="0"/>
              <w:bottom w:val="single" w:color="000000" w:sz="4" w:space="0"/>
            </w:tcBorders>
            <w:vAlign w:val="top"/>
          </w:tcPr>
          <w:p>
            <w:pPr>
              <w:spacing w:before="197" w:line="180" w:lineRule="auto"/>
              <w:ind w:firstLine="2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标</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atLeast"/>
        </w:trPr>
        <w:tc>
          <w:tcPr>
            <w:tcW w:w="2052" w:type="dxa"/>
            <w:tcBorders>
              <w:top w:val="single" w:color="000000" w:sz="4" w:space="0"/>
              <w:right w:val="single" w:color="000000" w:sz="4" w:space="0"/>
            </w:tcBorders>
            <w:vAlign w:val="top"/>
          </w:tcPr>
          <w:p>
            <w:pPr>
              <w:spacing w:before="176" w:line="180" w:lineRule="auto"/>
              <w:ind w:firstLine="7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实验室</w:t>
            </w:r>
          </w:p>
        </w:tc>
        <w:tc>
          <w:tcPr>
            <w:tcW w:w="6682" w:type="dxa"/>
            <w:tcBorders>
              <w:top w:val="single" w:color="000000" w:sz="4" w:space="0"/>
              <w:left w:val="single" w:color="000000" w:sz="4" w:space="0"/>
            </w:tcBorders>
            <w:vAlign w:val="top"/>
          </w:tcPr>
          <w:p>
            <w:pPr>
              <w:spacing w:before="171" w:line="180" w:lineRule="auto"/>
              <w:ind w:firstLine="124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毛巾</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4"/>
                <w:sz w:val="21"/>
                <w:szCs w:val="21"/>
              </w:rPr>
              <w:t>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rPr>
              <w:t>条、护手霜</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4"/>
                <w:sz w:val="21"/>
                <w:szCs w:val="21"/>
              </w:rPr>
              <w:t>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rPr>
              <w:t>支、香皂</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4"/>
                <w:sz w:val="21"/>
                <w:szCs w:val="21"/>
              </w:rPr>
              <w:t>5</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4"/>
                <w:sz w:val="21"/>
                <w:szCs w:val="21"/>
              </w:rPr>
              <w:t>块、肥皂</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4"/>
                <w:sz w:val="21"/>
                <w:szCs w:val="21"/>
              </w:rPr>
              <w:t>5</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4"/>
                <w:sz w:val="21"/>
                <w:szCs w:val="21"/>
              </w:rPr>
              <w:t>块</w:t>
            </w:r>
          </w:p>
        </w:tc>
      </w:tr>
    </w:tbl>
    <w:p>
      <w:pPr>
        <w:spacing w:before="160" w:line="180" w:lineRule="auto"/>
        <w:ind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3、实验室工作服</w:t>
      </w:r>
    </w:p>
    <w:p>
      <w:pPr>
        <w:spacing w:before="191" w:line="238" w:lineRule="auto"/>
        <w:ind w:left="495" w:right="1567"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专职实验室工作人员及实验教学教师工作服按每二年发放一次。</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8"/>
          <w:sz w:val="24"/>
          <w:szCs w:val="24"/>
        </w:rPr>
        <w:t>发放标准为：</w:t>
      </w:r>
    </w:p>
    <w:p>
      <w:pPr>
        <w:spacing w:line="63"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79"/>
        <w:gridCol w:w="2619"/>
        <w:gridCol w:w="2430"/>
        <w:gridCol w:w="15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179" w:type="dxa"/>
            <w:tcBorders>
              <w:top w:val="single" w:color="000000" w:sz="6" w:space="0"/>
              <w:left w:val="single" w:color="000000" w:sz="6" w:space="0"/>
            </w:tcBorders>
            <w:vAlign w:val="top"/>
          </w:tcPr>
          <w:p>
            <w:pPr>
              <w:spacing w:before="94" w:line="180" w:lineRule="auto"/>
              <w:ind w:firstLine="66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发放单位</w:t>
            </w:r>
          </w:p>
        </w:tc>
        <w:tc>
          <w:tcPr>
            <w:tcW w:w="2619" w:type="dxa"/>
            <w:tcBorders>
              <w:top w:val="single" w:color="000000" w:sz="6" w:space="0"/>
            </w:tcBorders>
            <w:vAlign w:val="top"/>
          </w:tcPr>
          <w:p>
            <w:pPr>
              <w:spacing w:before="95" w:line="180" w:lineRule="auto"/>
              <w:ind w:firstLine="88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发放名称</w:t>
            </w:r>
          </w:p>
        </w:tc>
        <w:tc>
          <w:tcPr>
            <w:tcW w:w="2430" w:type="dxa"/>
            <w:tcBorders>
              <w:top w:val="single" w:color="000000" w:sz="6" w:space="0"/>
            </w:tcBorders>
            <w:vAlign w:val="top"/>
          </w:tcPr>
          <w:p>
            <w:pPr>
              <w:spacing w:before="97" w:line="180" w:lineRule="auto"/>
              <w:ind w:firstLine="7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规格型号</w:t>
            </w:r>
          </w:p>
        </w:tc>
        <w:tc>
          <w:tcPr>
            <w:tcW w:w="1506" w:type="dxa"/>
            <w:tcBorders>
              <w:top w:val="single" w:color="000000" w:sz="6" w:space="0"/>
              <w:right w:val="single" w:color="000000" w:sz="6" w:space="0"/>
            </w:tcBorders>
            <w:vAlign w:val="top"/>
          </w:tcPr>
          <w:p>
            <w:pPr>
              <w:spacing w:before="95" w:line="180" w:lineRule="auto"/>
              <w:ind w:firstLine="49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数</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3"/>
                <w:sz w:val="21"/>
                <w:szCs w:val="21"/>
              </w:rPr>
              <w:t>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1" w:hRule="atLeast"/>
        </w:trPr>
        <w:tc>
          <w:tcPr>
            <w:tcW w:w="2179" w:type="dxa"/>
            <w:tcBorders>
              <w:left w:val="single" w:color="000000" w:sz="6" w:space="0"/>
            </w:tcBorders>
            <w:vAlign w:val="top"/>
          </w:tcPr>
          <w:p>
            <w:pPr>
              <w:spacing w:before="269" w:line="180" w:lineRule="auto"/>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各教学单位</w:t>
            </w:r>
          </w:p>
        </w:tc>
        <w:tc>
          <w:tcPr>
            <w:tcW w:w="2619" w:type="dxa"/>
            <w:vAlign w:val="top"/>
          </w:tcPr>
          <w:p>
            <w:pPr>
              <w:spacing w:before="269" w:line="180" w:lineRule="auto"/>
              <w:ind w:firstLine="8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长工作服</w:t>
            </w:r>
          </w:p>
        </w:tc>
        <w:tc>
          <w:tcPr>
            <w:tcW w:w="2430" w:type="dxa"/>
            <w:vAlign w:val="top"/>
          </w:tcPr>
          <w:p>
            <w:pPr>
              <w:spacing w:before="90" w:line="361" w:lineRule="exact"/>
              <w:ind w:firstLine="7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夏季短袖</w:t>
            </w:r>
          </w:p>
          <w:p>
            <w:pPr>
              <w:spacing w:line="204" w:lineRule="auto"/>
              <w:ind w:firstLine="7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冬季长袖</w:t>
            </w:r>
          </w:p>
        </w:tc>
        <w:tc>
          <w:tcPr>
            <w:tcW w:w="1506" w:type="dxa"/>
            <w:tcBorders>
              <w:right w:val="single" w:color="000000" w:sz="6" w:space="0"/>
            </w:tcBorders>
            <w:vAlign w:val="top"/>
          </w:tcPr>
          <w:p>
            <w:pPr>
              <w:spacing w:before="269"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各</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0"/>
                <w:sz w:val="21"/>
                <w:szCs w:val="21"/>
              </w:rPr>
              <w:t>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0"/>
                <w:sz w:val="21"/>
                <w:szCs w:val="21"/>
              </w:rPr>
              <w:t>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79" w:type="dxa"/>
            <w:vMerge w:val="restart"/>
            <w:tcBorders>
              <w:left w:val="single" w:color="000000" w:sz="6" w:space="0"/>
              <w:bottom w:val="nil"/>
            </w:tcBorders>
            <w:vAlign w:val="top"/>
          </w:tcPr>
          <w:p>
            <w:pPr>
              <w:spacing w:line="308" w:lineRule="auto"/>
              <w:rPr>
                <w:rFonts w:ascii="Malgun Gothic"/>
                <w:sz w:val="21"/>
              </w:rPr>
            </w:pPr>
          </w:p>
          <w:p>
            <w:pPr>
              <w:spacing w:before="76" w:line="362" w:lineRule="exact"/>
              <w:ind w:firstLine="57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position w:val="12"/>
                <w:sz w:val="21"/>
                <w:szCs w:val="21"/>
              </w:rPr>
              <w:t>医学院护理</w:t>
            </w:r>
          </w:p>
          <w:p>
            <w:pPr>
              <w:spacing w:line="204" w:lineRule="auto"/>
              <w:ind w:firstLine="7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实验室</w:t>
            </w:r>
          </w:p>
        </w:tc>
        <w:tc>
          <w:tcPr>
            <w:tcW w:w="2619" w:type="dxa"/>
            <w:vAlign w:val="top"/>
          </w:tcPr>
          <w:p>
            <w:pPr>
              <w:spacing w:before="95" w:line="180" w:lineRule="auto"/>
              <w:ind w:firstLine="9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护士服</w:t>
            </w:r>
          </w:p>
        </w:tc>
        <w:tc>
          <w:tcPr>
            <w:tcW w:w="2430" w:type="dxa"/>
            <w:vAlign w:val="top"/>
          </w:tcPr>
          <w:p>
            <w:pPr>
              <w:spacing w:before="95" w:line="180" w:lineRule="auto"/>
              <w:ind w:firstLine="9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冬、夏</w:t>
            </w:r>
          </w:p>
        </w:tc>
        <w:tc>
          <w:tcPr>
            <w:tcW w:w="1506" w:type="dxa"/>
            <w:tcBorders>
              <w:right w:val="single" w:color="000000" w:sz="6" w:space="0"/>
            </w:tcBorders>
            <w:vAlign w:val="top"/>
          </w:tcPr>
          <w:p>
            <w:pPr>
              <w:spacing w:before="91"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各</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0"/>
                <w:sz w:val="21"/>
                <w:szCs w:val="21"/>
              </w:rPr>
              <w:t>1</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0"/>
                <w:sz w:val="21"/>
                <w:szCs w:val="21"/>
              </w:rPr>
              <w:t>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2179" w:type="dxa"/>
            <w:vMerge w:val="continue"/>
            <w:tcBorders>
              <w:top w:val="nil"/>
              <w:left w:val="single" w:color="000000" w:sz="6" w:space="0"/>
              <w:bottom w:val="nil"/>
            </w:tcBorders>
            <w:vAlign w:val="top"/>
          </w:tcPr>
          <w:p>
            <w:pPr>
              <w:rPr>
                <w:rFonts w:ascii="Malgun Gothic"/>
                <w:sz w:val="21"/>
              </w:rPr>
            </w:pPr>
          </w:p>
        </w:tc>
        <w:tc>
          <w:tcPr>
            <w:tcW w:w="2619" w:type="dxa"/>
            <w:vAlign w:val="top"/>
          </w:tcPr>
          <w:p>
            <w:pPr>
              <w:spacing w:before="99" w:line="180" w:lineRule="auto"/>
              <w:ind w:firstLine="9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护士帽</w:t>
            </w:r>
          </w:p>
        </w:tc>
        <w:tc>
          <w:tcPr>
            <w:tcW w:w="2430" w:type="dxa"/>
            <w:vAlign w:val="top"/>
          </w:tcPr>
          <w:p>
            <w:pPr>
              <w:spacing w:before="99" w:line="180" w:lineRule="auto"/>
              <w:ind w:firstLine="9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冬、夏</w:t>
            </w:r>
          </w:p>
        </w:tc>
        <w:tc>
          <w:tcPr>
            <w:tcW w:w="1506" w:type="dxa"/>
            <w:tcBorders>
              <w:right w:val="single" w:color="000000" w:sz="6" w:space="0"/>
            </w:tcBorders>
            <w:vAlign w:val="top"/>
          </w:tcPr>
          <w:p>
            <w:pPr>
              <w:spacing w:before="97"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各</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0"/>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sz w:val="21"/>
                <w:szCs w:val="21"/>
              </w:rPr>
              <w:t>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2179" w:type="dxa"/>
            <w:vMerge w:val="continue"/>
            <w:tcBorders>
              <w:top w:val="nil"/>
              <w:left w:val="single" w:color="000000" w:sz="6" w:space="0"/>
              <w:bottom w:val="nil"/>
            </w:tcBorders>
            <w:vAlign w:val="top"/>
          </w:tcPr>
          <w:p>
            <w:pPr>
              <w:rPr>
                <w:rFonts w:ascii="Malgun Gothic"/>
                <w:sz w:val="21"/>
              </w:rPr>
            </w:pPr>
          </w:p>
        </w:tc>
        <w:tc>
          <w:tcPr>
            <w:tcW w:w="2619" w:type="dxa"/>
            <w:vAlign w:val="top"/>
          </w:tcPr>
          <w:p>
            <w:pPr>
              <w:spacing w:before="103" w:line="180" w:lineRule="auto"/>
              <w:ind w:firstLine="99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裤</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rPr>
              <w:t>子</w:t>
            </w:r>
          </w:p>
        </w:tc>
        <w:tc>
          <w:tcPr>
            <w:tcW w:w="2430" w:type="dxa"/>
            <w:vAlign w:val="top"/>
          </w:tcPr>
          <w:p>
            <w:pPr>
              <w:spacing w:before="103" w:line="180" w:lineRule="auto"/>
              <w:ind w:firstLine="9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冬、夏</w:t>
            </w:r>
          </w:p>
        </w:tc>
        <w:tc>
          <w:tcPr>
            <w:tcW w:w="1506" w:type="dxa"/>
            <w:tcBorders>
              <w:right w:val="single" w:color="000000" w:sz="6" w:space="0"/>
            </w:tcBorders>
            <w:vAlign w:val="top"/>
          </w:tcPr>
          <w:p>
            <w:pPr>
              <w:spacing w:before="98"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各</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0"/>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sz w:val="21"/>
                <w:szCs w:val="21"/>
              </w:rPr>
              <w:t>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2179" w:type="dxa"/>
            <w:vMerge w:val="continue"/>
            <w:tcBorders>
              <w:top w:val="nil"/>
              <w:left w:val="single" w:color="000000" w:sz="6" w:space="0"/>
              <w:bottom w:val="single" w:color="000000" w:sz="6" w:space="0"/>
            </w:tcBorders>
            <w:vAlign w:val="top"/>
          </w:tcPr>
          <w:p>
            <w:pPr>
              <w:rPr>
                <w:rFonts w:ascii="Malgun Gothic"/>
                <w:sz w:val="21"/>
              </w:rPr>
            </w:pPr>
          </w:p>
        </w:tc>
        <w:tc>
          <w:tcPr>
            <w:tcW w:w="2619" w:type="dxa"/>
            <w:tcBorders>
              <w:bottom w:val="single" w:color="000000" w:sz="6" w:space="0"/>
            </w:tcBorders>
            <w:vAlign w:val="top"/>
          </w:tcPr>
          <w:p>
            <w:pPr>
              <w:spacing w:before="107" w:line="180" w:lineRule="auto"/>
              <w:ind w:firstLine="9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护士鞋</w:t>
            </w:r>
          </w:p>
        </w:tc>
        <w:tc>
          <w:tcPr>
            <w:tcW w:w="2430" w:type="dxa"/>
            <w:tcBorders>
              <w:bottom w:val="single" w:color="000000" w:sz="6" w:space="0"/>
            </w:tcBorders>
            <w:vAlign w:val="top"/>
          </w:tcPr>
          <w:p>
            <w:pPr>
              <w:rPr>
                <w:rFonts w:ascii="Malgun Gothic"/>
                <w:sz w:val="21"/>
              </w:rPr>
            </w:pPr>
          </w:p>
        </w:tc>
        <w:tc>
          <w:tcPr>
            <w:tcW w:w="1506" w:type="dxa"/>
            <w:tcBorders>
              <w:bottom w:val="single" w:color="000000" w:sz="6" w:space="0"/>
              <w:right w:val="single" w:color="000000" w:sz="6" w:space="0"/>
            </w:tcBorders>
            <w:vAlign w:val="top"/>
          </w:tcPr>
          <w:p>
            <w:pPr>
              <w:spacing w:before="122" w:line="180" w:lineRule="auto"/>
              <w:ind w:firstLine="5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9"/>
                <w:sz w:val="21"/>
                <w:szCs w:val="21"/>
              </w:rPr>
              <w:t>1</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0"/>
                <w:w w:val="99"/>
                <w:sz w:val="21"/>
                <w:szCs w:val="21"/>
              </w:rPr>
              <w:t>双</w:t>
            </w:r>
          </w:p>
        </w:tc>
      </w:tr>
    </w:tbl>
    <w:p>
      <w:pPr>
        <w:rPr>
          <w:rFonts w:ascii="Malgun Gothic"/>
          <w:sz w:val="21"/>
        </w:rPr>
      </w:pPr>
    </w:p>
    <w:p>
      <w:pPr>
        <w:sectPr>
          <w:footerReference r:id="rId211" w:type="default"/>
          <w:pgSz w:w="11905" w:h="16840"/>
          <w:pgMar w:top="1431" w:right="1577" w:bottom="1365" w:left="1578" w:header="0" w:footer="1241" w:gutter="0"/>
          <w:cols w:space="720" w:num="1"/>
        </w:sectPr>
      </w:pPr>
    </w:p>
    <w:p>
      <w:pPr>
        <w:spacing w:before="349" w:line="180" w:lineRule="auto"/>
        <w:ind w:firstLine="101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吉首大学教学科研仪器设备维护、维修管理办法</w:t>
      </w:r>
    </w:p>
    <w:p>
      <w:pPr>
        <w:spacing w:line="315" w:lineRule="auto"/>
        <w:rPr>
          <w:rFonts w:ascii="Malgun Gothic"/>
          <w:sz w:val="21"/>
        </w:rPr>
      </w:pPr>
    </w:p>
    <w:p>
      <w:pPr>
        <w:spacing w:before="85" w:line="265" w:lineRule="auto"/>
        <w:ind w:right="95" w:firstLine="49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为了保证我校教学科研仪器设备的完好率，提高使用率和效益，充分发挥仪器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设备在教学和科研工作中的作用，确保教学科研工作的顺利进行。根据我校实际情</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况，特制定本办法。</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一、仪器设备的保养维修</w:t>
      </w:r>
    </w:p>
    <w:p>
      <w:pPr>
        <w:spacing w:before="149"/>
        <w:ind w:left="1" w:right="97"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1、实验室工作人员应按仪器设备的技术要求定期对所管理的仪器设备进行常规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保养，以提高仪器设备的使用率、完好率。</w:t>
      </w:r>
    </w:p>
    <w:p>
      <w:pPr>
        <w:spacing w:before="218" w:line="263" w:lineRule="auto"/>
        <w:ind w:left="2" w:right="9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2、实验室技术人员应不断钻研业务，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对仪器设备的常规性故障进行维修，</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0"/>
          <w:sz w:val="24"/>
          <w:szCs w:val="24"/>
        </w:rPr>
        <w:t>做到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随坏随修，保证日常工作的进行。维修中对仪器设备进行技术改动的，应做到有相</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应的记录。</w:t>
      </w:r>
    </w:p>
    <w:p>
      <w:pPr>
        <w:spacing w:before="209" w:line="320" w:lineRule="auto"/>
        <w:ind w:left="5" w:right="9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3、仪器设备以“主动维修”为主，</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sz w:val="24"/>
          <w:szCs w:val="24"/>
        </w:rPr>
        <w:t>有目的地对易损部件进行改造，</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把故障排除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在使用之前，降低维修费用，提高使用效益，坚决杜绝设备带病工作。</w:t>
      </w:r>
    </w:p>
    <w:p>
      <w:pPr>
        <w:spacing w:before="1" w:line="264" w:lineRule="auto"/>
        <w:ind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4、大型精密仪器设备（10</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7"/>
          <w:sz w:val="24"/>
          <w:szCs w:val="24"/>
        </w:rPr>
        <w:t>万元及以上）</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7"/>
          <w:sz w:val="24"/>
          <w:szCs w:val="24"/>
        </w:rPr>
        <w:t>以“预防维修”为主。设备使用人应对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设备运行作随机监测，对故障作出科学的预测，有计划地定期检查，填写维修和维</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5"/>
          <w:sz w:val="24"/>
          <w:szCs w:val="24"/>
        </w:rPr>
        <w:t>护保养记录。</w:t>
      </w:r>
    </w:p>
    <w:p>
      <w:pPr>
        <w:spacing w:before="217"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5、维修、维护保养记录应在仪器使用登记本中体现，内容包括：</w:t>
      </w:r>
    </w:p>
    <w:p>
      <w:pPr>
        <w:spacing w:before="195"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（1）故障发现时间、故障现象。</w:t>
      </w:r>
    </w:p>
    <w:p>
      <w:pPr>
        <w:spacing w:before="194" w:line="238" w:lineRule="auto"/>
        <w:ind w:left="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pacing w:val="42"/>
          <w:w w:val="101"/>
          <w:sz w:val="24"/>
          <w:szCs w:val="24"/>
        </w:rPr>
        <w:t xml:space="preserve"> </w:t>
      </w:r>
      <w:r>
        <w:rPr>
          <w:rFonts w:ascii="方正书宋简体" w:hAnsi="方正书宋简体" w:eastAsia="方正书宋简体" w:cs="方正书宋简体"/>
          <w:spacing w:val="-4"/>
          <w:sz w:val="24"/>
          <w:szCs w:val="24"/>
        </w:rPr>
        <w:t>维修、维护保养人姓名、维修、维护保养起止时间、维修、维护保养内容、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更换元件、技术变动情况。</w:t>
      </w:r>
    </w:p>
    <w:p>
      <w:pPr>
        <w:spacing w:before="219"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（3）维修、维护保养后主要技术状况、验收（使用）人姓名。</w:t>
      </w:r>
    </w:p>
    <w:p>
      <w:pPr>
        <w:spacing w:before="195" w:line="239" w:lineRule="auto"/>
        <w:ind w:left="3" w:right="97"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6、维修、维护保养工作应本着节约资金的原则，</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采取自修、校外相结合的维修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途经，鼓励自修，确保仪器设备的正常运行。</w:t>
      </w:r>
    </w:p>
    <w:p>
      <w:pPr>
        <w:spacing w:before="204"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二、仪器设备的维修申报</w:t>
      </w:r>
    </w:p>
    <w:p>
      <w:pPr>
        <w:spacing w:before="151"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1、仪器设备使用单位在每年</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3"/>
          <w:sz w:val="24"/>
          <w:szCs w:val="24"/>
        </w:rPr>
        <w:t>11</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月份申报下年度仪器设备的维护、维修计划。</w:t>
      </w:r>
    </w:p>
    <w:p>
      <w:pPr>
        <w:spacing w:before="192"/>
        <w:ind w:left="25" w:right="98" w:firstLine="46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2、仪器设备出现故障，</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1"/>
          <w:w w:val="98"/>
          <w:sz w:val="24"/>
          <w:szCs w:val="24"/>
        </w:rPr>
        <w:t>应马上停机，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防止故障扩大，</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w w:val="98"/>
          <w:sz w:val="24"/>
          <w:szCs w:val="24"/>
        </w:rPr>
        <w:t>并记录故障发生时间、原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因，详细记录故障现象。</w:t>
      </w:r>
    </w:p>
    <w:p>
      <w:pPr>
        <w:spacing w:before="215"/>
        <w:ind w:left="13" w:right="97"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3、所有仪器设备在故障发生后，</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2"/>
          <w:sz w:val="24"/>
          <w:szCs w:val="24"/>
        </w:rPr>
        <w:t>均应认真填写仪器设备维修申请单，</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2"/>
          <w:sz w:val="24"/>
          <w:szCs w:val="24"/>
        </w:rPr>
        <w:t>由实验室</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主任审核，报经职能部门领导审批。</w:t>
      </w:r>
    </w:p>
    <w:p>
      <w:pPr>
        <w:spacing w:before="216"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4、仪器设备发生故障，应立足自修为主，校外维修为辅。</w:t>
      </w:r>
    </w:p>
    <w:p>
      <w:pPr>
        <w:spacing w:before="310" w:line="180" w:lineRule="auto"/>
        <w:ind w:firstLine="423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208</w:t>
      </w:r>
    </w:p>
    <w:p>
      <w:pPr>
        <w:sectPr>
          <w:footerReference r:id="rId212" w:type="default"/>
          <w:pgSz w:w="11905" w:h="16840"/>
          <w:pgMar w:top="1431" w:right="1490" w:bottom="400" w:left="1588" w:header="0" w:footer="0" w:gutter="0"/>
          <w:cols w:space="720" w:num="1"/>
        </w:sectPr>
      </w:pPr>
    </w:p>
    <w:p>
      <w:pPr>
        <w:spacing w:before="425" w:line="316" w:lineRule="auto"/>
        <w:ind w:left="5"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5、要求送出校外维修的仪器设备，</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需填写维修申请单，</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1"/>
          <w:sz w:val="24"/>
          <w:szCs w:val="24"/>
        </w:rPr>
        <w:t>由实验室主任审核报实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验室与设备管理中心批准后，方可进行维修。</w:t>
      </w:r>
    </w:p>
    <w:p>
      <w:pPr>
        <w:spacing w:before="1" w:line="239" w:lineRule="auto"/>
        <w:ind w:left="4"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6、仪器设备发生故障，</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应查找故障原因，</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属于个人责任并造成较大损失的责任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事故，按学校有关规定进行处理。</w:t>
      </w:r>
    </w:p>
    <w:p>
      <w:pPr>
        <w:spacing w:before="204" w:line="180"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三、维修经费的管理</w:t>
      </w:r>
    </w:p>
    <w:p>
      <w:pPr>
        <w:spacing w:before="149"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1、仪器设备维修经费由实验室与设备管理中心统一管理，</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11"/>
          <w:w w:val="98"/>
          <w:sz w:val="24"/>
          <w:szCs w:val="24"/>
        </w:rPr>
        <w:t>经中心主任审批后支付。</w:t>
      </w:r>
    </w:p>
    <w:p>
      <w:pPr>
        <w:spacing w:before="195" w:line="315" w:lineRule="auto"/>
        <w:ind w:left="3"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2、为了调动维护保养、维修人员的积极性和体现多劳多得的原则，</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利用业余时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间参加维护保养、自修仪器设备的单位和教师个人，经审核后，按学校有关规定支</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付劳务酬金。</w:t>
      </w:r>
    </w:p>
    <w:p>
      <w:pPr>
        <w:spacing w:before="1" w:line="315" w:lineRule="auto"/>
        <w:ind w:right="97"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3、学院申请仪器设备维修与验收时，</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要认真填写实验室综合管理系统中维修申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请表的各栏内容，按相关程序办理。</w:t>
      </w:r>
    </w:p>
    <w:p>
      <w:pPr>
        <w:spacing w:before="1" w:line="315" w:lineRule="auto"/>
        <w:ind w:left="5" w:right="9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4、对维修中弄虚作假、虚报冒领、收取回扣、索贿受贿的行为要严格追责，</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6"/>
          <w:sz w:val="24"/>
          <w:szCs w:val="24"/>
        </w:rPr>
        <w:t>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据情节轻重按学校有关规定严肃处理。</w:t>
      </w:r>
    </w:p>
    <w:p>
      <w:pPr>
        <w:sectPr>
          <w:footerReference r:id="rId213" w:type="default"/>
          <w:pgSz w:w="11905" w:h="16840"/>
          <w:pgMar w:top="1431" w:right="1490" w:bottom="1365" w:left="1588" w:header="0" w:footer="1241" w:gutter="0"/>
          <w:cols w:space="720" w:num="1"/>
        </w:sectPr>
      </w:pPr>
    </w:p>
    <w:p>
      <w:pPr>
        <w:spacing w:before="349" w:line="180" w:lineRule="auto"/>
        <w:ind w:firstLine="216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吉首大学进口免税设备管理办法</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0" w:lineRule="auto"/>
        <w:rPr>
          <w:rFonts w:ascii="Malgun Gothic"/>
          <w:sz w:val="21"/>
        </w:rPr>
      </w:pPr>
    </w:p>
    <w:p>
      <w:pPr>
        <w:spacing w:before="85" w:line="285" w:lineRule="auto"/>
        <w:ind w:left="32" w:right="86"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为了加强免税进口教学、科研设备的管理，</w:t>
      </w:r>
      <w:r>
        <w:rPr>
          <w:rFonts w:ascii="方正书宋简体" w:hAnsi="方正书宋简体" w:eastAsia="方正书宋简体" w:cs="方正书宋简体"/>
          <w:spacing w:val="69"/>
          <w:w w:val="101"/>
          <w:sz w:val="24"/>
          <w:szCs w:val="24"/>
        </w:rPr>
        <w:t xml:space="preserve"> </w:t>
      </w:r>
      <w:r>
        <w:rPr>
          <w:rFonts w:ascii="方正书宋简体" w:hAnsi="方正书宋简体" w:eastAsia="方正书宋简体" w:cs="方正书宋简体"/>
          <w:spacing w:val="-14"/>
          <w:sz w:val="24"/>
          <w:szCs w:val="24"/>
        </w:rPr>
        <w:t>根据《中华人民共和国海关法》（2000</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8"/>
          <w:sz w:val="24"/>
          <w:szCs w:val="24"/>
        </w:rPr>
        <w:t>年</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w w:val="98"/>
          <w:sz w:val="24"/>
          <w:szCs w:val="24"/>
        </w:rPr>
        <w:t>7</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8"/>
          <w:sz w:val="24"/>
          <w:szCs w:val="24"/>
        </w:rPr>
        <w:t>月修订）、</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w w:val="98"/>
          <w:sz w:val="24"/>
          <w:szCs w:val="24"/>
        </w:rPr>
        <w:t>《科学研究和教学用品免征进口税收规定》</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11"/>
          <w:w w:val="98"/>
          <w:sz w:val="24"/>
          <w:szCs w:val="24"/>
        </w:rPr>
        <w:t>（中华人民共和国财政部、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海关总署、国家税务总局令第</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4"/>
          <w:sz w:val="24"/>
          <w:szCs w:val="24"/>
        </w:rPr>
        <w:t>45</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4"/>
          <w:sz w:val="24"/>
          <w:szCs w:val="24"/>
        </w:rPr>
        <w:t>号（2007</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4"/>
          <w:sz w:val="24"/>
          <w:szCs w:val="24"/>
        </w:rPr>
        <w:t>以及海关总署关于实施《科教用品免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税规定》和《科技用品免税暂行规定》有关办法公告（2007</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0"/>
          <w:sz w:val="24"/>
          <w:szCs w:val="24"/>
        </w:rPr>
        <w:t>年第</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13</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0"/>
          <w:sz w:val="24"/>
          <w:szCs w:val="24"/>
        </w:rPr>
        <w:t>号）</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0"/>
          <w:sz w:val="24"/>
          <w:szCs w:val="24"/>
        </w:rPr>
        <w:t>等规定，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0"/>
          <w:sz w:val="24"/>
          <w:szCs w:val="24"/>
        </w:rPr>
        <w:t>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制定本管理办法。</w:t>
      </w:r>
    </w:p>
    <w:p>
      <w:pPr>
        <w:spacing w:line="152" w:lineRule="exact"/>
      </w:pPr>
    </w:p>
    <w:p>
      <w:pPr>
        <w:sectPr>
          <w:footerReference r:id="rId214" w:type="default"/>
          <w:pgSz w:w="11905" w:h="16840"/>
          <w:pgMar w:top="1431" w:right="1494" w:bottom="1365" w:left="1557" w:header="0" w:footer="1241" w:gutter="0"/>
          <w:cols w:equalWidth="0" w:num="1">
            <w:col w:w="8852"/>
          </w:cols>
        </w:sectPr>
      </w:pPr>
    </w:p>
    <w:p>
      <w:pPr>
        <w:spacing w:before="54" w:line="180" w:lineRule="auto"/>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第一条</w:t>
      </w:r>
    </w:p>
    <w:p>
      <w:pPr>
        <w:spacing w:before="139" w:line="281" w:lineRule="auto"/>
        <w:ind w:left="40" w:right="69"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9"/>
          <w:sz w:val="24"/>
          <w:szCs w:val="24"/>
        </w:rPr>
        <w:t>负责。</w:t>
      </w:r>
    </w:p>
    <w:p>
      <w:pPr>
        <w:spacing w:before="13" w:line="270" w:lineRule="exact"/>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
          <w:sz w:val="24"/>
          <w:szCs w:val="24"/>
        </w:rPr>
        <w:t>第三条</w:t>
      </w:r>
    </w:p>
    <w:p>
      <w:pPr>
        <w:spacing w:line="14" w:lineRule="auto"/>
        <w:rPr>
          <w:rFonts w:ascii="Malgun Gothic"/>
          <w:sz w:val="2"/>
        </w:rPr>
      </w:pPr>
      <w:r>
        <w:rPr>
          <w:rFonts w:ascii="Malgun Gothic" w:hAnsi="Malgun Gothic" w:eastAsia="Malgun Gothic" w:cs="Malgun Gothic"/>
          <w:sz w:val="2"/>
          <w:szCs w:val="2"/>
        </w:rPr>
        <w:br w:type="column"/>
      </w:r>
    </w:p>
    <w:p>
      <w:pPr>
        <w:spacing w:before="62" w:line="316" w:lineRule="auto"/>
        <w:ind w:left="83" w:hanging="1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本办法适用于以吉首大学名义购置并申请免税进口的教学、科研设备。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学校免税进口设备的管理由实验室与设备管理中心、资产管理处共同</w:t>
      </w:r>
    </w:p>
    <w:p>
      <w:pPr>
        <w:rPr>
          <w:rFonts w:ascii="Malgun Gothic"/>
          <w:sz w:val="21"/>
        </w:rPr>
      </w:pPr>
    </w:p>
    <w:p>
      <w:pPr>
        <w:spacing w:before="87" w:line="180" w:lineRule="auto"/>
        <w:ind w:firstLine="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有免税教学、科研设备的学院每年应对相关设备自查，并填写《吉首</w:t>
      </w:r>
    </w:p>
    <w:p>
      <w:pPr>
        <w:sectPr>
          <w:type w:val="continuous"/>
          <w:pgSz w:w="11905" w:h="16840"/>
          <w:pgMar w:top="1431" w:right="1494" w:bottom="1365" w:left="1557" w:header="0" w:footer="1241" w:gutter="0"/>
          <w:cols w:equalWidth="0" w:num="2">
            <w:col w:w="1305" w:space="100"/>
            <w:col w:w="7448"/>
          </w:cols>
        </w:sectPr>
      </w:pPr>
    </w:p>
    <w:p>
      <w:pPr>
        <w:spacing w:before="192" w:line="180" w:lineRule="auto"/>
        <w:ind w:firstLine="4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大学免税进口设备自查表》，以备学校主管部门及海关检查。</w:t>
      </w:r>
    </w:p>
    <w:p>
      <w:pPr>
        <w:spacing w:before="180" w:line="282" w:lineRule="auto"/>
        <w:ind w:left="35" w:right="9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按照《中华人民共和国海关法》和《中华人民共和国稽查条例》相关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规定，海关对免税进口教学、科研设备的监管期一般为五年。</w:t>
      </w:r>
    </w:p>
    <w:p>
      <w:pPr>
        <w:spacing w:before="9" w:line="233" w:lineRule="auto"/>
        <w:ind w:left="35" w:right="13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第五条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监管期内的免税进口教学、科研设备必须摆放在设备所属的实验室，</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不得擅自出售、转让、移作它用或转移监管地点。</w:t>
      </w:r>
    </w:p>
    <w:p>
      <w:pPr>
        <w:spacing w:before="164" w:line="296" w:lineRule="auto"/>
        <w:ind w:left="33" w:right="9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监管期内的免税进口教学、科研设备若因教学、科研相关工作需要共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享，原则上使用人需到设备所属实验室内使用，严禁设备移出监管地点。因特殊原</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因，需脱离监管地点使用，相关学院及使用人应向实验室与设备管理中心、资产管</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理处提出申请，报海关办理审批备案手续。</w:t>
      </w:r>
    </w:p>
    <w:p>
      <w:pPr>
        <w:spacing w:before="24" w:line="281" w:lineRule="auto"/>
        <w:ind w:left="36" w:right="10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1"/>
          <w:sz w:val="24"/>
          <w:szCs w:val="24"/>
        </w:rPr>
        <w:t>监管期满的免税进口教学、科研设备，由相关学院提出申请，并交实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验室与设备管理中心、资产管理处备查。</w:t>
      </w:r>
    </w:p>
    <w:p>
      <w:pPr>
        <w:spacing w:before="11" w:line="233" w:lineRule="auto"/>
        <w:ind w:left="35" w:right="10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免税进口教学、科研设备监管期满后，仍然按照监管期内相关要求管</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理，不得转移监管地点、自行报废、出售、转让或移作它用。</w:t>
      </w:r>
    </w:p>
    <w:p>
      <w:pPr>
        <w:spacing w:before="166"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本管理办法由实验室与设备管理中心、资产管理处负责解释。</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3"/>
          <w:sz w:val="24"/>
          <w:szCs w:val="24"/>
        </w:rPr>
        <w:t>本办法自公布之日起施行。</w:t>
      </w:r>
    </w:p>
    <w:p>
      <w:pPr>
        <w:spacing w:before="152" w:line="162" w:lineRule="auto"/>
        <w:ind w:firstLine="52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附件：吉首大学免税进口设备自查表</w:t>
      </w:r>
    </w:p>
    <w:p>
      <w:pPr>
        <w:sectPr>
          <w:type w:val="continuous"/>
          <w:pgSz w:w="11905" w:h="16840"/>
          <w:pgMar w:top="1431" w:right="1494" w:bottom="1365" w:left="1557" w:header="0" w:footer="1241" w:gutter="0"/>
          <w:cols w:equalWidth="0" w:num="1">
            <w:col w:w="8852"/>
          </w:cols>
        </w:sectPr>
      </w:pPr>
    </w:p>
    <w:p>
      <w:pPr>
        <w:spacing w:before="349" w:line="161" w:lineRule="auto"/>
        <w:ind w:firstLine="230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吉首大学免税进口设备自查表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118"/>
        <w:gridCol w:w="1248"/>
        <w:gridCol w:w="643"/>
        <w:gridCol w:w="1399"/>
        <w:gridCol w:w="1399"/>
        <w:gridCol w:w="1250"/>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722" w:type="dxa"/>
            <w:tcBorders>
              <w:top w:val="single" w:color="000000" w:sz="6" w:space="0"/>
              <w:left w:val="single" w:color="000000" w:sz="6" w:space="0"/>
            </w:tcBorders>
            <w:vAlign w:val="top"/>
          </w:tcPr>
          <w:p>
            <w:pPr>
              <w:spacing w:before="180" w:line="180" w:lineRule="auto"/>
              <w:ind w:firstLine="145"/>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序号</w:t>
            </w:r>
          </w:p>
        </w:tc>
        <w:tc>
          <w:tcPr>
            <w:tcW w:w="1118" w:type="dxa"/>
            <w:tcBorders>
              <w:top w:val="single" w:color="000000" w:sz="6" w:space="0"/>
            </w:tcBorders>
            <w:vAlign w:val="top"/>
          </w:tcPr>
          <w:p>
            <w:pPr>
              <w:spacing w:before="180" w:line="180" w:lineRule="auto"/>
              <w:ind w:firstLine="13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设备名称</w:t>
            </w:r>
          </w:p>
        </w:tc>
        <w:tc>
          <w:tcPr>
            <w:tcW w:w="1248" w:type="dxa"/>
            <w:tcBorders>
              <w:top w:val="single" w:color="000000" w:sz="6" w:space="0"/>
            </w:tcBorders>
            <w:vAlign w:val="top"/>
          </w:tcPr>
          <w:p>
            <w:pPr>
              <w:spacing w:before="180" w:line="180" w:lineRule="auto"/>
              <w:ind w:firstLine="203"/>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规格型号</w:t>
            </w:r>
          </w:p>
        </w:tc>
        <w:tc>
          <w:tcPr>
            <w:tcW w:w="643" w:type="dxa"/>
            <w:tcBorders>
              <w:top w:val="single" w:color="000000" w:sz="6" w:space="0"/>
            </w:tcBorders>
            <w:vAlign w:val="top"/>
          </w:tcPr>
          <w:p>
            <w:pPr>
              <w:spacing w:before="180" w:line="180" w:lineRule="auto"/>
              <w:ind w:firstLine="11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数量</w:t>
            </w:r>
          </w:p>
        </w:tc>
        <w:tc>
          <w:tcPr>
            <w:tcW w:w="1399" w:type="dxa"/>
            <w:tcBorders>
              <w:top w:val="single" w:color="000000" w:sz="6" w:space="0"/>
            </w:tcBorders>
            <w:vAlign w:val="top"/>
          </w:tcPr>
          <w:p>
            <w:pPr>
              <w:spacing w:before="180" w:line="180" w:lineRule="auto"/>
              <w:ind w:firstLine="283"/>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货到时间</w:t>
            </w:r>
          </w:p>
        </w:tc>
        <w:tc>
          <w:tcPr>
            <w:tcW w:w="1399" w:type="dxa"/>
            <w:tcBorders>
              <w:top w:val="single" w:color="000000" w:sz="6" w:space="0"/>
            </w:tcBorders>
            <w:vAlign w:val="top"/>
          </w:tcPr>
          <w:p>
            <w:pPr>
              <w:spacing w:before="180" w:line="180" w:lineRule="auto"/>
              <w:ind w:firstLine="279"/>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存放地点</w:t>
            </w:r>
          </w:p>
        </w:tc>
        <w:tc>
          <w:tcPr>
            <w:tcW w:w="1250" w:type="dxa"/>
            <w:tcBorders>
              <w:top w:val="single" w:color="000000" w:sz="6" w:space="0"/>
            </w:tcBorders>
            <w:vAlign w:val="top"/>
          </w:tcPr>
          <w:p>
            <w:pPr>
              <w:spacing w:before="180" w:line="180" w:lineRule="auto"/>
              <w:ind w:firstLine="315"/>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使用人</w:t>
            </w:r>
          </w:p>
        </w:tc>
        <w:tc>
          <w:tcPr>
            <w:tcW w:w="955" w:type="dxa"/>
            <w:tcBorders>
              <w:top w:val="single" w:color="000000" w:sz="6" w:space="0"/>
              <w:right w:val="single" w:color="000000" w:sz="6" w:space="0"/>
            </w:tcBorders>
            <w:vAlign w:val="top"/>
          </w:tcPr>
          <w:p>
            <w:pPr>
              <w:spacing w:before="180" w:line="180" w:lineRule="auto"/>
              <w:ind w:firstLine="271"/>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现状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7"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722" w:type="dxa"/>
            <w:tcBorders>
              <w:left w:val="single" w:color="000000" w:sz="6" w:space="0"/>
            </w:tcBorders>
            <w:vAlign w:val="top"/>
          </w:tcPr>
          <w:p>
            <w:pPr>
              <w:rPr>
                <w:rFonts w:ascii="Malgun Gothic"/>
                <w:sz w:val="21"/>
              </w:rPr>
            </w:pPr>
          </w:p>
        </w:tc>
        <w:tc>
          <w:tcPr>
            <w:tcW w:w="1118" w:type="dxa"/>
            <w:vAlign w:val="top"/>
          </w:tcPr>
          <w:p>
            <w:pPr>
              <w:rPr>
                <w:rFonts w:ascii="Malgun Gothic"/>
                <w:sz w:val="21"/>
              </w:rPr>
            </w:pPr>
          </w:p>
        </w:tc>
        <w:tc>
          <w:tcPr>
            <w:tcW w:w="1248" w:type="dxa"/>
            <w:vAlign w:val="top"/>
          </w:tcPr>
          <w:p>
            <w:pPr>
              <w:rPr>
                <w:rFonts w:ascii="Malgun Gothic"/>
                <w:sz w:val="21"/>
              </w:rPr>
            </w:pPr>
          </w:p>
        </w:tc>
        <w:tc>
          <w:tcPr>
            <w:tcW w:w="643" w:type="dxa"/>
            <w:vAlign w:val="top"/>
          </w:tcPr>
          <w:p>
            <w:pPr>
              <w:rPr>
                <w:rFonts w:ascii="Malgun Gothic"/>
                <w:sz w:val="21"/>
              </w:rPr>
            </w:pPr>
          </w:p>
        </w:tc>
        <w:tc>
          <w:tcPr>
            <w:tcW w:w="1399" w:type="dxa"/>
            <w:vAlign w:val="top"/>
          </w:tcPr>
          <w:p>
            <w:pPr>
              <w:rPr>
                <w:rFonts w:ascii="Malgun Gothic"/>
                <w:sz w:val="21"/>
              </w:rPr>
            </w:pPr>
          </w:p>
        </w:tc>
        <w:tc>
          <w:tcPr>
            <w:tcW w:w="1399" w:type="dxa"/>
            <w:vAlign w:val="top"/>
          </w:tcPr>
          <w:p>
            <w:pPr>
              <w:rPr>
                <w:rFonts w:ascii="Malgun Gothic"/>
                <w:sz w:val="21"/>
              </w:rPr>
            </w:pPr>
          </w:p>
        </w:tc>
        <w:tc>
          <w:tcPr>
            <w:tcW w:w="1250" w:type="dxa"/>
            <w:vAlign w:val="top"/>
          </w:tcPr>
          <w:p>
            <w:pPr>
              <w:rPr>
                <w:rFonts w:ascii="Malgun Gothic"/>
                <w:sz w:val="21"/>
              </w:rPr>
            </w:pPr>
          </w:p>
        </w:tc>
        <w:tc>
          <w:tcPr>
            <w:tcW w:w="95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722" w:type="dxa"/>
            <w:tcBorders>
              <w:left w:val="single" w:color="000000" w:sz="6" w:space="0"/>
              <w:bottom w:val="single" w:color="000000" w:sz="6" w:space="0"/>
            </w:tcBorders>
            <w:vAlign w:val="top"/>
          </w:tcPr>
          <w:p>
            <w:pPr>
              <w:rPr>
                <w:rFonts w:ascii="Malgun Gothic"/>
                <w:sz w:val="21"/>
              </w:rPr>
            </w:pPr>
          </w:p>
        </w:tc>
        <w:tc>
          <w:tcPr>
            <w:tcW w:w="1118" w:type="dxa"/>
            <w:tcBorders>
              <w:bottom w:val="single" w:color="000000" w:sz="6" w:space="0"/>
            </w:tcBorders>
            <w:vAlign w:val="top"/>
          </w:tcPr>
          <w:p>
            <w:pPr>
              <w:rPr>
                <w:rFonts w:ascii="Malgun Gothic"/>
                <w:sz w:val="21"/>
              </w:rPr>
            </w:pPr>
          </w:p>
        </w:tc>
        <w:tc>
          <w:tcPr>
            <w:tcW w:w="1248" w:type="dxa"/>
            <w:tcBorders>
              <w:bottom w:val="single" w:color="000000" w:sz="6" w:space="0"/>
            </w:tcBorders>
            <w:vAlign w:val="top"/>
          </w:tcPr>
          <w:p>
            <w:pPr>
              <w:rPr>
                <w:rFonts w:ascii="Malgun Gothic"/>
                <w:sz w:val="21"/>
              </w:rPr>
            </w:pPr>
          </w:p>
        </w:tc>
        <w:tc>
          <w:tcPr>
            <w:tcW w:w="643" w:type="dxa"/>
            <w:tcBorders>
              <w:bottom w:val="single" w:color="000000" w:sz="6" w:space="0"/>
            </w:tcBorders>
            <w:vAlign w:val="top"/>
          </w:tcPr>
          <w:p>
            <w:pPr>
              <w:rPr>
                <w:rFonts w:ascii="Malgun Gothic"/>
                <w:sz w:val="21"/>
              </w:rPr>
            </w:pPr>
          </w:p>
        </w:tc>
        <w:tc>
          <w:tcPr>
            <w:tcW w:w="1399" w:type="dxa"/>
            <w:tcBorders>
              <w:bottom w:val="single" w:color="000000" w:sz="6" w:space="0"/>
            </w:tcBorders>
            <w:vAlign w:val="top"/>
          </w:tcPr>
          <w:p>
            <w:pPr>
              <w:rPr>
                <w:rFonts w:ascii="Malgun Gothic"/>
                <w:sz w:val="21"/>
              </w:rPr>
            </w:pPr>
          </w:p>
        </w:tc>
        <w:tc>
          <w:tcPr>
            <w:tcW w:w="1399" w:type="dxa"/>
            <w:tcBorders>
              <w:bottom w:val="single" w:color="000000" w:sz="6" w:space="0"/>
            </w:tcBorders>
            <w:vAlign w:val="top"/>
          </w:tcPr>
          <w:p>
            <w:pPr>
              <w:rPr>
                <w:rFonts w:ascii="Malgun Gothic"/>
                <w:sz w:val="21"/>
              </w:rPr>
            </w:pPr>
          </w:p>
        </w:tc>
        <w:tc>
          <w:tcPr>
            <w:tcW w:w="1250" w:type="dxa"/>
            <w:tcBorders>
              <w:bottom w:val="single" w:color="000000" w:sz="6" w:space="0"/>
            </w:tcBorders>
            <w:vAlign w:val="top"/>
          </w:tcPr>
          <w:p>
            <w:pPr>
              <w:rPr>
                <w:rFonts w:ascii="Malgun Gothic"/>
                <w:sz w:val="21"/>
              </w:rPr>
            </w:pPr>
          </w:p>
        </w:tc>
        <w:tc>
          <w:tcPr>
            <w:tcW w:w="955" w:type="dxa"/>
            <w:tcBorders>
              <w:bottom w:val="single" w:color="000000" w:sz="6" w:space="0"/>
              <w:right w:val="single" w:color="000000" w:sz="6" w:space="0"/>
            </w:tcBorders>
            <w:vAlign w:val="top"/>
          </w:tcPr>
          <w:p>
            <w:pPr>
              <w:rPr>
                <w:rFonts w:ascii="Malgun Gothic"/>
                <w:sz w:val="21"/>
              </w:rPr>
            </w:pPr>
          </w:p>
        </w:tc>
      </w:tr>
    </w:tbl>
    <w:p>
      <w:pPr>
        <w:spacing w:before="157"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学院名称（盖章</w:t>
      </w:r>
      <w:r>
        <w:rPr>
          <w:rFonts w:ascii="方正书宋简体" w:hAnsi="方正书宋简体" w:eastAsia="方正书宋简体" w:cs="方正书宋简体"/>
          <w:spacing w:val="-2"/>
          <w:sz w:val="24"/>
          <w:szCs w:val="24"/>
        </w:rPr>
        <w:t>）：</w:t>
      </w:r>
    </w:p>
    <w:p>
      <w:pPr>
        <w:spacing w:before="194" w:line="180" w:lineRule="auto"/>
        <w:ind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23"/>
          <w:w w:val="98"/>
          <w:sz w:val="24"/>
          <w:szCs w:val="24"/>
        </w:rPr>
        <w:t>填报人：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3"/>
          <w:w w:val="98"/>
          <w:sz w:val="24"/>
          <w:szCs w:val="24"/>
        </w:rPr>
        <w:t>学院负责人：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3"/>
          <w:w w:val="98"/>
          <w:sz w:val="24"/>
          <w:szCs w:val="24"/>
        </w:rPr>
        <w:t>年</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3"/>
          <w:w w:val="98"/>
          <w:sz w:val="24"/>
          <w:szCs w:val="24"/>
        </w:rPr>
        <w:t>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w w:val="98"/>
          <w:sz w:val="24"/>
          <w:szCs w:val="24"/>
        </w:rPr>
        <w:t>日</w:t>
      </w:r>
    </w:p>
    <w:p>
      <w:pPr>
        <w:sectPr>
          <w:footerReference r:id="rId215" w:type="default"/>
          <w:pgSz w:w="11905" w:h="16840"/>
          <w:pgMar w:top="1431" w:right="1577" w:bottom="1365" w:left="1578" w:header="0" w:footer="1243" w:gutter="0"/>
          <w:cols w:space="720" w:num="1"/>
        </w:sectPr>
      </w:pPr>
    </w:p>
    <w:p>
      <w:pPr>
        <w:spacing w:before="349" w:line="180" w:lineRule="auto"/>
        <w:ind w:firstLine="18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吉首大学实践教学专项经费管理办法</w:t>
      </w:r>
    </w:p>
    <w:p>
      <w:pPr>
        <w:spacing w:before="110" w:line="184" w:lineRule="auto"/>
        <w:ind w:firstLine="3164"/>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11</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81" w:lineRule="auto"/>
        <w:rPr>
          <w:rFonts w:ascii="Malgun Gothic"/>
          <w:sz w:val="21"/>
        </w:rPr>
      </w:pPr>
    </w:p>
    <w:p>
      <w:pPr>
        <w:spacing w:before="86" w:line="265" w:lineRule="auto"/>
        <w:ind w:left="36" w:right="76"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为了进一步推进实践教学改革，积极推进创新创业教育，加强对实践教学专项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经费的管理，提高实践教学经费的使用效益，</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保证实践教学环节的顺利进行，结合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学校实际情况，在修订原管理暂行办法基础上制订本管理办法。</w:t>
      </w:r>
    </w:p>
    <w:p>
      <w:pPr>
        <w:spacing w:before="202" w:line="282" w:lineRule="auto"/>
        <w:ind w:left="3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7"/>
          <w:sz w:val="24"/>
          <w:szCs w:val="24"/>
        </w:rPr>
        <w:t>实践教学经费是为实现人才培养目标，</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7"/>
          <w:sz w:val="24"/>
          <w:szCs w:val="24"/>
        </w:rPr>
        <w:t>培养学生实践能力和创新精神，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确保实践教学各主要教学环节顺利实施，由学校核拨的专项教学经费。</w:t>
      </w:r>
    </w:p>
    <w:p>
      <w:pPr>
        <w:spacing w:before="9" w:line="282" w:lineRule="auto"/>
        <w:ind w:left="35" w:right="7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实践教学专项经费实行统一计划、统筹分配，做到精心预算、严格管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理、专款专用、提高效能，加强稽核、杜绝浪费。</w:t>
      </w:r>
    </w:p>
    <w:p>
      <w:pPr>
        <w:spacing w:before="13" w:line="277" w:lineRule="auto"/>
        <w:ind w:left="34" w:right="7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实践教学经费要求按计划使用、量入为出。严格按照各专业人才培养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方案安排实践教学活动，做到按预算规范管理、不超标开支。</w:t>
      </w:r>
    </w:p>
    <w:p>
      <w:pPr>
        <w:spacing w:before="21" w:line="266" w:lineRule="auto"/>
        <w:ind w:left="33" w:right="7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实践教学专项经费用于本科专业人才培养方案规定的实践教学环节教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学活动开支，</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9"/>
          <w:sz w:val="24"/>
          <w:szCs w:val="24"/>
        </w:rPr>
        <w:t>实践教学环节主要包括课程设计、学年论文、课程综合见习、工厂（金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工）</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7"/>
          <w:sz w:val="24"/>
          <w:szCs w:val="24"/>
        </w:rPr>
        <w:t>实习、毕业实习、毕业论文（设计）、课外科技创新实践等环节。各学院应严格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按照专业人才培养方案组织开展实践教学活动，不得任意增减实践教学环节。</w:t>
      </w:r>
    </w:p>
    <w:p>
      <w:pPr>
        <w:spacing w:before="204"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第五条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实践教学专项经费预算标准</w:t>
      </w:r>
    </w:p>
    <w:p>
      <w:pPr>
        <w:spacing w:before="152" w:line="239" w:lineRule="auto"/>
        <w:ind w:left="36"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1、实践教学经费学校采取“按学生数量、专业类别定额分配”的方式包干使用，</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3"/>
          <w:sz w:val="24"/>
          <w:szCs w:val="24"/>
        </w:rPr>
        <w:t>学生人数按预算时间在籍人数计算。</w:t>
      </w:r>
    </w:p>
    <w:p>
      <w:pPr>
        <w:spacing w:before="212" w:line="307" w:lineRule="auto"/>
        <w:ind w:left="32" w:right="7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2、经费预算标准：文史经管法教育类专业：260</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1"/>
          <w:sz w:val="24"/>
          <w:szCs w:val="24"/>
        </w:rPr>
        <w:t>元/人.年；理农林类专业：270</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元/人.年；工科类专业：300</w:t>
      </w:r>
      <w:r>
        <w:rPr>
          <w:rFonts w:ascii="方正书宋简体" w:hAnsi="方正书宋简体" w:eastAsia="方正书宋简体" w:cs="方正书宋简体"/>
          <w:spacing w:val="77"/>
          <w:sz w:val="24"/>
          <w:szCs w:val="24"/>
        </w:rPr>
        <w:t xml:space="preserve"> </w:t>
      </w:r>
      <w:r>
        <w:rPr>
          <w:rFonts w:ascii="方正书宋简体" w:hAnsi="方正书宋简体" w:eastAsia="方正书宋简体" w:cs="方正书宋简体"/>
          <w:spacing w:val="-1"/>
          <w:sz w:val="24"/>
          <w:szCs w:val="24"/>
        </w:rPr>
        <w:t>元/人.年；医学、艺术类专业：330</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1"/>
          <w:sz w:val="24"/>
          <w:szCs w:val="24"/>
        </w:rPr>
        <w:t>元/人.年。专升本学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生人数按</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4"/>
          <w:sz w:val="24"/>
          <w:szCs w:val="24"/>
        </w:rPr>
        <w:t>1:1.5</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4"/>
          <w:sz w:val="24"/>
          <w:szCs w:val="24"/>
        </w:rPr>
        <w:t>进行换算。</w:t>
      </w:r>
    </w:p>
    <w:p>
      <w:pPr>
        <w:spacing w:before="30" w:line="286" w:lineRule="auto"/>
        <w:ind w:left="32" w:right="79"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3、各学院需合理统筹安排各实践教学环节经费，保证核心实践教学环节经费，</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其中毕业实习（教育实习）最低标准：教育实习</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603</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元/人，非师范实习</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603</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元/人，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医学生实习</w:t>
      </w:r>
      <w:r>
        <w:rPr>
          <w:rFonts w:ascii="方正书宋简体" w:hAnsi="方正书宋简体" w:eastAsia="方正书宋简体" w:cs="方正书宋简体"/>
          <w:spacing w:val="87"/>
          <w:sz w:val="24"/>
          <w:szCs w:val="24"/>
        </w:rPr>
        <w:t xml:space="preserve"> </w:t>
      </w:r>
      <w:r>
        <w:rPr>
          <w:rFonts w:ascii="方正书宋简体" w:hAnsi="方正书宋简体" w:eastAsia="方正书宋简体" w:cs="方正书宋简体"/>
          <w:spacing w:val="-2"/>
          <w:sz w:val="24"/>
          <w:szCs w:val="24"/>
        </w:rPr>
        <w:t>1000</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元/人；毕业论文（设计）最低标准：文科类</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2"/>
          <w:sz w:val="24"/>
          <w:szCs w:val="24"/>
        </w:rPr>
        <w:t>30</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元/人；理科类</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40</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元/人；工科类（含美术）</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6"/>
          <w:sz w:val="24"/>
          <w:szCs w:val="24"/>
        </w:rPr>
        <w:t>60</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6"/>
          <w:sz w:val="24"/>
          <w:szCs w:val="24"/>
        </w:rPr>
        <w:t>元/人；确保实践教学成效。</w:t>
      </w:r>
    </w:p>
    <w:p>
      <w:pPr>
        <w:spacing w:before="167"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实践教学专项经费支付项目</w:t>
      </w:r>
    </w:p>
    <w:p>
      <w:pPr>
        <w:spacing w:before="147"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1、各学院实践教学安排联系、检查所需的差旅费用及指导教师费用；</w:t>
      </w:r>
    </w:p>
    <w:p>
      <w:pPr>
        <w:spacing w:before="17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2、上交实习、见习单位管理费，实习交流业务费；</w:t>
      </w:r>
    </w:p>
    <w:p>
      <w:pPr>
        <w:spacing w:before="175"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3、实践教学资料、办公用品及文印费；</w:t>
      </w:r>
    </w:p>
    <w:p>
      <w:pPr>
        <w:spacing w:before="295" w:line="180" w:lineRule="auto"/>
        <w:ind w:firstLine="4263"/>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w:t>
      </w:r>
    </w:p>
    <w:p>
      <w:pPr>
        <w:sectPr>
          <w:footerReference r:id="rId216" w:type="default"/>
          <w:pgSz w:w="11905" w:h="16840"/>
          <w:pgMar w:top="1431" w:right="1509" w:bottom="400" w:left="1557" w:header="0" w:footer="0" w:gutter="0"/>
          <w:cols w:space="720" w:num="1"/>
        </w:sectPr>
      </w:pPr>
    </w:p>
    <w:p>
      <w:pPr>
        <w:spacing w:before="429" w:line="252" w:lineRule="auto"/>
        <w:ind w:left="7" w:right="82"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4、学生开展实践教学活动期间住宿费、水电费、交通费（含行李费、市内交通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费、交通保险费）以及生活补贴费等。</w:t>
      </w:r>
    </w:p>
    <w:p>
      <w:pPr>
        <w:spacing w:before="166"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
          <w:sz w:val="24"/>
          <w:szCs w:val="24"/>
        </w:rPr>
        <w:t>实践教学专项经费管理、使用、报销流程</w:t>
      </w:r>
    </w:p>
    <w:p>
      <w:pPr>
        <w:spacing w:before="153" w:line="277" w:lineRule="auto"/>
        <w:ind w:right="79"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1、各学院按财务处申报经费预算时间要求，</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按实践教学经费预算标准将下一年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度实践教学经费预算计划（附件</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8"/>
          <w:sz w:val="24"/>
          <w:szCs w:val="24"/>
        </w:rPr>
        <w:t>1）</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8"/>
          <w:sz w:val="24"/>
          <w:szCs w:val="24"/>
        </w:rPr>
        <w:t>和实践教学实施计划（附件</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8"/>
          <w:sz w:val="24"/>
          <w:szCs w:val="24"/>
        </w:rPr>
        <w:t>2）</w:t>
      </w:r>
      <w:r>
        <w:rPr>
          <w:rFonts w:ascii="方正书宋简体" w:hAnsi="方正书宋简体" w:eastAsia="方正书宋简体" w:cs="方正书宋简体"/>
          <w:spacing w:val="42"/>
          <w:w w:val="101"/>
          <w:sz w:val="24"/>
          <w:szCs w:val="24"/>
        </w:rPr>
        <w:t xml:space="preserve"> </w:t>
      </w:r>
      <w:r>
        <w:rPr>
          <w:rFonts w:ascii="方正书宋简体" w:hAnsi="方正书宋简体" w:eastAsia="方正书宋简体" w:cs="方正书宋简体"/>
          <w:spacing w:val="-8"/>
          <w:sz w:val="24"/>
          <w:szCs w:val="24"/>
        </w:rPr>
        <w:t>报送教务处实践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教学科，教务处根据人才培养方案审核报送学校审批后，由学校划拨到各学院。各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学院实践教学经费预算计划须由学院主管领导审核签字、单位盖章，不得虚报。</w:t>
      </w:r>
    </w:p>
    <w:p>
      <w:pPr>
        <w:spacing w:before="216" w:line="315" w:lineRule="auto"/>
        <w:ind w:right="7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2、各学院按本办法在项目经费总额度内包干使用，</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其中项目经费总额的三分之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一由学院统一支配用于“实践教学专项经费支付范围”的前三项，其余三分之二用</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7"/>
          <w:sz w:val="24"/>
          <w:szCs w:val="24"/>
        </w:rPr>
        <w:t>于经费支付范围中的第四项（学生开支）。</w:t>
      </w:r>
    </w:p>
    <w:p>
      <w:pPr>
        <w:ind w:left="2" w:right="8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3、实践教学活动结束后，</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按照专款专用原则，</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1"/>
          <w:sz w:val="24"/>
          <w:szCs w:val="24"/>
        </w:rPr>
        <w:t>由所在学院分管实践教学的副院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长审核，学院院长签字，遵照学校财务规定办理相关报账手续。</w:t>
      </w:r>
    </w:p>
    <w:p>
      <w:pPr>
        <w:spacing w:before="212" w:line="314" w:lineRule="auto"/>
        <w:ind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4、实践教学专项经费由学院在规定额度内、按规定的开支范围凭有效票据报账；</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用于指导教师经费开支，学院可在项目总包干经费内酌情解决；用于学生的经费开</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4"/>
          <w:sz w:val="24"/>
          <w:szCs w:val="24"/>
        </w:rPr>
        <w:t>支（不少于每次已完成项目经费总额的三分之二</w:t>
      </w:r>
      <w:r>
        <w:rPr>
          <w:rFonts w:ascii="方正书宋简体" w:hAnsi="方正书宋简体" w:eastAsia="方正书宋简体" w:cs="方正书宋简体"/>
          <w:spacing w:val="-83"/>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4"/>
          <w:sz w:val="24"/>
          <w:szCs w:val="24"/>
        </w:rPr>
        <w:t>应在规定额度内、按规定的开支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范围凭有效票据报账，因特殊原因未能取得有效票据的，可由所在学院分管实践教</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2"/>
          <w:sz w:val="24"/>
          <w:szCs w:val="24"/>
        </w:rPr>
        <w:t>学的副院长审核，学院院长签字，并盖所在学院公章学生签字造册登记发放。各项</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3"/>
          <w:sz w:val="24"/>
          <w:szCs w:val="24"/>
        </w:rPr>
        <w:t>实践教学专项经费不得挪作它用。</w:t>
      </w:r>
    </w:p>
    <w:p>
      <w:pPr>
        <w:spacing w:before="17" w:line="239" w:lineRule="auto"/>
        <w:ind w:right="8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5、各学院根据本管理方法及学校相关管理制度和学院实际制定实践教学经费管</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理细则，并报教务处审核备案。</w:t>
      </w:r>
    </w:p>
    <w:p>
      <w:pPr>
        <w:spacing w:before="204"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实践教学经费使用的监督</w:t>
      </w:r>
    </w:p>
    <w:p>
      <w:pPr>
        <w:spacing w:before="146" w:line="304" w:lineRule="auto"/>
        <w:ind w:right="81"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1、教务处定期组织实践教学专项检查，</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sz w:val="24"/>
          <w:szCs w:val="24"/>
        </w:rPr>
        <w:t>查阅实践教学相关文档、材料；</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对实践</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教学专项经费进行绩效评估，确保实践教学经费使用确有成效。</w:t>
      </w:r>
    </w:p>
    <w:p>
      <w:pPr>
        <w:spacing w:before="37" w:line="265" w:lineRule="auto"/>
        <w:ind w:right="8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2、教务处将定期抽查并采取走访学生、召开学生座谈会的方式同步跟踪与监督</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
          <w:sz w:val="24"/>
          <w:szCs w:val="24"/>
        </w:rPr>
        <w:t>实践教学开展情况，如发现在实践经费使用过程中存在虚报、瞒报或挪作它用的，</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2"/>
          <w:sz w:val="24"/>
          <w:szCs w:val="24"/>
        </w:rPr>
        <w:t>一经查实，将按学校有关规定进行处理。</w:t>
      </w:r>
    </w:p>
    <w:p>
      <w:pPr>
        <w:spacing w:before="204" w:line="281" w:lineRule="auto"/>
        <w:ind w:right="8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本办法自发布之日起执行，原经费管理暂行办法终止，本办法由教务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处负责解释。</w:t>
      </w:r>
    </w:p>
    <w:p>
      <w:pPr>
        <w:sectPr>
          <w:footerReference r:id="rId217" w:type="default"/>
          <w:pgSz w:w="11905" w:h="16840"/>
          <w:pgMar w:top="1431" w:right="1506" w:bottom="1365" w:left="1592" w:header="0" w:footer="1241" w:gutter="0"/>
          <w:cols w:space="720" w:num="1"/>
        </w:sectPr>
      </w:pPr>
    </w:p>
    <w:p/>
    <w:p>
      <w:pPr>
        <w:spacing w:line="59" w:lineRule="exact"/>
      </w:pPr>
    </w:p>
    <w:p>
      <w:pPr>
        <w:sectPr>
          <w:footerReference r:id="rId218" w:type="default"/>
          <w:pgSz w:w="11905" w:h="16840"/>
          <w:pgMar w:top="1431" w:right="1577" w:bottom="1365" w:left="1578" w:header="0" w:footer="1243" w:gutter="0"/>
          <w:cols w:equalWidth="0" w:num="1">
            <w:col w:w="8750"/>
          </w:cols>
        </w:sectPr>
      </w:pPr>
    </w:p>
    <w:p>
      <w:pPr>
        <w:spacing w:before="128"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1</w:t>
      </w:r>
    </w:p>
    <w:p>
      <w:pPr>
        <w:spacing w:line="391" w:lineRule="auto"/>
        <w:rPr>
          <w:rFonts w:ascii="Malgun Gothic"/>
          <w:sz w:val="21"/>
        </w:rPr>
      </w:pPr>
    </w:p>
    <w:p>
      <w:pPr>
        <w:spacing w:before="76" w:line="161"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单位名称：</w:t>
      </w:r>
    </w:p>
    <w:p>
      <w:pPr>
        <w:spacing w:line="14" w:lineRule="auto"/>
        <w:rPr>
          <w:rFonts w:ascii="Malgun Gothic"/>
          <w:sz w:val="2"/>
        </w:rPr>
      </w:pPr>
      <w:r>
        <w:rPr>
          <w:rFonts w:ascii="Malgun Gothic" w:hAnsi="Malgun Gothic" w:eastAsia="Malgun Gothic" w:cs="Malgun Gothic"/>
          <w:sz w:val="2"/>
          <w:szCs w:val="2"/>
        </w:rPr>
        <w:br w:type="column"/>
      </w:r>
    </w:p>
    <w:p>
      <w:pPr>
        <w:spacing w:before="65" w:line="180" w:lineRule="auto"/>
        <w:ind w:firstLine="431"/>
        <w:rPr>
          <w:rFonts w:ascii="Microsoft JhengHei" w:hAnsi="Microsoft JhengHei" w:eastAsia="Microsoft JhengHei" w:cs="Microsoft JhengHei"/>
          <w:sz w:val="30"/>
          <w:szCs w:val="30"/>
        </w:rPr>
      </w:pPr>
      <w:r>
        <w:rPr>
          <w:rFonts w:ascii="Microsoft JhengHei" w:hAnsi="Microsoft JhengHei" w:eastAsia="Microsoft JhengHei" w:cs="Microsoft JhengHei"/>
          <w:spacing w:val="-1"/>
          <w:sz w:val="30"/>
          <w:szCs w:val="30"/>
        </w:rPr>
        <w:t>吉首大学实践教学经费预算表</w:t>
      </w:r>
    </w:p>
    <w:p>
      <w:pPr>
        <w:spacing w:line="344" w:lineRule="auto"/>
        <w:rPr>
          <w:rFonts w:ascii="Malgun Gothic"/>
          <w:sz w:val="21"/>
        </w:rPr>
      </w:pPr>
    </w:p>
    <w:p>
      <w:pPr>
        <w:spacing w:before="76" w:line="161" w:lineRule="auto"/>
        <w:ind w:firstLine="2029"/>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填报日期：</w:t>
      </w:r>
    </w:p>
    <w:p>
      <w:pPr>
        <w:sectPr>
          <w:type w:val="continuous"/>
          <w:pgSz w:w="11905" w:h="16840"/>
          <w:pgMar w:top="1431" w:right="1577" w:bottom="1365" w:left="1578" w:header="0" w:footer="1243" w:gutter="0"/>
          <w:cols w:equalWidth="0" w:num="2">
            <w:col w:w="1768" w:space="100"/>
            <w:col w:w="6882"/>
          </w:cols>
        </w:sectPr>
      </w:pPr>
    </w:p>
    <w:p>
      <w:pPr>
        <w:spacing w:line="64"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92"/>
        <w:gridCol w:w="1336"/>
        <w:gridCol w:w="1157"/>
        <w:gridCol w:w="1892"/>
        <w:gridCol w:w="1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2792" w:type="dxa"/>
            <w:tcBorders>
              <w:top w:val="single" w:color="000000" w:sz="6" w:space="0"/>
              <w:left w:val="single" w:color="000000" w:sz="6" w:space="0"/>
            </w:tcBorders>
            <w:vAlign w:val="top"/>
          </w:tcPr>
          <w:p>
            <w:pPr>
              <w:spacing w:before="93" w:line="364" w:lineRule="exact"/>
              <w:ind w:firstLine="1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专业</w:t>
            </w:r>
          </w:p>
          <w:p>
            <w:pPr>
              <w:spacing w:line="204" w:lineRule="auto"/>
              <w:ind w:firstLine="118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名称</w:t>
            </w:r>
          </w:p>
        </w:tc>
        <w:tc>
          <w:tcPr>
            <w:tcW w:w="1336" w:type="dxa"/>
            <w:tcBorders>
              <w:top w:val="single" w:color="000000" w:sz="6" w:space="0"/>
            </w:tcBorders>
            <w:vAlign w:val="top"/>
          </w:tcPr>
          <w:p>
            <w:pPr>
              <w:spacing w:before="93" w:line="362" w:lineRule="exact"/>
              <w:ind w:firstLine="4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专业</w:t>
            </w:r>
          </w:p>
          <w:p>
            <w:pPr>
              <w:spacing w:line="204" w:lineRule="auto"/>
              <w:ind w:firstLine="45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类别</w:t>
            </w:r>
          </w:p>
        </w:tc>
        <w:tc>
          <w:tcPr>
            <w:tcW w:w="1157" w:type="dxa"/>
            <w:tcBorders>
              <w:top w:val="single" w:color="000000" w:sz="6" w:space="0"/>
            </w:tcBorders>
            <w:vAlign w:val="top"/>
          </w:tcPr>
          <w:p>
            <w:pPr>
              <w:spacing w:before="97" w:line="359" w:lineRule="exact"/>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学生</w:t>
            </w:r>
          </w:p>
          <w:p>
            <w:pPr>
              <w:spacing w:line="204" w:lineRule="auto"/>
              <w:ind w:firstLine="3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人数</w:t>
            </w:r>
          </w:p>
        </w:tc>
        <w:tc>
          <w:tcPr>
            <w:tcW w:w="1892" w:type="dxa"/>
            <w:tcBorders>
              <w:top w:val="single" w:color="000000" w:sz="6" w:space="0"/>
            </w:tcBorders>
            <w:vAlign w:val="top"/>
          </w:tcPr>
          <w:p>
            <w:pPr>
              <w:spacing w:before="95" w:line="362" w:lineRule="exact"/>
              <w:ind w:firstLine="7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标准</w:t>
            </w:r>
          </w:p>
          <w:p>
            <w:pPr>
              <w:spacing w:line="204" w:lineRule="auto"/>
              <w:ind w:firstLine="32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（元/学生）</w:t>
            </w:r>
          </w:p>
        </w:tc>
        <w:tc>
          <w:tcPr>
            <w:tcW w:w="1557" w:type="dxa"/>
            <w:tcBorders>
              <w:top w:val="single" w:color="000000" w:sz="6" w:space="0"/>
              <w:right w:val="single" w:color="000000" w:sz="6" w:space="0"/>
            </w:tcBorders>
            <w:vAlign w:val="top"/>
          </w:tcPr>
          <w:p>
            <w:pPr>
              <w:spacing w:before="94" w:line="363" w:lineRule="exact"/>
              <w:ind w:firstLine="5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合计</w:t>
            </w:r>
          </w:p>
          <w:p>
            <w:pPr>
              <w:spacing w:line="204" w:lineRule="auto"/>
              <w:ind w:firstLine="29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2792" w:type="dxa"/>
            <w:tcBorders>
              <w:left w:val="single" w:color="000000" w:sz="6" w:space="0"/>
            </w:tcBorders>
            <w:vAlign w:val="top"/>
          </w:tcPr>
          <w:p>
            <w:pPr>
              <w:rPr>
                <w:rFonts w:ascii="Malgun Gothic"/>
                <w:sz w:val="21"/>
              </w:rPr>
            </w:pPr>
          </w:p>
        </w:tc>
        <w:tc>
          <w:tcPr>
            <w:tcW w:w="1336" w:type="dxa"/>
            <w:vAlign w:val="top"/>
          </w:tcPr>
          <w:p>
            <w:pPr>
              <w:rPr>
                <w:rFonts w:ascii="Malgun Gothic"/>
                <w:sz w:val="21"/>
              </w:rPr>
            </w:pPr>
          </w:p>
        </w:tc>
        <w:tc>
          <w:tcPr>
            <w:tcW w:w="1157" w:type="dxa"/>
            <w:vAlign w:val="top"/>
          </w:tcPr>
          <w:p>
            <w:pPr>
              <w:rPr>
                <w:rFonts w:ascii="Malgun Gothic"/>
                <w:sz w:val="21"/>
              </w:rPr>
            </w:pPr>
          </w:p>
        </w:tc>
        <w:tc>
          <w:tcPr>
            <w:tcW w:w="1892" w:type="dxa"/>
            <w:vAlign w:val="top"/>
          </w:tcPr>
          <w:p>
            <w:pPr>
              <w:rPr>
                <w:rFonts w:ascii="Malgun Gothic"/>
                <w:sz w:val="21"/>
              </w:rPr>
            </w:pPr>
          </w:p>
        </w:tc>
        <w:tc>
          <w:tcPr>
            <w:tcW w:w="155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rPr>
        <w:tc>
          <w:tcPr>
            <w:tcW w:w="2792" w:type="dxa"/>
            <w:tcBorders>
              <w:left w:val="single" w:color="000000" w:sz="6" w:space="0"/>
              <w:bottom w:val="single" w:color="000000" w:sz="6" w:space="0"/>
            </w:tcBorders>
            <w:vAlign w:val="top"/>
          </w:tcPr>
          <w:p>
            <w:pPr>
              <w:spacing w:before="282" w:line="180" w:lineRule="auto"/>
              <w:ind w:firstLine="76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合计（万元）</w:t>
            </w:r>
          </w:p>
        </w:tc>
        <w:tc>
          <w:tcPr>
            <w:tcW w:w="5942" w:type="dxa"/>
            <w:gridSpan w:val="4"/>
            <w:tcBorders>
              <w:bottom w:val="single" w:color="000000" w:sz="6" w:space="0"/>
              <w:right w:val="single" w:color="000000" w:sz="6" w:space="0"/>
            </w:tcBorders>
            <w:vAlign w:val="top"/>
          </w:tcPr>
          <w:p>
            <w:pPr>
              <w:rPr>
                <w:rFonts w:ascii="Malgun Gothic"/>
                <w:sz w:val="21"/>
              </w:rPr>
            </w:pPr>
          </w:p>
        </w:tc>
      </w:tr>
    </w:tbl>
    <w:p>
      <w:pPr>
        <w:spacing w:before="185" w:line="180" w:lineRule="auto"/>
        <w:ind w:firstLine="434"/>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制表人：</w:t>
      </w:r>
    </w:p>
    <w:p>
      <w:pPr>
        <w:spacing w:before="224" w:line="161"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单位负责人：</w:t>
      </w:r>
    </w:p>
    <w:p>
      <w:pPr>
        <w:sectPr>
          <w:type w:val="continuous"/>
          <w:pgSz w:w="11905" w:h="16840"/>
          <w:pgMar w:top="1431" w:right="1577" w:bottom="1365" w:left="1578" w:header="0" w:footer="1243" w:gutter="0"/>
          <w:cols w:equalWidth="0" w:num="1">
            <w:col w:w="8750"/>
          </w:cols>
        </w:sectPr>
      </w:pPr>
    </w:p>
    <w:p>
      <w:pPr>
        <w:spacing w:line="264" w:lineRule="auto"/>
        <w:rPr>
          <w:rFonts w:ascii="Malgun Gothic"/>
          <w:sz w:val="21"/>
        </w:rPr>
      </w:pPr>
    </w:p>
    <w:p>
      <w:pPr>
        <w:spacing w:line="264" w:lineRule="auto"/>
        <w:rPr>
          <w:rFonts w:ascii="Malgun Gothic"/>
          <w:sz w:val="21"/>
        </w:rPr>
      </w:pPr>
    </w:p>
    <w:p>
      <w:pPr>
        <w:tabs>
          <w:tab w:val="left" w:pos="2496"/>
        </w:tabs>
        <w:spacing w:before="75" w:line="180" w:lineRule="auto"/>
        <w:ind w:firstLine="813"/>
        <w:rPr>
          <w:rFonts w:ascii="方正书宋简体" w:hAnsi="方正书宋简体" w:eastAsia="方正书宋简体" w:cs="方正书宋简体"/>
          <w:sz w:val="21"/>
          <w:szCs w:val="21"/>
        </w:rPr>
      </w:pPr>
      <w:r>
        <w:rPr>
          <w:rFonts w:ascii="Malgun Gothic" w:hAnsi="Malgun Gothic" w:eastAsia="Malgun Gothic" w:cs="Malgun Gothic"/>
          <w:sz w:val="21"/>
          <w:szCs w:val="21"/>
          <w:u w:val="single" w:color="auto"/>
        </w:rPr>
        <w:tab/>
      </w:r>
      <w:r>
        <w:rPr>
          <w:rFonts w:ascii="方正书宋简体" w:hAnsi="方正书宋简体" w:eastAsia="方正书宋简体" w:cs="方正书宋简体"/>
          <w:spacing w:val="-1"/>
          <w:sz w:val="21"/>
          <w:szCs w:val="21"/>
        </w:rPr>
        <w:t>学院</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1"/>
          <w:sz w:val="21"/>
          <w:szCs w:val="21"/>
        </w:rPr>
        <w:t>年度实践教学计划表</w:t>
      </w:r>
    </w:p>
    <w:p>
      <w:pPr>
        <w:spacing w:line="40" w:lineRule="exact"/>
      </w:pPr>
    </w:p>
    <w:tbl>
      <w:tblPr>
        <w:tblStyle w:val="4"/>
        <w:tblW w:w="144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9"/>
        <w:gridCol w:w="770"/>
        <w:gridCol w:w="1175"/>
        <w:gridCol w:w="810"/>
        <w:gridCol w:w="1087"/>
        <w:gridCol w:w="829"/>
        <w:gridCol w:w="795"/>
        <w:gridCol w:w="971"/>
        <w:gridCol w:w="971"/>
        <w:gridCol w:w="971"/>
        <w:gridCol w:w="971"/>
        <w:gridCol w:w="971"/>
        <w:gridCol w:w="971"/>
        <w:gridCol w:w="766"/>
        <w:gridCol w:w="742"/>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789" w:type="dxa"/>
            <w:tcBorders>
              <w:top w:val="single" w:color="000000" w:sz="6" w:space="0"/>
              <w:left w:val="single" w:color="000000" w:sz="6" w:space="0"/>
            </w:tcBorders>
            <w:vAlign w:val="top"/>
          </w:tcPr>
          <w:p>
            <w:pPr>
              <w:spacing w:before="406" w:line="180" w:lineRule="auto"/>
              <w:ind w:firstLine="1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序号</w:t>
            </w:r>
          </w:p>
        </w:tc>
        <w:tc>
          <w:tcPr>
            <w:tcW w:w="770" w:type="dxa"/>
            <w:tcBorders>
              <w:top w:val="single" w:color="000000" w:sz="6" w:space="0"/>
            </w:tcBorders>
            <w:vAlign w:val="top"/>
          </w:tcPr>
          <w:p>
            <w:pPr>
              <w:spacing w:before="407" w:line="180" w:lineRule="auto"/>
              <w:ind w:firstLine="1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学院</w:t>
            </w:r>
          </w:p>
        </w:tc>
        <w:tc>
          <w:tcPr>
            <w:tcW w:w="1175" w:type="dxa"/>
            <w:tcBorders>
              <w:top w:val="single" w:color="000000" w:sz="6" w:space="0"/>
            </w:tcBorders>
            <w:vAlign w:val="top"/>
          </w:tcPr>
          <w:p>
            <w:pPr>
              <w:spacing w:before="247" w:line="251" w:lineRule="auto"/>
              <w:ind w:left="156" w:right="167"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年级、专</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业、班级</w:t>
            </w:r>
          </w:p>
        </w:tc>
        <w:tc>
          <w:tcPr>
            <w:tcW w:w="810" w:type="dxa"/>
            <w:tcBorders>
              <w:top w:val="single" w:color="000000" w:sz="6" w:space="0"/>
            </w:tcBorders>
            <w:vAlign w:val="top"/>
          </w:tcPr>
          <w:p>
            <w:pPr>
              <w:spacing w:before="228" w:line="361" w:lineRule="exact"/>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14:textOutline w14:w="2667" w14:cap="flat" w14:cmpd="sng">
                  <w14:solidFill>
                    <w14:srgbClr w14:val="000000"/>
                  </w14:solidFill>
                  <w14:prstDash w14:val="solid"/>
                  <w14:miter w14:val="1"/>
                </w14:textOutline>
              </w:rPr>
              <w:t>实习</w:t>
            </w:r>
          </w:p>
          <w:p>
            <w:pPr>
              <w:spacing w:line="204"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形式</w:t>
            </w:r>
          </w:p>
        </w:tc>
        <w:tc>
          <w:tcPr>
            <w:tcW w:w="1087" w:type="dxa"/>
            <w:tcBorders>
              <w:top w:val="single" w:color="000000" w:sz="6" w:space="0"/>
            </w:tcBorders>
            <w:vAlign w:val="top"/>
          </w:tcPr>
          <w:p>
            <w:pPr>
              <w:spacing w:before="95"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实习学期</w:t>
            </w:r>
          </w:p>
          <w:p>
            <w:pPr>
              <w:spacing w:before="87" w:line="220" w:lineRule="auto"/>
              <w:ind w:left="249" w:right="174" w:hanging="198"/>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14:textOutline w14:w="2667" w14:cap="flat" w14:cmpd="sng">
                  <w14:solidFill>
                    <w14:srgbClr w14:val="000000"/>
                  </w14:solidFill>
                  <w14:prstDash w14:val="solid"/>
                  <w14:miter w14:val="1"/>
                </w14:textOutline>
              </w:rPr>
              <w:t>（填</w:t>
            </w:r>
            <w:r>
              <w:rPr>
                <w:rFonts w:ascii="方正书宋简体" w:hAnsi="方正书宋简体" w:eastAsia="方正书宋简体" w:cs="方正书宋简体"/>
                <w:spacing w:val="33"/>
                <w:sz w:val="21"/>
                <w:szCs w:val="21"/>
              </w:rPr>
              <w:t xml:space="preserve"> </w:t>
            </w:r>
            <w:r>
              <w:rPr>
                <w:rFonts w:ascii="方正书宋简体" w:hAnsi="方正书宋简体" w:eastAsia="方正书宋简体" w:cs="方正书宋简体"/>
                <w:spacing w:val="-7"/>
                <w:sz w:val="21"/>
                <w:szCs w:val="21"/>
                <w14:textOutline w14:w="2667" w14:cap="flat" w14:cmpd="sng">
                  <w14:solidFill>
                    <w14:srgbClr w14:val="000000"/>
                  </w14:solidFill>
                  <w14:prstDash w14:val="solid"/>
                  <w14:miter w14:val="1"/>
                </w14:textOutline>
              </w:rPr>
              <w:t>1</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7"/>
                <w:sz w:val="21"/>
                <w:szCs w:val="21"/>
                <w14:textOutline w14:w="2667" w14:cap="flat" w14:cmpd="sng">
                  <w14:solidFill>
                    <w14:srgbClr w14:val="000000"/>
                  </w14:solidFill>
                  <w14:prstDash w14:val="solid"/>
                  <w14:miter w14:val="1"/>
                </w14:textOutline>
              </w:rPr>
              <w:t>或</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者</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2）</w:t>
            </w:r>
          </w:p>
        </w:tc>
        <w:tc>
          <w:tcPr>
            <w:tcW w:w="829" w:type="dxa"/>
            <w:tcBorders>
              <w:top w:val="single" w:color="000000" w:sz="6" w:space="0"/>
            </w:tcBorders>
            <w:vAlign w:val="top"/>
          </w:tcPr>
          <w:p>
            <w:pPr>
              <w:spacing w:before="252" w:line="312" w:lineRule="exact"/>
              <w:ind w:firstLine="2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14:textOutline w14:w="2667" w14:cap="flat" w14:cmpd="sng">
                  <w14:solidFill>
                    <w14:srgbClr w14:val="000000"/>
                  </w14:solidFill>
                  <w14:prstDash w14:val="solid"/>
                  <w14:miter w14:val="1"/>
                </w14:textOutline>
              </w:rPr>
              <w:t>实习</w:t>
            </w:r>
          </w:p>
          <w:p>
            <w:pPr>
              <w:spacing w:line="204" w:lineRule="auto"/>
              <w:ind w:firstLine="20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天数</w:t>
            </w:r>
          </w:p>
        </w:tc>
        <w:tc>
          <w:tcPr>
            <w:tcW w:w="795" w:type="dxa"/>
            <w:tcBorders>
              <w:top w:val="single" w:color="000000" w:sz="6" w:space="0"/>
            </w:tcBorders>
            <w:vAlign w:val="top"/>
          </w:tcPr>
          <w:p>
            <w:pPr>
              <w:spacing w:before="253" w:line="311" w:lineRule="exact"/>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14:textOutline w14:w="2667" w14:cap="flat" w14:cmpd="sng">
                  <w14:solidFill>
                    <w14:srgbClr w14:val="000000"/>
                  </w14:solidFill>
                  <w14:prstDash w14:val="solid"/>
                  <w14:miter w14:val="1"/>
                </w14:textOutline>
              </w:rPr>
              <w:t>学生</w:t>
            </w:r>
          </w:p>
          <w:p>
            <w:pPr>
              <w:spacing w:line="204" w:lineRule="auto"/>
              <w:ind w:firstLine="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人数</w:t>
            </w:r>
          </w:p>
        </w:tc>
        <w:tc>
          <w:tcPr>
            <w:tcW w:w="971" w:type="dxa"/>
            <w:tcBorders>
              <w:top w:val="single" w:color="000000" w:sz="6" w:space="0"/>
            </w:tcBorders>
            <w:vAlign w:val="top"/>
          </w:tcPr>
          <w:p>
            <w:pPr>
              <w:spacing w:before="252" w:line="252" w:lineRule="auto"/>
              <w:ind w:left="173" w:right="165"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学生经</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费标准</w:t>
            </w:r>
          </w:p>
        </w:tc>
        <w:tc>
          <w:tcPr>
            <w:tcW w:w="971" w:type="dxa"/>
            <w:tcBorders>
              <w:top w:val="single" w:color="000000" w:sz="6" w:space="0"/>
            </w:tcBorders>
            <w:vAlign w:val="top"/>
          </w:tcPr>
          <w:p>
            <w:pPr>
              <w:spacing w:before="252" w:line="252" w:lineRule="auto"/>
              <w:ind w:left="174" w:right="164"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学生经</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费总数</w:t>
            </w:r>
          </w:p>
        </w:tc>
        <w:tc>
          <w:tcPr>
            <w:tcW w:w="971" w:type="dxa"/>
            <w:tcBorders>
              <w:top w:val="single" w:color="000000" w:sz="6" w:space="0"/>
            </w:tcBorders>
            <w:vAlign w:val="top"/>
          </w:tcPr>
          <w:p>
            <w:pPr>
              <w:spacing w:before="253" w:line="251" w:lineRule="auto"/>
              <w:ind w:left="171" w:right="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指导教</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师人数</w:t>
            </w:r>
          </w:p>
        </w:tc>
        <w:tc>
          <w:tcPr>
            <w:tcW w:w="971" w:type="dxa"/>
            <w:tcBorders>
              <w:top w:val="single" w:color="000000" w:sz="6" w:space="0"/>
            </w:tcBorders>
            <w:vAlign w:val="top"/>
          </w:tcPr>
          <w:p>
            <w:pPr>
              <w:spacing w:before="97" w:line="180" w:lineRule="auto"/>
              <w:ind w:firstLine="1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指导教</w:t>
            </w:r>
          </w:p>
          <w:p>
            <w:pPr>
              <w:spacing w:before="87" w:line="180" w:lineRule="auto"/>
              <w:ind w:firstLine="1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师经费</w:t>
            </w:r>
          </w:p>
          <w:p>
            <w:pPr>
              <w:spacing w:before="87" w:line="180" w:lineRule="auto"/>
              <w:ind w:firstLine="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标准</w:t>
            </w:r>
          </w:p>
        </w:tc>
        <w:tc>
          <w:tcPr>
            <w:tcW w:w="971" w:type="dxa"/>
            <w:tcBorders>
              <w:top w:val="single" w:color="000000" w:sz="6" w:space="0"/>
            </w:tcBorders>
            <w:vAlign w:val="top"/>
          </w:tcPr>
          <w:p>
            <w:pPr>
              <w:spacing w:before="97" w:line="180" w:lineRule="auto"/>
              <w:ind w:firstLine="1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指导教</w:t>
            </w:r>
          </w:p>
          <w:p>
            <w:pPr>
              <w:spacing w:before="87" w:line="180" w:lineRule="auto"/>
              <w:ind w:firstLine="17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师经费</w:t>
            </w:r>
          </w:p>
          <w:p>
            <w:pPr>
              <w:spacing w:before="86" w:line="180" w:lineRule="auto"/>
              <w:ind w:firstLine="28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总数</w:t>
            </w:r>
          </w:p>
        </w:tc>
        <w:tc>
          <w:tcPr>
            <w:tcW w:w="971" w:type="dxa"/>
            <w:tcBorders>
              <w:top w:val="single" w:color="000000" w:sz="6" w:space="0"/>
            </w:tcBorders>
            <w:vAlign w:val="top"/>
          </w:tcPr>
          <w:p>
            <w:pPr>
              <w:spacing w:before="97" w:line="180" w:lineRule="auto"/>
              <w:ind w:firstLine="1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学生教</w:t>
            </w:r>
          </w:p>
          <w:p>
            <w:pPr>
              <w:spacing w:before="87" w:line="180" w:lineRule="auto"/>
              <w:ind w:firstLine="1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师经费</w:t>
            </w:r>
          </w:p>
          <w:p>
            <w:pPr>
              <w:spacing w:before="86" w:line="180" w:lineRule="auto"/>
              <w:ind w:firstLine="27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合计</w:t>
            </w:r>
          </w:p>
        </w:tc>
        <w:tc>
          <w:tcPr>
            <w:tcW w:w="766" w:type="dxa"/>
            <w:tcBorders>
              <w:top w:val="single" w:color="000000" w:sz="6" w:space="0"/>
            </w:tcBorders>
            <w:vAlign w:val="top"/>
          </w:tcPr>
          <w:p>
            <w:pPr>
              <w:spacing w:before="252" w:line="313" w:lineRule="exact"/>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14:textOutline w14:w="2667" w14:cap="flat" w14:cmpd="sng">
                  <w14:solidFill>
                    <w14:srgbClr w14:val="000000"/>
                  </w14:solidFill>
                  <w14:prstDash w14:val="solid"/>
                  <w14:miter w14:val="1"/>
                </w14:textOutline>
              </w:rPr>
              <w:t>实施</w:t>
            </w:r>
          </w:p>
          <w:p>
            <w:pPr>
              <w:spacing w:line="204" w:lineRule="auto"/>
              <w:ind w:firstLine="1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周次</w:t>
            </w:r>
          </w:p>
        </w:tc>
        <w:tc>
          <w:tcPr>
            <w:tcW w:w="742" w:type="dxa"/>
            <w:tcBorders>
              <w:top w:val="single" w:color="000000" w:sz="6" w:space="0"/>
            </w:tcBorders>
            <w:vAlign w:val="top"/>
          </w:tcPr>
          <w:p>
            <w:pPr>
              <w:spacing w:before="250" w:line="315" w:lineRule="exact"/>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14:textOutline w14:w="2667" w14:cap="flat" w14:cmpd="sng">
                  <w14:solidFill>
                    <w14:srgbClr w14:val="000000"/>
                  </w14:solidFill>
                  <w14:prstDash w14:val="solid"/>
                  <w14:miter w14:val="1"/>
                </w14:textOutline>
              </w:rPr>
              <w:t>执行</w:t>
            </w:r>
          </w:p>
          <w:p>
            <w:pPr>
              <w:spacing w:line="204"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教师</w:t>
            </w:r>
          </w:p>
        </w:tc>
        <w:tc>
          <w:tcPr>
            <w:tcW w:w="845" w:type="dxa"/>
            <w:tcBorders>
              <w:top w:val="single" w:color="000000" w:sz="6" w:space="0"/>
              <w:right w:val="single" w:color="000000" w:sz="6" w:space="0"/>
            </w:tcBorders>
            <w:vAlign w:val="top"/>
          </w:tcPr>
          <w:p>
            <w:pPr>
              <w:spacing w:before="405" w:line="180" w:lineRule="auto"/>
              <w:ind w:firstLine="2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789" w:type="dxa"/>
            <w:tcBorders>
              <w:left w:val="single" w:color="000000" w:sz="6" w:space="0"/>
            </w:tcBorders>
            <w:vAlign w:val="top"/>
          </w:tcPr>
          <w:p>
            <w:pPr>
              <w:spacing w:before="303" w:line="180" w:lineRule="auto"/>
              <w:ind w:firstLine="35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770" w:type="dxa"/>
            <w:vAlign w:val="top"/>
          </w:tcPr>
          <w:p>
            <w:pPr>
              <w:rPr>
                <w:rFonts w:ascii="Malgun Gothic"/>
                <w:sz w:val="21"/>
              </w:rPr>
            </w:pPr>
          </w:p>
        </w:tc>
        <w:tc>
          <w:tcPr>
            <w:tcW w:w="1175" w:type="dxa"/>
            <w:vAlign w:val="top"/>
          </w:tcPr>
          <w:p>
            <w:pPr>
              <w:rPr>
                <w:rFonts w:ascii="Malgun Gothic"/>
                <w:sz w:val="21"/>
              </w:rPr>
            </w:pPr>
          </w:p>
        </w:tc>
        <w:tc>
          <w:tcPr>
            <w:tcW w:w="810" w:type="dxa"/>
            <w:vAlign w:val="top"/>
          </w:tcPr>
          <w:p>
            <w:pPr>
              <w:rPr>
                <w:rFonts w:ascii="Malgun Gothic"/>
                <w:sz w:val="21"/>
              </w:rPr>
            </w:pPr>
          </w:p>
        </w:tc>
        <w:tc>
          <w:tcPr>
            <w:tcW w:w="1087" w:type="dxa"/>
            <w:vAlign w:val="top"/>
          </w:tcPr>
          <w:p>
            <w:pPr>
              <w:rPr>
                <w:rFonts w:ascii="Malgun Gothic"/>
                <w:sz w:val="21"/>
              </w:rPr>
            </w:pPr>
          </w:p>
        </w:tc>
        <w:tc>
          <w:tcPr>
            <w:tcW w:w="829" w:type="dxa"/>
            <w:vAlign w:val="top"/>
          </w:tcPr>
          <w:p>
            <w:pPr>
              <w:rPr>
                <w:rFonts w:ascii="Malgun Gothic"/>
                <w:sz w:val="21"/>
              </w:rPr>
            </w:pPr>
          </w:p>
        </w:tc>
        <w:tc>
          <w:tcPr>
            <w:tcW w:w="795"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766" w:type="dxa"/>
            <w:vAlign w:val="top"/>
          </w:tcPr>
          <w:p>
            <w:pPr>
              <w:rPr>
                <w:rFonts w:ascii="Malgun Gothic"/>
                <w:sz w:val="21"/>
              </w:rPr>
            </w:pPr>
          </w:p>
        </w:tc>
        <w:tc>
          <w:tcPr>
            <w:tcW w:w="742" w:type="dxa"/>
            <w:vAlign w:val="top"/>
          </w:tcPr>
          <w:p>
            <w:pPr>
              <w:rPr>
                <w:rFonts w:ascii="Malgun Gothic"/>
                <w:sz w:val="21"/>
              </w:rPr>
            </w:pPr>
          </w:p>
        </w:tc>
        <w:tc>
          <w:tcPr>
            <w:tcW w:w="84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89" w:type="dxa"/>
            <w:tcBorders>
              <w:left w:val="single" w:color="000000" w:sz="6" w:space="0"/>
            </w:tcBorders>
            <w:vAlign w:val="top"/>
          </w:tcPr>
          <w:p>
            <w:pPr>
              <w:spacing w:before="305" w:line="180" w:lineRule="auto"/>
              <w:ind w:firstLine="33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70" w:type="dxa"/>
            <w:vAlign w:val="top"/>
          </w:tcPr>
          <w:p>
            <w:pPr>
              <w:rPr>
                <w:rFonts w:ascii="Malgun Gothic"/>
                <w:sz w:val="21"/>
              </w:rPr>
            </w:pPr>
          </w:p>
        </w:tc>
        <w:tc>
          <w:tcPr>
            <w:tcW w:w="1175" w:type="dxa"/>
            <w:vAlign w:val="top"/>
          </w:tcPr>
          <w:p>
            <w:pPr>
              <w:rPr>
                <w:rFonts w:ascii="Malgun Gothic"/>
                <w:sz w:val="21"/>
              </w:rPr>
            </w:pPr>
          </w:p>
        </w:tc>
        <w:tc>
          <w:tcPr>
            <w:tcW w:w="810" w:type="dxa"/>
            <w:vAlign w:val="top"/>
          </w:tcPr>
          <w:p>
            <w:pPr>
              <w:rPr>
                <w:rFonts w:ascii="Malgun Gothic"/>
                <w:sz w:val="21"/>
              </w:rPr>
            </w:pPr>
          </w:p>
        </w:tc>
        <w:tc>
          <w:tcPr>
            <w:tcW w:w="1087" w:type="dxa"/>
            <w:vAlign w:val="top"/>
          </w:tcPr>
          <w:p>
            <w:pPr>
              <w:rPr>
                <w:rFonts w:ascii="Malgun Gothic"/>
                <w:sz w:val="21"/>
              </w:rPr>
            </w:pPr>
          </w:p>
        </w:tc>
        <w:tc>
          <w:tcPr>
            <w:tcW w:w="829" w:type="dxa"/>
            <w:vAlign w:val="top"/>
          </w:tcPr>
          <w:p>
            <w:pPr>
              <w:rPr>
                <w:rFonts w:ascii="Malgun Gothic"/>
                <w:sz w:val="21"/>
              </w:rPr>
            </w:pPr>
          </w:p>
        </w:tc>
        <w:tc>
          <w:tcPr>
            <w:tcW w:w="795"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766" w:type="dxa"/>
            <w:vAlign w:val="top"/>
          </w:tcPr>
          <w:p>
            <w:pPr>
              <w:rPr>
                <w:rFonts w:ascii="Malgun Gothic"/>
                <w:sz w:val="21"/>
              </w:rPr>
            </w:pPr>
          </w:p>
        </w:tc>
        <w:tc>
          <w:tcPr>
            <w:tcW w:w="742" w:type="dxa"/>
            <w:vAlign w:val="top"/>
          </w:tcPr>
          <w:p>
            <w:pPr>
              <w:rPr>
                <w:rFonts w:ascii="Malgun Gothic"/>
                <w:sz w:val="21"/>
              </w:rPr>
            </w:pPr>
          </w:p>
        </w:tc>
        <w:tc>
          <w:tcPr>
            <w:tcW w:w="84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89" w:type="dxa"/>
            <w:tcBorders>
              <w:left w:val="single" w:color="000000" w:sz="6" w:space="0"/>
            </w:tcBorders>
            <w:vAlign w:val="top"/>
          </w:tcPr>
          <w:p>
            <w:pPr>
              <w:spacing w:before="306" w:line="180" w:lineRule="auto"/>
              <w:ind w:firstLine="34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70" w:type="dxa"/>
            <w:vAlign w:val="top"/>
          </w:tcPr>
          <w:p>
            <w:pPr>
              <w:rPr>
                <w:rFonts w:ascii="Malgun Gothic"/>
                <w:sz w:val="21"/>
              </w:rPr>
            </w:pPr>
          </w:p>
        </w:tc>
        <w:tc>
          <w:tcPr>
            <w:tcW w:w="1175" w:type="dxa"/>
            <w:vAlign w:val="top"/>
          </w:tcPr>
          <w:p>
            <w:pPr>
              <w:rPr>
                <w:rFonts w:ascii="Malgun Gothic"/>
                <w:sz w:val="21"/>
              </w:rPr>
            </w:pPr>
          </w:p>
        </w:tc>
        <w:tc>
          <w:tcPr>
            <w:tcW w:w="810" w:type="dxa"/>
            <w:vAlign w:val="top"/>
          </w:tcPr>
          <w:p>
            <w:pPr>
              <w:rPr>
                <w:rFonts w:ascii="Malgun Gothic"/>
                <w:sz w:val="21"/>
              </w:rPr>
            </w:pPr>
          </w:p>
        </w:tc>
        <w:tc>
          <w:tcPr>
            <w:tcW w:w="1087" w:type="dxa"/>
            <w:vAlign w:val="top"/>
          </w:tcPr>
          <w:p>
            <w:pPr>
              <w:rPr>
                <w:rFonts w:ascii="Malgun Gothic"/>
                <w:sz w:val="21"/>
              </w:rPr>
            </w:pPr>
          </w:p>
        </w:tc>
        <w:tc>
          <w:tcPr>
            <w:tcW w:w="829" w:type="dxa"/>
            <w:vAlign w:val="top"/>
          </w:tcPr>
          <w:p>
            <w:pPr>
              <w:rPr>
                <w:rFonts w:ascii="Malgun Gothic"/>
                <w:sz w:val="21"/>
              </w:rPr>
            </w:pPr>
          </w:p>
        </w:tc>
        <w:tc>
          <w:tcPr>
            <w:tcW w:w="795"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766" w:type="dxa"/>
            <w:vAlign w:val="top"/>
          </w:tcPr>
          <w:p>
            <w:pPr>
              <w:rPr>
                <w:rFonts w:ascii="Malgun Gothic"/>
                <w:sz w:val="21"/>
              </w:rPr>
            </w:pPr>
          </w:p>
        </w:tc>
        <w:tc>
          <w:tcPr>
            <w:tcW w:w="742" w:type="dxa"/>
            <w:vAlign w:val="top"/>
          </w:tcPr>
          <w:p>
            <w:pPr>
              <w:rPr>
                <w:rFonts w:ascii="Malgun Gothic"/>
                <w:sz w:val="21"/>
              </w:rPr>
            </w:pPr>
          </w:p>
        </w:tc>
        <w:tc>
          <w:tcPr>
            <w:tcW w:w="84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789" w:type="dxa"/>
            <w:tcBorders>
              <w:left w:val="single" w:color="000000" w:sz="6" w:space="0"/>
            </w:tcBorders>
            <w:vAlign w:val="top"/>
          </w:tcPr>
          <w:p>
            <w:pPr>
              <w:spacing w:before="309" w:line="180" w:lineRule="auto"/>
              <w:ind w:firstLine="3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770" w:type="dxa"/>
            <w:vAlign w:val="top"/>
          </w:tcPr>
          <w:p>
            <w:pPr>
              <w:rPr>
                <w:rFonts w:ascii="Malgun Gothic"/>
                <w:sz w:val="21"/>
              </w:rPr>
            </w:pPr>
          </w:p>
        </w:tc>
        <w:tc>
          <w:tcPr>
            <w:tcW w:w="1175" w:type="dxa"/>
            <w:vAlign w:val="top"/>
          </w:tcPr>
          <w:p>
            <w:pPr>
              <w:rPr>
                <w:rFonts w:ascii="Malgun Gothic"/>
                <w:sz w:val="21"/>
              </w:rPr>
            </w:pPr>
          </w:p>
        </w:tc>
        <w:tc>
          <w:tcPr>
            <w:tcW w:w="810" w:type="dxa"/>
            <w:vAlign w:val="top"/>
          </w:tcPr>
          <w:p>
            <w:pPr>
              <w:rPr>
                <w:rFonts w:ascii="Malgun Gothic"/>
                <w:sz w:val="21"/>
              </w:rPr>
            </w:pPr>
          </w:p>
        </w:tc>
        <w:tc>
          <w:tcPr>
            <w:tcW w:w="1087" w:type="dxa"/>
            <w:vAlign w:val="top"/>
          </w:tcPr>
          <w:p>
            <w:pPr>
              <w:rPr>
                <w:rFonts w:ascii="Malgun Gothic"/>
                <w:sz w:val="21"/>
              </w:rPr>
            </w:pPr>
          </w:p>
        </w:tc>
        <w:tc>
          <w:tcPr>
            <w:tcW w:w="829" w:type="dxa"/>
            <w:vAlign w:val="top"/>
          </w:tcPr>
          <w:p>
            <w:pPr>
              <w:rPr>
                <w:rFonts w:ascii="Malgun Gothic"/>
                <w:sz w:val="21"/>
              </w:rPr>
            </w:pPr>
          </w:p>
        </w:tc>
        <w:tc>
          <w:tcPr>
            <w:tcW w:w="795"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766" w:type="dxa"/>
            <w:vAlign w:val="top"/>
          </w:tcPr>
          <w:p>
            <w:pPr>
              <w:rPr>
                <w:rFonts w:ascii="Malgun Gothic"/>
                <w:sz w:val="21"/>
              </w:rPr>
            </w:pPr>
          </w:p>
        </w:tc>
        <w:tc>
          <w:tcPr>
            <w:tcW w:w="742" w:type="dxa"/>
            <w:vAlign w:val="top"/>
          </w:tcPr>
          <w:p>
            <w:pPr>
              <w:rPr>
                <w:rFonts w:ascii="Malgun Gothic"/>
                <w:sz w:val="21"/>
              </w:rPr>
            </w:pPr>
          </w:p>
        </w:tc>
        <w:tc>
          <w:tcPr>
            <w:tcW w:w="84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789" w:type="dxa"/>
            <w:tcBorders>
              <w:left w:val="single" w:color="000000" w:sz="6" w:space="0"/>
            </w:tcBorders>
            <w:vAlign w:val="top"/>
          </w:tcPr>
          <w:p>
            <w:pPr>
              <w:spacing w:before="307" w:line="180" w:lineRule="auto"/>
              <w:ind w:firstLine="33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70" w:type="dxa"/>
            <w:vAlign w:val="top"/>
          </w:tcPr>
          <w:p>
            <w:pPr>
              <w:rPr>
                <w:rFonts w:ascii="Malgun Gothic"/>
                <w:sz w:val="21"/>
              </w:rPr>
            </w:pPr>
          </w:p>
        </w:tc>
        <w:tc>
          <w:tcPr>
            <w:tcW w:w="1175" w:type="dxa"/>
            <w:vAlign w:val="top"/>
          </w:tcPr>
          <w:p>
            <w:pPr>
              <w:rPr>
                <w:rFonts w:ascii="Malgun Gothic"/>
                <w:sz w:val="21"/>
              </w:rPr>
            </w:pPr>
          </w:p>
        </w:tc>
        <w:tc>
          <w:tcPr>
            <w:tcW w:w="810" w:type="dxa"/>
            <w:vAlign w:val="top"/>
          </w:tcPr>
          <w:p>
            <w:pPr>
              <w:rPr>
                <w:rFonts w:ascii="Malgun Gothic"/>
                <w:sz w:val="21"/>
              </w:rPr>
            </w:pPr>
          </w:p>
        </w:tc>
        <w:tc>
          <w:tcPr>
            <w:tcW w:w="1087" w:type="dxa"/>
            <w:vAlign w:val="top"/>
          </w:tcPr>
          <w:p>
            <w:pPr>
              <w:rPr>
                <w:rFonts w:ascii="Malgun Gothic"/>
                <w:sz w:val="21"/>
              </w:rPr>
            </w:pPr>
          </w:p>
        </w:tc>
        <w:tc>
          <w:tcPr>
            <w:tcW w:w="829" w:type="dxa"/>
            <w:vAlign w:val="top"/>
          </w:tcPr>
          <w:p>
            <w:pPr>
              <w:rPr>
                <w:rFonts w:ascii="Malgun Gothic"/>
                <w:sz w:val="21"/>
              </w:rPr>
            </w:pPr>
          </w:p>
        </w:tc>
        <w:tc>
          <w:tcPr>
            <w:tcW w:w="795"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971" w:type="dxa"/>
            <w:vAlign w:val="top"/>
          </w:tcPr>
          <w:p>
            <w:pPr>
              <w:rPr>
                <w:rFonts w:ascii="Malgun Gothic"/>
                <w:sz w:val="21"/>
              </w:rPr>
            </w:pPr>
          </w:p>
        </w:tc>
        <w:tc>
          <w:tcPr>
            <w:tcW w:w="766" w:type="dxa"/>
            <w:vAlign w:val="top"/>
          </w:tcPr>
          <w:p>
            <w:pPr>
              <w:rPr>
                <w:rFonts w:ascii="Malgun Gothic"/>
                <w:sz w:val="21"/>
              </w:rPr>
            </w:pPr>
          </w:p>
        </w:tc>
        <w:tc>
          <w:tcPr>
            <w:tcW w:w="742" w:type="dxa"/>
            <w:vAlign w:val="top"/>
          </w:tcPr>
          <w:p>
            <w:pPr>
              <w:rPr>
                <w:rFonts w:ascii="Malgun Gothic"/>
                <w:sz w:val="21"/>
              </w:rPr>
            </w:pPr>
          </w:p>
        </w:tc>
        <w:tc>
          <w:tcPr>
            <w:tcW w:w="84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789" w:type="dxa"/>
            <w:tcBorders>
              <w:left w:val="single" w:color="000000" w:sz="6" w:space="0"/>
              <w:bottom w:val="single" w:color="000000" w:sz="6" w:space="0"/>
            </w:tcBorders>
            <w:vAlign w:val="top"/>
          </w:tcPr>
          <w:p>
            <w:pPr>
              <w:spacing w:before="311" w:line="180" w:lineRule="auto"/>
              <w:ind w:firstLine="33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770" w:type="dxa"/>
            <w:tcBorders>
              <w:bottom w:val="single" w:color="000000" w:sz="6" w:space="0"/>
            </w:tcBorders>
            <w:vAlign w:val="top"/>
          </w:tcPr>
          <w:p>
            <w:pPr>
              <w:rPr>
                <w:rFonts w:ascii="Malgun Gothic"/>
                <w:sz w:val="21"/>
              </w:rPr>
            </w:pPr>
          </w:p>
        </w:tc>
        <w:tc>
          <w:tcPr>
            <w:tcW w:w="1175" w:type="dxa"/>
            <w:tcBorders>
              <w:bottom w:val="single" w:color="000000" w:sz="6" w:space="0"/>
            </w:tcBorders>
            <w:vAlign w:val="top"/>
          </w:tcPr>
          <w:p>
            <w:pPr>
              <w:rPr>
                <w:rFonts w:ascii="Malgun Gothic"/>
                <w:sz w:val="21"/>
              </w:rPr>
            </w:pPr>
          </w:p>
        </w:tc>
        <w:tc>
          <w:tcPr>
            <w:tcW w:w="810" w:type="dxa"/>
            <w:tcBorders>
              <w:bottom w:val="single" w:color="000000" w:sz="6" w:space="0"/>
            </w:tcBorders>
            <w:vAlign w:val="top"/>
          </w:tcPr>
          <w:p>
            <w:pPr>
              <w:rPr>
                <w:rFonts w:ascii="Malgun Gothic"/>
                <w:sz w:val="21"/>
              </w:rPr>
            </w:pPr>
          </w:p>
        </w:tc>
        <w:tc>
          <w:tcPr>
            <w:tcW w:w="1087" w:type="dxa"/>
            <w:tcBorders>
              <w:bottom w:val="single" w:color="000000" w:sz="6" w:space="0"/>
            </w:tcBorders>
            <w:vAlign w:val="top"/>
          </w:tcPr>
          <w:p>
            <w:pPr>
              <w:rPr>
                <w:rFonts w:ascii="Malgun Gothic"/>
                <w:sz w:val="21"/>
              </w:rPr>
            </w:pPr>
          </w:p>
        </w:tc>
        <w:tc>
          <w:tcPr>
            <w:tcW w:w="829" w:type="dxa"/>
            <w:tcBorders>
              <w:bottom w:val="single" w:color="000000" w:sz="6" w:space="0"/>
            </w:tcBorders>
            <w:vAlign w:val="top"/>
          </w:tcPr>
          <w:p>
            <w:pPr>
              <w:rPr>
                <w:rFonts w:ascii="Malgun Gothic"/>
                <w:sz w:val="21"/>
              </w:rPr>
            </w:pPr>
          </w:p>
        </w:tc>
        <w:tc>
          <w:tcPr>
            <w:tcW w:w="795"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971" w:type="dxa"/>
            <w:tcBorders>
              <w:bottom w:val="single" w:color="000000" w:sz="6" w:space="0"/>
            </w:tcBorders>
            <w:vAlign w:val="top"/>
          </w:tcPr>
          <w:p>
            <w:pPr>
              <w:rPr>
                <w:rFonts w:ascii="Malgun Gothic"/>
                <w:sz w:val="21"/>
              </w:rPr>
            </w:pPr>
          </w:p>
        </w:tc>
        <w:tc>
          <w:tcPr>
            <w:tcW w:w="766" w:type="dxa"/>
            <w:tcBorders>
              <w:bottom w:val="single" w:color="000000" w:sz="6" w:space="0"/>
            </w:tcBorders>
            <w:vAlign w:val="top"/>
          </w:tcPr>
          <w:p>
            <w:pPr>
              <w:rPr>
                <w:rFonts w:ascii="Malgun Gothic"/>
                <w:sz w:val="21"/>
              </w:rPr>
            </w:pPr>
          </w:p>
        </w:tc>
        <w:tc>
          <w:tcPr>
            <w:tcW w:w="742" w:type="dxa"/>
            <w:tcBorders>
              <w:bottom w:val="single" w:color="000000" w:sz="6" w:space="0"/>
            </w:tcBorders>
            <w:vAlign w:val="top"/>
          </w:tcPr>
          <w:p>
            <w:pPr>
              <w:rPr>
                <w:rFonts w:ascii="Malgun Gothic"/>
                <w:sz w:val="21"/>
              </w:rPr>
            </w:pPr>
          </w:p>
        </w:tc>
        <w:tc>
          <w:tcPr>
            <w:tcW w:w="845" w:type="dxa"/>
            <w:tcBorders>
              <w:bottom w:val="single" w:color="000000" w:sz="6" w:space="0"/>
              <w:right w:val="single" w:color="000000" w:sz="6" w:space="0"/>
            </w:tcBorders>
            <w:vAlign w:val="top"/>
          </w:tcPr>
          <w:p>
            <w:pPr>
              <w:rPr>
                <w:rFonts w:ascii="Malgun Gothic"/>
                <w:sz w:val="21"/>
              </w:rPr>
            </w:pPr>
          </w:p>
        </w:tc>
      </w:tr>
    </w:tbl>
    <w:p>
      <w:pPr>
        <w:rPr>
          <w:rFonts w:ascii="Malgun Gothic"/>
          <w:sz w:val="21"/>
        </w:rPr>
      </w:pPr>
    </w:p>
    <w:p>
      <w:pPr>
        <w:sectPr>
          <w:footerReference r:id="rId219" w:type="default"/>
          <w:pgSz w:w="16840" w:h="11905"/>
          <w:pgMar w:top="1011" w:right="1196" w:bottom="1155" w:left="1193" w:header="0" w:footer="1031" w:gutter="0"/>
          <w:cols w:space="720" w:num="1"/>
        </w:sectPr>
      </w:pPr>
    </w:p>
    <w:p>
      <w:pPr>
        <w:spacing w:before="254" w:line="180" w:lineRule="auto"/>
        <w:ind w:firstLine="2548"/>
        <w:rPr>
          <w:rFonts w:ascii="Microsoft JhengHei" w:hAnsi="Microsoft JhengHei" w:eastAsia="Microsoft JhengHei" w:cs="Microsoft JhengHei"/>
          <w:sz w:val="30"/>
          <w:szCs w:val="30"/>
        </w:rPr>
      </w:pPr>
      <w:r>
        <w:rPr>
          <w:rFonts w:ascii="Microsoft JhengHei" w:hAnsi="Microsoft JhengHei" w:eastAsia="Microsoft JhengHei" w:cs="Microsoft JhengHei"/>
          <w:spacing w:val="-1"/>
          <w:sz w:val="30"/>
          <w:szCs w:val="30"/>
        </w:rPr>
        <w:t>吉首大学实习教学管理办法</w:t>
      </w:r>
    </w:p>
    <w:p>
      <w:pPr>
        <w:spacing w:before="117" w:line="184" w:lineRule="auto"/>
        <w:ind w:firstLine="3167"/>
        <w:rPr>
          <w:rFonts w:ascii="楷体" w:hAnsi="楷体" w:eastAsia="楷体" w:cs="楷体"/>
          <w:sz w:val="24"/>
          <w:szCs w:val="24"/>
        </w:rPr>
      </w:pPr>
      <w:r>
        <w:rPr>
          <w:rFonts w:ascii="楷体" w:hAnsi="楷体" w:eastAsia="楷体" w:cs="楷体"/>
          <w:spacing w:val="-5"/>
          <w:sz w:val="24"/>
          <w:szCs w:val="24"/>
        </w:rPr>
        <w:t>（2017</w:t>
      </w:r>
      <w:r>
        <w:rPr>
          <w:rFonts w:ascii="楷体" w:hAnsi="楷体" w:eastAsia="楷体" w:cs="楷体"/>
          <w:spacing w:val="-47"/>
          <w:sz w:val="24"/>
          <w:szCs w:val="24"/>
        </w:rPr>
        <w:t xml:space="preserve"> </w:t>
      </w:r>
      <w:r>
        <w:rPr>
          <w:rFonts w:ascii="楷体" w:hAnsi="楷体" w:eastAsia="楷体" w:cs="楷体"/>
          <w:spacing w:val="-5"/>
          <w:sz w:val="24"/>
          <w:szCs w:val="24"/>
        </w:rPr>
        <w:t>年</w:t>
      </w:r>
      <w:r>
        <w:rPr>
          <w:rFonts w:ascii="楷体" w:hAnsi="楷体" w:eastAsia="楷体" w:cs="楷体"/>
          <w:spacing w:val="-35"/>
          <w:sz w:val="24"/>
          <w:szCs w:val="24"/>
        </w:rPr>
        <w:t xml:space="preserve"> </w:t>
      </w:r>
      <w:r>
        <w:rPr>
          <w:rFonts w:ascii="楷体" w:hAnsi="楷体" w:eastAsia="楷体" w:cs="楷体"/>
          <w:spacing w:val="-5"/>
          <w:sz w:val="24"/>
          <w:szCs w:val="24"/>
        </w:rPr>
        <w:t>1</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61" w:lineRule="auto"/>
        <w:rPr>
          <w:rFonts w:ascii="Malgun Gothic"/>
          <w:sz w:val="21"/>
        </w:rPr>
      </w:pPr>
    </w:p>
    <w:p>
      <w:pPr>
        <w:spacing w:before="104" w:line="180" w:lineRule="auto"/>
        <w:ind w:firstLine="3510"/>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left="36" w:right="9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第一条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实习教学是我校实践教学体系的重要组成部分，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是保证实现人才培养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目标和培养规格的重要环节，</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0"/>
          <w:sz w:val="24"/>
          <w:szCs w:val="24"/>
        </w:rPr>
        <w:t>为进一步加强和规范我校实习教学管理，</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保证实习教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学质量，结合我校实际，制定本管理办法。</w:t>
      </w:r>
    </w:p>
    <w:p>
      <w:pPr>
        <w:spacing w:before="205" w:line="294" w:lineRule="auto"/>
        <w:ind w:left="35"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实习教学环节应根据专业培养规格对人才在知识、能力及素质三方面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4"/>
          <w:sz w:val="24"/>
          <w:szCs w:val="24"/>
        </w:rPr>
        <w:t>不同层面的要求，</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24"/>
          <w:sz w:val="24"/>
          <w:szCs w:val="24"/>
        </w:rPr>
        <w:t>结合专业教学的实际需要，</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4"/>
          <w:sz w:val="24"/>
          <w:szCs w:val="24"/>
        </w:rPr>
        <w:t>科学设计，</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4"/>
          <w:sz w:val="24"/>
          <w:szCs w:val="24"/>
        </w:rPr>
        <w:t>合理设置，</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4"/>
          <w:sz w:val="24"/>
          <w:szCs w:val="24"/>
        </w:rPr>
        <w:t>精心组织，</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24"/>
          <w:sz w:val="24"/>
          <w:szCs w:val="24"/>
        </w:rPr>
        <w:t>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免与实验、实训等环节交叉重叠。</w:t>
      </w:r>
    </w:p>
    <w:p>
      <w:pPr>
        <w:spacing w:line="282" w:lineRule="auto"/>
        <w:ind w:left="34"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实习教学的实施应遵循教学规律，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贯彻专业培养目标和培养规格的要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求，按教学计划有序进行。</w:t>
      </w:r>
    </w:p>
    <w:p>
      <w:pPr>
        <w:spacing w:before="11" w:line="197" w:lineRule="auto"/>
        <w:ind w:firstLine="279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实习教学的组织管理</w:t>
      </w:r>
    </w:p>
    <w:p>
      <w:pPr>
        <w:spacing w:before="110"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实习教学工作在主管校长领导下，实行校、学院二级管理。</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教务处负责全校实习教学宏观管理，</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3"/>
          <w:sz w:val="24"/>
          <w:szCs w:val="24"/>
        </w:rPr>
        <w:t>制定实习教学管理规章制度，</w:t>
      </w:r>
    </w:p>
    <w:p>
      <w:pPr>
        <w:spacing w:before="150" w:line="264" w:lineRule="auto"/>
        <w:ind w:left="32" w:right="10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按有关规定划拨实习教学经费，制订实习教学基地建设规划，组织实习教学检</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2"/>
          <w:sz w:val="24"/>
          <w:szCs w:val="24"/>
        </w:rPr>
        <w:t>查评估，协调处理实习教学工作中的重要问题，组织全校实习教学的经验交流</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
          <w:sz w:val="24"/>
          <w:szCs w:val="24"/>
        </w:rPr>
        <w:t>和总结。</w:t>
      </w:r>
    </w:p>
    <w:p>
      <w:pPr>
        <w:spacing w:before="208" w:line="297" w:lineRule="auto"/>
        <w:ind w:left="32" w:right="9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学院负责贯彻执行学校实习教学工作的有关规定和部署，</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结合本院专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业培养目标和特点，</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0"/>
          <w:sz w:val="24"/>
          <w:szCs w:val="24"/>
        </w:rPr>
        <w:t>制订本院实习教学管理规章制度，</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制订《实习教学大纲》、实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习教学实施计划、安排指导教师、落实实习教学任务，</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0"/>
          <w:sz w:val="24"/>
          <w:szCs w:val="24"/>
        </w:rPr>
        <w:t>组织实习教学的实施，</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0"/>
          <w:sz w:val="24"/>
          <w:szCs w:val="24"/>
        </w:rPr>
        <w:t>负责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实习前的动员、安全教育、实习管理和实习教学检查与工作总结评优。</w:t>
      </w:r>
    </w:p>
    <w:p>
      <w:pPr>
        <w:spacing w:before="14" w:line="195" w:lineRule="auto"/>
        <w:ind w:firstLine="243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实习教学类型、形式与时间</w:t>
      </w:r>
    </w:p>
    <w:p>
      <w:pPr>
        <w:spacing w:before="112" w:line="298" w:lineRule="auto"/>
        <w:ind w:left="38" w:right="95"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第七条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5"/>
          <w:sz w:val="24"/>
          <w:szCs w:val="24"/>
        </w:rPr>
        <w:t>我校实习教学类型主要包括课程实习（见习）</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5"/>
          <w:sz w:val="24"/>
          <w:szCs w:val="24"/>
        </w:rPr>
        <w:t>、综合认识实习、工厂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实习、野外实习、特殊专业专项实习、毕业实习等。实习教学采取集中与分散、校</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6"/>
          <w:sz w:val="24"/>
          <w:szCs w:val="24"/>
        </w:rPr>
        <w:t>内与校外等多种形式。实习教学根据专业和学科的不同特点，</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6"/>
          <w:sz w:val="24"/>
          <w:szCs w:val="24"/>
        </w:rPr>
        <w:t>按照教学计划规定的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实习时间完成实习教学环节。</w:t>
      </w:r>
    </w:p>
    <w:p>
      <w:pPr>
        <w:spacing w:before="10" w:line="295" w:lineRule="auto"/>
        <w:ind w:left="3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第八条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6"/>
          <w:sz w:val="24"/>
          <w:szCs w:val="24"/>
        </w:rPr>
        <w:t>严格实习经费的预算管理和经费开支管理。实习经费实行“集中预算、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分项使用、专款专用”，</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0"/>
          <w:sz w:val="24"/>
          <w:szCs w:val="24"/>
        </w:rPr>
        <w:t>教务处根据经费预算科学合理地按标准计算实习经费，</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时足额划拨到学院，学院要严格管理，按相关制度规范经费使用。</w:t>
      </w:r>
    </w:p>
    <w:p>
      <w:pPr>
        <w:sectPr>
          <w:footerReference r:id="rId220" w:type="default"/>
          <w:pgSz w:w="11905" w:h="16840"/>
          <w:pgMar w:top="1431" w:right="1490" w:bottom="1158" w:left="1671" w:header="0" w:footer="1035" w:gutter="0"/>
          <w:cols w:space="720" w:num="1"/>
        </w:sectPr>
      </w:pPr>
    </w:p>
    <w:p>
      <w:pPr>
        <w:spacing w:before="300" w:line="180" w:lineRule="auto"/>
        <w:ind w:firstLine="279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实习教学文件的编制</w:t>
      </w:r>
    </w:p>
    <w:p>
      <w:pPr>
        <w:spacing w:before="140" w:line="294" w:lineRule="auto"/>
        <w:ind w:left="36" w:right="9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第九条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实习教学大纲是组织实习教学及成绩考核的重要依据，</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是具有规范性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质的教学文件，</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9"/>
          <w:sz w:val="24"/>
          <w:szCs w:val="24"/>
        </w:rPr>
        <w:t>也是专业实践教学及其组织管理水平的体现。各学院（部）</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9"/>
          <w:sz w:val="24"/>
          <w:szCs w:val="24"/>
        </w:rPr>
        <w:t>制订实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习教学大纲应符合以下要求：</w:t>
      </w:r>
    </w:p>
    <w:p>
      <w:pPr>
        <w:spacing w:before="15" w:line="238" w:lineRule="auto"/>
        <w:ind w:left="36" w:right="98"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1、按人才培养方案中的要求，分类编制实习教学大纲并进行认真审核，同时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报送教务处审定。</w:t>
      </w:r>
    </w:p>
    <w:p>
      <w:pPr>
        <w:spacing w:before="216" w:line="315" w:lineRule="auto"/>
        <w:ind w:left="38" w:right="4"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2、实习教学大纲应包括实习的类型、目的与任务；实习的基本内容与方法；</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0"/>
          <w:sz w:val="24"/>
          <w:szCs w:val="24"/>
        </w:rPr>
        <w:t>实习的基本要求；</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0"/>
          <w:sz w:val="24"/>
          <w:szCs w:val="24"/>
        </w:rPr>
        <w:t>实习的考核体系（含分数和评分标准</w:t>
      </w:r>
      <w:r>
        <w:rPr>
          <w:rFonts w:ascii="方正书宋简体" w:hAnsi="方正书宋简体" w:eastAsia="方正书宋简体" w:cs="方正书宋简体"/>
          <w:spacing w:val="-50"/>
          <w:sz w:val="24"/>
          <w:szCs w:val="24"/>
        </w:rPr>
        <w:t>）；</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0"/>
          <w:sz w:val="24"/>
          <w:szCs w:val="24"/>
        </w:rPr>
        <w:t>主要的教学参考资料等。</w:t>
      </w:r>
    </w:p>
    <w:p>
      <w:pPr>
        <w:spacing w:before="2"/>
        <w:ind w:left="35" w:right="98"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3、按照人才培养方案要求定期修订实习大纲，不断更新实习内容，改革实习</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教学的内容与方法，培养学生的创新意识和实践能力。</w:t>
      </w:r>
    </w:p>
    <w:p>
      <w:pPr>
        <w:spacing w:before="205" w:line="258" w:lineRule="auto"/>
        <w:ind w:left="35"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实习计划是根据实习教学大纲的要求，</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结合实际情况制订的实习教学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实施方案。实习指导教师应于实习前制订实习计划，明确实习的具体形式、时间、</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
          <w:sz w:val="24"/>
          <w:szCs w:val="24"/>
        </w:rPr>
        <w:t>地点、内容、人数与考核方式等，由学院审批、存档并报教务处实践教学科备案。</w:t>
      </w:r>
    </w:p>
    <w:p>
      <w:pPr>
        <w:spacing w:before="166" w:line="180" w:lineRule="auto"/>
        <w:ind w:firstLine="303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3"/>
          <w:sz w:val="24"/>
          <w:szCs w:val="24"/>
        </w:rPr>
        <w:t>实习单位的选择</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第十一条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3"/>
          <w:sz w:val="24"/>
          <w:szCs w:val="24"/>
        </w:rPr>
        <w:t>为提高实习教学质量和效率，应按以下要求选择实习单位：</w:t>
      </w:r>
    </w:p>
    <w:p>
      <w:pPr>
        <w:spacing w:before="152" w:line="315" w:lineRule="auto"/>
        <w:ind w:left="33" w:right="98"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1、在专业基本对口，符合实习教学大纲要求的前提下，尽可能就近选择实习</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单位。</w:t>
      </w:r>
    </w:p>
    <w:p>
      <w:pPr>
        <w:spacing w:line="315" w:lineRule="auto"/>
        <w:ind w:left="3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2、鼓励与国家科研基地（实验室）</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5"/>
          <w:sz w:val="24"/>
          <w:szCs w:val="24"/>
        </w:rPr>
        <w:t>、新兴产业及科研水平高、生产运作正常、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技术管理手段较为先进的单位建立互利互惠的合作关系，</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6"/>
          <w:sz w:val="24"/>
          <w:szCs w:val="24"/>
        </w:rPr>
        <w:t>形成相对稳定且教学、科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研及生产实践相结合的实习基地。</w:t>
      </w:r>
    </w:p>
    <w:p>
      <w:pPr>
        <w:spacing w:before="5" w:line="199"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3、充分利用学校现有的校内外实习基地。</w:t>
      </w:r>
    </w:p>
    <w:p>
      <w:pPr>
        <w:spacing w:before="150" w:line="180" w:lineRule="auto"/>
        <w:ind w:firstLine="243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第六章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实习指导教师的遴选和职责</w:t>
      </w:r>
    </w:p>
    <w:p>
      <w:pPr>
        <w:spacing w:before="138" w:line="281" w:lineRule="auto"/>
        <w:ind w:left="54" w:right="96" w:firstLine="467"/>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1"/>
          <w:sz w:val="24"/>
          <w:szCs w:val="24"/>
        </w:rPr>
        <w:t>实习指导教师应由教学经验丰富，</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实践能力强，</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具有一定组织能力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的讲师及以上职称的教师担任。</w:t>
      </w:r>
    </w:p>
    <w:p>
      <w:pPr>
        <w:spacing w:before="13" w:line="195"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4"/>
          <w:sz w:val="24"/>
          <w:szCs w:val="24"/>
        </w:rPr>
        <w:t>实习指导教师应履行以下职责：</w:t>
      </w:r>
    </w:p>
    <w:p>
      <w:pPr>
        <w:spacing w:before="122"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1、实习前提前了解和熟悉实习单位的情况，根据实习大纲的要求拟订实习计划。</w:t>
      </w:r>
    </w:p>
    <w:p>
      <w:pPr>
        <w:spacing w:before="179" w:line="315" w:lineRule="auto"/>
        <w:ind w:left="32" w:right="14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2、以身作则，言传身教，严格按实习教学大纲的要求组织学生的实习工作，</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2"/>
          <w:sz w:val="24"/>
          <w:szCs w:val="24"/>
        </w:rPr>
        <w:t>并做好实习过程指导、监督和教育工作。</w:t>
      </w:r>
    </w:p>
    <w:p>
      <w:pPr>
        <w:spacing w:before="2" w:line="315" w:lineRule="auto"/>
        <w:ind w:left="33" w:right="98"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3、处理好与实习单位的关系，按规定向实习单位交纳实习费用，做好实习结</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束后的学生考核与总结工作，将实习成绩报学院备案。</w:t>
      </w:r>
    </w:p>
    <w:p>
      <w:pPr>
        <w:sectPr>
          <w:footerReference r:id="rId221" w:type="default"/>
          <w:pgSz w:w="11905" w:h="16840"/>
          <w:pgMar w:top="1431" w:right="1489" w:bottom="1158" w:left="1671" w:header="0" w:footer="1034" w:gutter="0"/>
          <w:cols w:space="720" w:num="1"/>
        </w:sectPr>
      </w:pPr>
    </w:p>
    <w:p>
      <w:pPr>
        <w:spacing w:before="300" w:line="180" w:lineRule="auto"/>
        <w:ind w:firstLine="303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第七章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3"/>
          <w:sz w:val="24"/>
          <w:szCs w:val="24"/>
        </w:rPr>
        <w:t>实习教学的实施</w:t>
      </w:r>
    </w:p>
    <w:p>
      <w:pPr>
        <w:spacing w:before="139" w:line="281" w:lineRule="auto"/>
        <w:ind w:left="32" w:right="7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第十四条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6"/>
          <w:sz w:val="24"/>
          <w:szCs w:val="24"/>
        </w:rPr>
        <w:t>各学院按照教学计划进程，</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于每学期初向教务处呈报实习教学实施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计划表。</w:t>
      </w:r>
    </w:p>
    <w:p>
      <w:pPr>
        <w:spacing w:before="11"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第十五条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7"/>
          <w:sz w:val="24"/>
          <w:szCs w:val="24"/>
        </w:rPr>
        <w:t>各院成立实习指导小组，</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7"/>
          <w:sz w:val="24"/>
          <w:szCs w:val="24"/>
        </w:rPr>
        <w:t>负责组织实习动员、安全教育、中期检查</w:t>
      </w:r>
    </w:p>
    <w:p>
      <w:pPr>
        <w:spacing w:before="122" w:line="180" w:lineRule="auto"/>
        <w:ind w:firstLine="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和实习结束后实习总结与评定工作。教务处会同学院进行实习教学检查或抽查。</w:t>
      </w:r>
    </w:p>
    <w:p>
      <w:pPr>
        <w:spacing w:before="180" w:line="282" w:lineRule="auto"/>
        <w:ind w:left="3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第十六条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10"/>
          <w:sz w:val="24"/>
          <w:szCs w:val="24"/>
        </w:rPr>
        <w:t>实习学生应认真填写实习手册、实习（见习）报告，</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0"/>
          <w:sz w:val="24"/>
          <w:szCs w:val="24"/>
        </w:rPr>
        <w:t>撰写实习总结，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指导教师认真进行检查，并写出评语，作为实习成绩评定依据之一。</w:t>
      </w:r>
    </w:p>
    <w:p>
      <w:pPr>
        <w:spacing w:before="12" w:line="250" w:lineRule="auto"/>
        <w:ind w:left="39" w:right="62"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5"/>
          <w:sz w:val="24"/>
          <w:szCs w:val="24"/>
        </w:rPr>
        <w:t>第十七条</w:t>
      </w:r>
      <w:r>
        <w:rPr>
          <w:rFonts w:ascii="Microsoft JhengHei" w:hAnsi="Microsoft JhengHei" w:eastAsia="Microsoft JhengHei" w:cs="Microsoft JhengHei"/>
          <w:spacing w:val="28"/>
          <w:sz w:val="24"/>
          <w:szCs w:val="24"/>
        </w:rPr>
        <w:t xml:space="preserve">   </w:t>
      </w:r>
      <w:r>
        <w:rPr>
          <w:rFonts w:ascii="方正书宋简体" w:hAnsi="方正书宋简体" w:eastAsia="方正书宋简体" w:cs="方正书宋简体"/>
          <w:spacing w:val="-15"/>
          <w:sz w:val="24"/>
          <w:szCs w:val="24"/>
        </w:rPr>
        <w:t>实习教学由学院实践教学指导教师、企事业单位从事生产第一线的技术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骨干或有一定指导经验的管理人员共同担任实习教学指导工作。实习教学应严格按照实</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7"/>
          <w:sz w:val="24"/>
          <w:szCs w:val="24"/>
        </w:rPr>
        <w:t>习计划执行，实习指导教师及时向学院、实习单位、学校沟通和反馈实习教学信息。</w:t>
      </w:r>
    </w:p>
    <w:p>
      <w:pPr>
        <w:spacing w:before="203" w:line="180" w:lineRule="auto"/>
        <w:ind w:firstLine="279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第八章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实习考核和成绩评定</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第十八条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实习考核须在学生完成全部实习任务后方可进行。</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第十九条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5"/>
          <w:sz w:val="24"/>
          <w:szCs w:val="24"/>
        </w:rPr>
        <w:t>实习考核可包括笔试、口试（含小型答辩）</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5"/>
          <w:sz w:val="24"/>
          <w:szCs w:val="24"/>
        </w:rPr>
        <w:t>、操作、设计、技能及</w:t>
      </w:r>
    </w:p>
    <w:p>
      <w:pPr>
        <w:spacing w:before="150" w:line="239" w:lineRule="auto"/>
        <w:ind w:left="34" w:right="76"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实习报告等形式，</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6"/>
          <w:sz w:val="24"/>
          <w:szCs w:val="24"/>
        </w:rPr>
        <w:t>由学校指导教师根据实习教学大纲的要求以及学生完成实习的整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体情况进行评分。</w:t>
      </w:r>
    </w:p>
    <w:p>
      <w:pPr>
        <w:spacing w:before="205" w:line="290" w:lineRule="auto"/>
        <w:ind w:left="34" w:right="7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7"/>
          <w:sz w:val="24"/>
          <w:szCs w:val="24"/>
        </w:rPr>
        <w:t>实习成绩按照优、良、中、及格、不及格五级进行记分，</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7"/>
          <w:sz w:val="24"/>
          <w:szCs w:val="24"/>
        </w:rPr>
        <w:t>对应的百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分制记分依次为</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7"/>
          <w:sz w:val="24"/>
          <w:szCs w:val="24"/>
        </w:rPr>
        <w:t>100—90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分、89—80</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7"/>
          <w:sz w:val="24"/>
          <w:szCs w:val="24"/>
        </w:rPr>
        <w:t>分、79—70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分、69—60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分及低于</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60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7"/>
          <w:sz w:val="24"/>
          <w:szCs w:val="24"/>
        </w:rPr>
        <w:t>绩点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亦按此进行换算。</w:t>
      </w:r>
    </w:p>
    <w:p>
      <w:pPr>
        <w:spacing w:before="22" w:line="281" w:lineRule="auto"/>
        <w:ind w:left="36" w:right="6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9"/>
          <w:sz w:val="24"/>
          <w:szCs w:val="24"/>
        </w:rPr>
        <w:t>第二十一条</w:t>
      </w:r>
      <w:r>
        <w:rPr>
          <w:rFonts w:ascii="Microsoft JhengHei" w:hAnsi="Microsoft JhengHei" w:eastAsia="Microsoft JhengHei" w:cs="Microsoft JhengHei"/>
          <w:spacing w:val="25"/>
          <w:sz w:val="24"/>
          <w:szCs w:val="24"/>
        </w:rPr>
        <w:t xml:space="preserve">   </w:t>
      </w:r>
      <w:r>
        <w:rPr>
          <w:rFonts w:ascii="方正书宋简体" w:hAnsi="方正书宋简体" w:eastAsia="方正书宋简体" w:cs="方正书宋简体"/>
          <w:spacing w:val="-19"/>
          <w:sz w:val="24"/>
          <w:szCs w:val="24"/>
        </w:rPr>
        <w:t>实习考核不及格者须重新实习，</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9"/>
          <w:sz w:val="24"/>
          <w:szCs w:val="24"/>
        </w:rPr>
        <w:t>在实习期间请假、缺课达一周或以上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1"/>
          <w:sz w:val="24"/>
          <w:szCs w:val="24"/>
        </w:rPr>
        <w:t>者，视具体情况令其补足实习时间或重新实习。发生上述情况时，</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1"/>
          <w:sz w:val="24"/>
          <w:szCs w:val="24"/>
        </w:rPr>
        <w:t>实习费用学生自理。</w:t>
      </w:r>
    </w:p>
    <w:p>
      <w:pPr>
        <w:spacing w:before="12" w:line="195"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第二十二条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实习成绩记入学生成绩档案。</w:t>
      </w:r>
    </w:p>
    <w:p>
      <w:pPr>
        <w:spacing w:before="114" w:line="180" w:lineRule="auto"/>
        <w:ind w:firstLine="291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第九章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实习教学工作总结</w:t>
      </w:r>
    </w:p>
    <w:p>
      <w:pPr>
        <w:spacing w:before="139"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第二十三条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1"/>
          <w:sz w:val="24"/>
          <w:szCs w:val="24"/>
        </w:rPr>
        <w:t>实习教学结束后，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学生个人和实习队要写出书面总结，</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并向学院</w:t>
      </w:r>
    </w:p>
    <w:p>
      <w:pPr>
        <w:spacing w:before="150"/>
        <w:ind w:left="34" w:right="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上交填写完整的《吉首大学实习手册》和《实习成绩评定表》。学院组织实习教学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交流，并向教务处递交实习教学工作总结。</w:t>
      </w:r>
    </w:p>
    <w:p>
      <w:pPr>
        <w:spacing w:before="203" w:line="282" w:lineRule="auto"/>
        <w:ind w:left="49" w:right="76" w:firstLine="472"/>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教务处组织实习教学的检查评估，</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学校对优秀指导教师和优秀实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习生进行表彰。</w:t>
      </w:r>
    </w:p>
    <w:p>
      <w:pPr>
        <w:spacing w:before="10" w:line="197" w:lineRule="auto"/>
        <w:ind w:firstLine="3150"/>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第十章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4"/>
          <w:sz w:val="24"/>
          <w:szCs w:val="24"/>
        </w:rPr>
        <w:t>实习教学纪律</w:t>
      </w:r>
    </w:p>
    <w:p>
      <w:pPr>
        <w:spacing w:before="111" w:line="277" w:lineRule="auto"/>
        <w:ind w:left="38" w:right="75"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第二十五条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5"/>
          <w:sz w:val="24"/>
          <w:szCs w:val="24"/>
        </w:rPr>
        <w:t>学生在实习期间应按实习教学大纲和实习计划的要求完成各项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实践任务，</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13"/>
          <w:sz w:val="24"/>
          <w:szCs w:val="24"/>
        </w:rPr>
        <w:t>听从指导教师和实习单位的安排与指导，</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3"/>
          <w:sz w:val="24"/>
          <w:szCs w:val="24"/>
        </w:rPr>
        <w:t>自觉遵守《吉首大学学生实习</w:t>
      </w:r>
    </w:p>
    <w:p>
      <w:pPr>
        <w:sectPr>
          <w:footerReference r:id="rId222" w:type="default"/>
          <w:pgSz w:w="11905" w:h="16840"/>
          <w:pgMar w:top="1431" w:right="1509" w:bottom="1158" w:left="1671" w:header="0" w:footer="1035" w:gutter="0"/>
          <w:cols w:space="720" w:num="1"/>
        </w:sectPr>
      </w:pPr>
    </w:p>
    <w:p>
      <w:pPr>
        <w:spacing w:before="312" w:line="180" w:lineRule="auto"/>
        <w:ind w:firstLine="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守则》，按时完成实习任务。</w:t>
      </w:r>
    </w:p>
    <w:p>
      <w:pPr>
        <w:spacing w:before="165" w:line="269" w:lineRule="auto"/>
        <w:ind w:left="37" w:right="114"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第二十六条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实习生在实习过程中要服从安排，尊重实习单位相关工作人员，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积极参加专业实践和科技创新活动。</w:t>
      </w:r>
    </w:p>
    <w:p>
      <w:pPr>
        <w:spacing w:before="10"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第二十七条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严格遵守实习单位的安全、保密制度与操作规程等相关制度。</w:t>
      </w:r>
    </w:p>
    <w:p>
      <w:pPr>
        <w:spacing w:before="90" w:line="269" w:lineRule="auto"/>
        <w:ind w:left="32" w:right="9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第二十八条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6"/>
          <w:sz w:val="24"/>
          <w:szCs w:val="24"/>
        </w:rPr>
        <w:t>实习考勤参照学校学籍管理的有关规定，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实习期间请假者应有相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关证明并按相关规定办理请假手续，违者按旷课处理。</w:t>
      </w:r>
    </w:p>
    <w:p>
      <w:pPr>
        <w:spacing w:before="7" w:line="275" w:lineRule="auto"/>
        <w:ind w:left="31" w:right="94"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第二十九条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6"/>
          <w:sz w:val="24"/>
          <w:szCs w:val="24"/>
        </w:rPr>
        <w:t>学院和实习单位要严格遵守国家有关法律法规，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为学生实习提供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必要的实习条件和安全健康的实习劳动环境。不得安排一年级学生到企业等单位顶</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5"/>
          <w:sz w:val="24"/>
          <w:szCs w:val="24"/>
        </w:rPr>
        <w:t>岗实习；</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5"/>
          <w:sz w:val="24"/>
          <w:szCs w:val="24"/>
        </w:rPr>
        <w:t>不得安排学生从事高空、井下、放射性、高毒、易燃易爆、国家规定的第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四级体力劳动强度以及其他具有安全隐患的实习劳动；</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5"/>
          <w:sz w:val="24"/>
          <w:szCs w:val="24"/>
        </w:rPr>
        <w:t>不得安排学生到酒吧、夜总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会、歌厅、洗浴中心等营业性娱乐场所实习；</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不得安排学生每天顶岗实习超过</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8</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6"/>
          <w:sz w:val="24"/>
          <w:szCs w:val="24"/>
        </w:rPr>
        <w:t>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时；不得通过中介机构代理组织、安排和管理实习工作。</w:t>
      </w:r>
    </w:p>
    <w:p>
      <w:pPr>
        <w:spacing w:before="146" w:line="180" w:lineRule="auto"/>
        <w:ind w:firstLine="243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第十一章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有关学生分散实习的规定</w:t>
      </w:r>
    </w:p>
    <w:p>
      <w:pPr>
        <w:spacing w:before="119" w:line="241" w:lineRule="auto"/>
        <w:ind w:left="35"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第三十条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6"/>
          <w:sz w:val="24"/>
          <w:szCs w:val="24"/>
        </w:rPr>
        <w:t>分散式实习是为了适应市场经济和高等教育规模发展新形式，</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6"/>
          <w:sz w:val="24"/>
          <w:szCs w:val="24"/>
        </w:rPr>
        <w:t>能充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分发挥学生的积极性和主动性，</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6"/>
          <w:sz w:val="24"/>
          <w:szCs w:val="24"/>
        </w:rPr>
        <w:t>学生自主联系实习单位，</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6"/>
          <w:sz w:val="24"/>
          <w:szCs w:val="24"/>
        </w:rPr>
        <w:t>自我管理实习和生活，</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6"/>
          <w:sz w:val="24"/>
          <w:szCs w:val="24"/>
        </w:rPr>
        <w:t>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院对分散实习学生进行定期指导和检查考核。</w:t>
      </w:r>
    </w:p>
    <w:p>
      <w:pPr>
        <w:spacing w:before="183" w:line="270" w:lineRule="auto"/>
        <w:ind w:left="36" w:right="9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第三十一条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分散实习学生选择实习单位必须与专业对口，</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且有接受实习单位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正式回函，回函应包括实习单位联系电话、联系人、指导教师信息。</w:t>
      </w:r>
    </w:p>
    <w:p>
      <w:pPr>
        <w:spacing w:before="12" w:line="241" w:lineRule="auto"/>
        <w:ind w:left="38"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第三十二条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1"/>
          <w:sz w:val="24"/>
          <w:szCs w:val="24"/>
        </w:rPr>
        <w:t>分散实习学生实习前必须与学院签署安全协议，</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实习期间，</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安全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问题学生个人负全部责任。按照实习大纲按时完成全部实习任务，</w:t>
      </w:r>
      <w:r>
        <w:rPr>
          <w:rFonts w:ascii="方正书宋简体" w:hAnsi="方正书宋简体" w:eastAsia="方正书宋简体" w:cs="方正书宋简体"/>
          <w:spacing w:val="61"/>
          <w:sz w:val="24"/>
          <w:szCs w:val="24"/>
        </w:rPr>
        <w:t xml:space="preserve"> </w:t>
      </w:r>
      <w:r>
        <w:rPr>
          <w:rFonts w:ascii="方正书宋简体" w:hAnsi="方正书宋简体" w:eastAsia="方正书宋简体" w:cs="方正书宋简体"/>
          <w:spacing w:val="-8"/>
          <w:sz w:val="24"/>
          <w:szCs w:val="24"/>
        </w:rPr>
        <w:t>并提交实习报告、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实习手册、实习鉴定表等，否则不能参加实习成绩考核。</w:t>
      </w:r>
    </w:p>
    <w:p>
      <w:pPr>
        <w:spacing w:before="184" w:line="268" w:lineRule="auto"/>
        <w:ind w:left="34"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第三十三条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1"/>
          <w:sz w:val="24"/>
          <w:szCs w:val="24"/>
        </w:rPr>
        <w:t>学院加强对分散实习学生宏观管理，</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必要时，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1"/>
          <w:sz w:val="24"/>
          <w:szCs w:val="24"/>
        </w:rPr>
        <w:t>实习指导教师可前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往实习学生比较集中地方进行巡回检查指导。</w:t>
      </w:r>
    </w:p>
    <w:p>
      <w:pPr>
        <w:spacing w:before="13" w:line="265" w:lineRule="auto"/>
        <w:ind w:left="35"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对分散实习学生实习回校后必须进行考核，</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学院根据各专业特点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制定分散实习学生考核办法，并进行综合实习成绩评定。</w:t>
      </w:r>
    </w:p>
    <w:p>
      <w:pPr>
        <w:spacing w:before="24" w:line="190" w:lineRule="auto"/>
        <w:ind w:firstLine="3390"/>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rPr>
        <w:t>第十二章</w:t>
      </w:r>
      <w:r>
        <w:rPr>
          <w:rFonts w:ascii="Microsoft JhengHei" w:hAnsi="Microsoft JhengHei" w:eastAsia="Microsoft JhengHei" w:cs="Microsoft JhengHei"/>
          <w:spacing w:val="7"/>
          <w:sz w:val="24"/>
          <w:szCs w:val="24"/>
        </w:rPr>
        <w:t xml:space="preserve">    </w:t>
      </w:r>
      <w:r>
        <w:rPr>
          <w:rFonts w:ascii="Microsoft JhengHei" w:hAnsi="Microsoft JhengHei" w:eastAsia="Microsoft JhengHei" w:cs="Microsoft JhengHei"/>
          <w:spacing w:val="-7"/>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7"/>
          <w:sz w:val="24"/>
          <w:szCs w:val="24"/>
        </w:rPr>
        <w:t>则</w:t>
      </w:r>
    </w:p>
    <w:p>
      <w:pPr>
        <w:spacing w:before="103"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学生实习必须遵守《吉首大学学生实习守则》。</w:t>
      </w:r>
    </w:p>
    <w:p>
      <w:pPr>
        <w:spacing w:before="118"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第三十六条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师范生教育实习按照《吉首大学教育实习管理办法》执行。</w:t>
      </w:r>
    </w:p>
    <w:p>
      <w:pPr>
        <w:spacing w:before="120" w:line="269" w:lineRule="auto"/>
        <w:ind w:left="33"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5"/>
          <w:sz w:val="24"/>
          <w:szCs w:val="24"/>
        </w:rPr>
        <w:t>实习教学经费的管理按照《吉首大学实践教学专项经费管理规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定》执行。</w:t>
      </w:r>
    </w:p>
    <w:p>
      <w:pPr>
        <w:spacing w:before="9"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第三十八条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本规定自公布之日执行，由教务处负责解释。</w:t>
      </w:r>
    </w:p>
    <w:p>
      <w:pPr>
        <w:sectPr>
          <w:footerReference r:id="rId223" w:type="default"/>
          <w:pgSz w:w="11905" w:h="16840"/>
          <w:pgMar w:top="1431" w:right="1490" w:bottom="1158" w:left="1671" w:header="0" w:footer="1034" w:gutter="0"/>
          <w:cols w:space="720" w:num="1"/>
        </w:sectPr>
      </w:pPr>
    </w:p>
    <w:p>
      <w:pPr>
        <w:spacing w:before="235" w:line="180" w:lineRule="auto"/>
        <w:ind w:firstLine="242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吉首大学教育实习管理办法</w:t>
      </w:r>
    </w:p>
    <w:p>
      <w:pPr>
        <w:spacing w:before="110" w:line="184" w:lineRule="auto"/>
        <w:ind w:firstLine="3167"/>
        <w:rPr>
          <w:rFonts w:ascii="楷体" w:hAnsi="楷体" w:eastAsia="楷体" w:cs="楷体"/>
          <w:sz w:val="24"/>
          <w:szCs w:val="24"/>
        </w:rPr>
      </w:pPr>
      <w:r>
        <w:rPr>
          <w:rFonts w:ascii="楷体" w:hAnsi="楷体" w:eastAsia="楷体" w:cs="楷体"/>
          <w:spacing w:val="-5"/>
          <w:sz w:val="24"/>
          <w:szCs w:val="24"/>
        </w:rPr>
        <w:t>（2014</w:t>
      </w:r>
      <w:r>
        <w:rPr>
          <w:rFonts w:ascii="楷体" w:hAnsi="楷体" w:eastAsia="楷体" w:cs="楷体"/>
          <w:spacing w:val="-50"/>
          <w:sz w:val="24"/>
          <w:szCs w:val="24"/>
        </w:rPr>
        <w:t xml:space="preserve"> </w:t>
      </w:r>
      <w:r>
        <w:rPr>
          <w:rFonts w:ascii="楷体" w:hAnsi="楷体" w:eastAsia="楷体" w:cs="楷体"/>
          <w:spacing w:val="-5"/>
          <w:sz w:val="24"/>
          <w:szCs w:val="24"/>
        </w:rPr>
        <w:t>年</w:t>
      </w:r>
      <w:r>
        <w:rPr>
          <w:rFonts w:ascii="楷体" w:hAnsi="楷体" w:eastAsia="楷体" w:cs="楷体"/>
          <w:spacing w:val="-32"/>
          <w:sz w:val="24"/>
          <w:szCs w:val="24"/>
        </w:rPr>
        <w:t xml:space="preserve"> </w:t>
      </w:r>
      <w:r>
        <w:rPr>
          <w:rFonts w:ascii="楷体" w:hAnsi="楷体" w:eastAsia="楷体" w:cs="楷体"/>
          <w:spacing w:val="-5"/>
          <w:sz w:val="24"/>
          <w:szCs w:val="24"/>
        </w:rPr>
        <w:t>3</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81" w:lineRule="auto"/>
        <w:rPr>
          <w:rFonts w:ascii="Malgun Gothic"/>
          <w:sz w:val="21"/>
        </w:rPr>
      </w:pPr>
    </w:p>
    <w:p>
      <w:pPr>
        <w:spacing w:before="87" w:line="284" w:lineRule="auto"/>
        <w:ind w:left="34" w:right="94"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教育实习是高等师范教育专业教学计划的重要组成部分，</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6"/>
          <w:sz w:val="24"/>
          <w:szCs w:val="24"/>
        </w:rPr>
        <w:t>是师范专业学生进行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思想政治教育、职业技能训练、教育教学理论联系实际的综合实践过程。教育实习</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0"/>
          <w:sz w:val="24"/>
          <w:szCs w:val="24"/>
        </w:rPr>
        <w:t>能提升学生对社会、对基础教育现状的认识，</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0"/>
          <w:sz w:val="24"/>
          <w:szCs w:val="24"/>
        </w:rPr>
        <w:t>激发学生对基础教育的责任感，</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0"/>
          <w:sz w:val="24"/>
          <w:szCs w:val="24"/>
        </w:rPr>
        <w:t>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优良的师德、师才、师情、师艺，深化对人民教师这一神圣职业的理解和热爱。</w:t>
      </w:r>
    </w:p>
    <w:p>
      <w:pPr>
        <w:spacing w:before="166"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一、教育实习的目的、任务</w:t>
      </w:r>
    </w:p>
    <w:p>
      <w:pPr>
        <w:spacing w:before="152" w:line="180"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（一）教育实习的目的</w:t>
      </w:r>
    </w:p>
    <w:p>
      <w:pPr>
        <w:spacing w:before="190"/>
        <w:ind w:left="32" w:right="98"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1、在教育教学实践中，使我校的办学理念、办学方向、各专业的培养目标以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及教育教学质量得到综合性检验，促进我校办学水平的提高。</w:t>
      </w:r>
    </w:p>
    <w:p>
      <w:pPr>
        <w:spacing w:before="217" w:line="315" w:lineRule="auto"/>
        <w:ind w:left="35"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2、在教育实习活动中，培养学生理论联系实际运用所学专业知识和技能进行</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教育教学实践，</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0"/>
          <w:sz w:val="24"/>
          <w:szCs w:val="24"/>
        </w:rPr>
        <w:t>检验学生的专业知识水平和政治思想素质，</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培养从事人民教育事业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的自豪感和责任感。</w:t>
      </w:r>
    </w:p>
    <w:p>
      <w:pPr>
        <w:spacing w:before="1" w:line="315" w:lineRule="auto"/>
        <w:ind w:left="41" w:right="98"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3、引导研究和探索教育教学规律，培养独立从事教育教学的工作能力，为成</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3"/>
          <w:sz w:val="24"/>
          <w:szCs w:val="24"/>
        </w:rPr>
        <w:t>为合格的教育工作者打下基础。</w:t>
      </w:r>
    </w:p>
    <w:p>
      <w:pPr>
        <w:spacing w:before="2" w:line="202"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（二）教育实习的主要任务</w:t>
      </w:r>
    </w:p>
    <w:p>
      <w:pPr>
        <w:spacing w:before="162"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1、教学工作实习</w:t>
      </w:r>
    </w:p>
    <w:p>
      <w:pPr>
        <w:spacing w:before="187" w:line="314" w:lineRule="auto"/>
        <w:ind w:left="37" w:right="94"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包括研究教材、备课、编写教案、试教、讲授、实验等主要教学环节，</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7"/>
          <w:sz w:val="24"/>
          <w:szCs w:val="24"/>
        </w:rPr>
        <w:t>以及辅</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导、答疑、批改作业、讲评、成绩考核与评定等辅助教学环节。实习期间，</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每个实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w w:val="98"/>
          <w:sz w:val="24"/>
          <w:szCs w:val="24"/>
        </w:rPr>
        <w:t>习生至少授课</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11"/>
          <w:w w:val="98"/>
          <w:sz w:val="24"/>
          <w:szCs w:val="24"/>
        </w:rPr>
        <w:t>4</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8"/>
          <w:sz w:val="24"/>
          <w:szCs w:val="24"/>
        </w:rPr>
        <w:t>至</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8"/>
          <w:sz w:val="24"/>
          <w:szCs w:val="24"/>
        </w:rPr>
        <w:t>8</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8"/>
          <w:sz w:val="24"/>
          <w:szCs w:val="24"/>
        </w:rPr>
        <w:t>个课时，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w w:val="98"/>
          <w:sz w:val="24"/>
          <w:szCs w:val="24"/>
        </w:rPr>
        <w:t>课后的评议会，</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一般每个人不得少于三次，</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被评议课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4"/>
          <w:sz w:val="24"/>
          <w:szCs w:val="24"/>
        </w:rPr>
        <w:t>的类型，力求多样。</w:t>
      </w:r>
    </w:p>
    <w:p>
      <w:pPr>
        <w:spacing w:before="14" w:line="192"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2、班主任工作实习</w:t>
      </w:r>
    </w:p>
    <w:p>
      <w:pPr>
        <w:spacing w:before="175" w:line="315" w:lineRule="auto"/>
        <w:ind w:left="3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在原班主任的指导下，</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初步掌握班主任工作的基本方法，</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培养从事班主任工作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的能力。每个实习生都必须制订班主任工作计划，</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6"/>
          <w:sz w:val="24"/>
          <w:szCs w:val="24"/>
        </w:rPr>
        <w:t>交原班主任审定后执行。实习生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应了解实习班级、组或个人的情况，</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6"/>
          <w:sz w:val="24"/>
          <w:szCs w:val="24"/>
        </w:rPr>
        <w:t>并作出具体分析，</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6"/>
          <w:sz w:val="24"/>
          <w:szCs w:val="24"/>
        </w:rPr>
        <w:t>在原班主任的协助下，</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6"/>
          <w:sz w:val="24"/>
          <w:szCs w:val="24"/>
        </w:rPr>
        <w:t>组织、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指导主题班会或班级活动。实习结束后，</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0"/>
          <w:sz w:val="24"/>
          <w:szCs w:val="24"/>
        </w:rPr>
        <w:t>计划和执行情况交学院审查，</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作为班主任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工作实习成绩的评分依据。</w:t>
      </w:r>
    </w:p>
    <w:p>
      <w:pPr>
        <w:spacing w:before="7" w:line="199"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3、团、队活动的实习</w:t>
      </w:r>
    </w:p>
    <w:p>
      <w:pPr>
        <w:spacing w:before="162"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在原班主任或辅导员指导下，组织、指导团、队活动。</w:t>
      </w:r>
    </w:p>
    <w:p>
      <w:pPr>
        <w:sectPr>
          <w:footerReference r:id="rId224" w:type="default"/>
          <w:pgSz w:w="11905" w:h="16840"/>
          <w:pgMar w:top="1431" w:right="1490" w:bottom="1158" w:left="1671" w:header="0" w:footer="1035" w:gutter="0"/>
          <w:cols w:space="720" w:num="1"/>
        </w:sectPr>
      </w:pPr>
    </w:p>
    <w:p>
      <w:pPr>
        <w:spacing w:before="315" w:line="180"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4、教育、教学科研工作</w:t>
      </w:r>
    </w:p>
    <w:p>
      <w:pPr>
        <w:spacing w:before="190" w:line="265" w:lineRule="auto"/>
        <w:ind w:left="3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实习期间，</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3"/>
          <w:sz w:val="24"/>
          <w:szCs w:val="24"/>
        </w:rPr>
        <w:t>每个实习生要选定一个教育、教学方面的研究课题，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进行调查研究，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并写成专题论文（专题总结或调查报告）</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。实习结束后，</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9"/>
          <w:sz w:val="24"/>
          <w:szCs w:val="24"/>
        </w:rPr>
        <w:t>在规定的时间内交学院评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审，并作为实习成绩的评定依据。</w:t>
      </w:r>
    </w:p>
    <w:p>
      <w:pPr>
        <w:spacing w:before="204"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二、教育实习的组织与管理</w:t>
      </w:r>
    </w:p>
    <w:p>
      <w:pPr>
        <w:spacing w:before="152" w:line="180" w:lineRule="auto"/>
        <w:ind w:firstLine="51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教育实习在主管校长领导下，实行学校、学院二级管理。</w:t>
      </w:r>
    </w:p>
    <w:p>
      <w:pPr>
        <w:spacing w:before="193" w:line="180"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（一）教务处教育实习管理主要职责</w:t>
      </w:r>
    </w:p>
    <w:p>
      <w:pPr>
        <w:spacing w:before="194" w:line="309" w:lineRule="auto"/>
        <w:ind w:left="34" w:right="79"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1、审核各学院教育实习计划，制定学校教育实习工作计划。协调教育实习安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排和处理教育实习中的重要问题。</w:t>
      </w:r>
    </w:p>
    <w:p>
      <w:pPr>
        <w:spacing w:before="17" w:line="19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2、组织全校教育实习工作检查、总结和表彰。</w:t>
      </w:r>
    </w:p>
    <w:p>
      <w:pPr>
        <w:spacing w:before="179" w:line="180"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（二）学院教育实习工作主要职责</w:t>
      </w:r>
    </w:p>
    <w:p>
      <w:pPr>
        <w:spacing w:before="192"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1、学院教育实习领导小组职责</w:t>
      </w:r>
    </w:p>
    <w:p>
      <w:pPr>
        <w:spacing w:before="191"/>
        <w:ind w:left="35" w:right="7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8"/>
          <w:sz w:val="24"/>
          <w:szCs w:val="24"/>
        </w:rPr>
        <w:t>学院成立教育实习领导小组，</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8"/>
          <w:sz w:val="24"/>
          <w:szCs w:val="24"/>
        </w:rPr>
        <w:t>由主管副院长、指导教师、学生辅导员等人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员组成，负责学院教育实习工作。</w:t>
      </w:r>
    </w:p>
    <w:p>
      <w:pPr>
        <w:spacing w:before="216"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（2）制定专业教育实习计划。</w:t>
      </w:r>
    </w:p>
    <w:p>
      <w:pPr>
        <w:spacing w:before="195" w:line="314" w:lineRule="auto"/>
        <w:ind w:left="39" w:right="76"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7"/>
          <w:sz w:val="24"/>
          <w:szCs w:val="24"/>
        </w:rPr>
        <w:t>协助教务处联系实习基地学校、选派实习带队教师，</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7"/>
          <w:sz w:val="24"/>
          <w:szCs w:val="24"/>
        </w:rPr>
        <w:t>督促检查教育实习的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准备工作。</w:t>
      </w:r>
    </w:p>
    <w:p>
      <w:pPr>
        <w:spacing w:before="4" w:line="315" w:lineRule="auto"/>
        <w:ind w:left="49" w:right="76" w:firstLine="33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（4）</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2"/>
          <w:sz w:val="24"/>
          <w:szCs w:val="24"/>
        </w:rPr>
        <w:t>负责学院教育实习工作检查，</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2"/>
          <w:sz w:val="24"/>
          <w:szCs w:val="24"/>
        </w:rPr>
        <w:t>做好师生思想政治工作，</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及时发现和处理实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习中出现的问题，并将相关情况向学校教务处反馈。</w:t>
      </w:r>
    </w:p>
    <w:p>
      <w:pPr>
        <w:spacing w:before="1" w:line="204"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（5）组织实习学生考核、成绩评定，完成实习工作总结。</w:t>
      </w:r>
    </w:p>
    <w:p>
      <w:pPr>
        <w:spacing w:before="158"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2、实习队（小组）队长职责</w:t>
      </w:r>
    </w:p>
    <w:p>
      <w:pPr>
        <w:spacing w:before="193"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学院以实习学校为单位成立实习队，设正副队长各一名，主要职责如下：</w:t>
      </w:r>
    </w:p>
    <w:p>
      <w:pPr>
        <w:spacing w:before="193"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（1）协助带队老师组织教育实习，检查实习计划执行情况。</w:t>
      </w:r>
    </w:p>
    <w:p>
      <w:pPr>
        <w:spacing w:before="191"/>
        <w:ind w:left="33" w:right="78"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3"/>
          <w:sz w:val="24"/>
          <w:szCs w:val="24"/>
        </w:rPr>
        <w:t>组织开展本组实习生的备课、讲课、作业批改、辅导、实验及其它教学工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作，关心同学的生活、学习和健康，并反映实习小组同学的情况与要求。</w:t>
      </w:r>
    </w:p>
    <w:p>
      <w:pPr>
        <w:spacing w:before="216"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（3）沟通联系学校、指导教师、学生，负责反馈信息。</w:t>
      </w:r>
    </w:p>
    <w:p>
      <w:pPr>
        <w:spacing w:before="196"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（4）组织本组学生进行实习总结、评比和实习经验交流。</w:t>
      </w:r>
    </w:p>
    <w:p>
      <w:pPr>
        <w:spacing w:before="178" w:line="18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三、教育实习指导教师职责</w:t>
      </w:r>
    </w:p>
    <w:p>
      <w:pPr>
        <w:spacing w:before="153" w:line="315" w:lineRule="auto"/>
        <w:ind w:left="34" w:right="7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我校教育实习指导教师配备必须符合相关规定，</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6"/>
          <w:sz w:val="24"/>
          <w:szCs w:val="24"/>
        </w:rPr>
        <w:t>必须由教学经验丰富、有一定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组织管理能力、责任心强的中、高级专业技术职称的教师担任实习指导教师，</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6"/>
          <w:sz w:val="24"/>
          <w:szCs w:val="24"/>
        </w:rPr>
        <w:t>师生</w:t>
      </w:r>
    </w:p>
    <w:p>
      <w:pPr>
        <w:sectPr>
          <w:footerReference r:id="rId225" w:type="default"/>
          <w:pgSz w:w="11905" w:h="16840"/>
          <w:pgMar w:top="1431" w:right="1509" w:bottom="1158" w:left="1671" w:header="0" w:footer="1037" w:gutter="0"/>
          <w:cols w:space="720" w:num="1"/>
        </w:sectPr>
      </w:pPr>
    </w:p>
    <w:p>
      <w:pPr>
        <w:spacing w:before="313" w:line="180" w:lineRule="auto"/>
        <w:ind w:firstLine="6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比例按</w:t>
      </w:r>
      <w:r>
        <w:rPr>
          <w:rFonts w:ascii="方正书宋简体" w:hAnsi="方正书宋简体" w:eastAsia="方正书宋简体" w:cs="方正书宋简体"/>
          <w:spacing w:val="40"/>
          <w:w w:val="101"/>
          <w:sz w:val="24"/>
          <w:szCs w:val="24"/>
        </w:rPr>
        <w:t xml:space="preserve"> </w:t>
      </w:r>
      <w:r>
        <w:rPr>
          <w:rFonts w:ascii="方正书宋简体" w:hAnsi="方正书宋简体" w:eastAsia="方正书宋简体" w:cs="方正书宋简体"/>
          <w:spacing w:val="-6"/>
          <w:sz w:val="24"/>
          <w:szCs w:val="24"/>
        </w:rPr>
        <w:t>1∶12～15</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6"/>
          <w:sz w:val="24"/>
          <w:szCs w:val="24"/>
        </w:rPr>
        <w:t>配备。主要职责如下：</w:t>
      </w:r>
    </w:p>
    <w:p>
      <w:pPr>
        <w:spacing w:before="193"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1、负责实习前各项准备工作。</w:t>
      </w:r>
    </w:p>
    <w:p>
      <w:pPr>
        <w:spacing w:before="190"/>
        <w:ind w:left="38" w:right="86"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2、指导实习生备课、试讲、上课、评议等教学准备活动，督促、检查、指导</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3"/>
          <w:sz w:val="24"/>
          <w:szCs w:val="24"/>
        </w:rPr>
        <w:t>实习生完成教育、教学和班主任工作。</w:t>
      </w:r>
    </w:p>
    <w:p>
      <w:pPr>
        <w:spacing w:before="216"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3、指导实习生进行教育改革调查和专题研究。</w:t>
      </w:r>
    </w:p>
    <w:p>
      <w:pPr>
        <w:spacing w:before="193" w:line="315" w:lineRule="auto"/>
        <w:ind w:left="49" w:right="96" w:firstLine="46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4、实习指导教师要以身作则，教书育人，全面关心实习生的思想、工作、学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习和身体健康，加强对实习生进行纪律、安全、保密等方面教育。</w:t>
      </w:r>
    </w:p>
    <w:p>
      <w:pPr>
        <w:spacing w:before="4" w:line="199"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5、经常与学院、实习学校联系和沟通，及时发现和处理实习中困难和问题。</w:t>
      </w:r>
    </w:p>
    <w:p>
      <w:pPr>
        <w:spacing w:before="164" w:line="180" w:lineRule="auto"/>
        <w:ind w:firstLine="51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6、负责组织实习生考核和成绩评定。</w:t>
      </w:r>
    </w:p>
    <w:p>
      <w:pPr>
        <w:spacing w:before="180" w:line="180" w:lineRule="auto"/>
        <w:ind w:firstLine="538"/>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四、教育实习守则</w:t>
      </w:r>
    </w:p>
    <w:p>
      <w:pPr>
        <w:spacing w:before="151" w:line="311" w:lineRule="auto"/>
        <w:ind w:left="32" w:right="86"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1、我校师范专业学生，必须按要求参加教学计划规定的教育实习。因故不能</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参加者，必须向所在学院申请，教务处批准，由学院安排学生补修教育实习环节。</w:t>
      </w:r>
    </w:p>
    <w:p>
      <w:pPr>
        <w:spacing w:before="17" w:line="314" w:lineRule="auto"/>
        <w:ind w:left="3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2、实习生应自觉遵守国家的政策法令和实习学校的各项规章制度，严格执行实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习纪律。实习期间，不准离开实习学校，确因特殊情况必须离开，3</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8"/>
          <w:sz w:val="24"/>
          <w:szCs w:val="24"/>
        </w:rPr>
        <w:t>天以上须经实习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学校批准并报所在学院备案，</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5"/>
          <w:sz w:val="24"/>
          <w:szCs w:val="24"/>
        </w:rPr>
        <w:t>病假须有医生证明。请假时间超过实习时间三分之一者，</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教育实习不计成绩，需重修实习环节。学生请假离开学校，</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3"/>
          <w:sz w:val="24"/>
          <w:szCs w:val="24"/>
        </w:rPr>
        <w:t>应妥善安排实习工作。</w:t>
      </w:r>
    </w:p>
    <w:p>
      <w:pPr>
        <w:shd w:val="clear" w:fill="FFFFFF"/>
        <w:spacing w:before="6" w:line="252" w:lineRule="auto"/>
        <w:ind w:left="39" w:right="9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3、实习生必须服从实习学校的统一领导，虚心接受实习学校和本校实习指导</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5"/>
          <w:sz w:val="24"/>
          <w:szCs w:val="24"/>
        </w:rPr>
        <w:t>老师的指导和管理；</w:t>
      </w:r>
    </w:p>
    <w:p>
      <w:pPr>
        <w:spacing w:before="177"/>
        <w:ind w:left="32" w:right="10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4、实习生应严格要求自己，注意言行举止。带队指导教师对实习生的思想、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业务及生活全面负责，对违纪不听指导的学生，带队教师有权按有关规定处理。</w:t>
      </w:r>
    </w:p>
    <w:p>
      <w:pPr>
        <w:spacing w:before="213" w:line="312" w:lineRule="auto"/>
        <w:ind w:left="43" w:right="82"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5、实习生要热爱教育事业，关心爱护学生，对工作认真负责，克服困难，全</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6"/>
          <w:sz w:val="24"/>
          <w:szCs w:val="24"/>
        </w:rPr>
        <w:t>面完成实习任务。实习结束，</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6"/>
          <w:sz w:val="24"/>
          <w:szCs w:val="24"/>
        </w:rPr>
        <w:t>实习生要认真总结实习工作。指导教师根据学生的实</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习态度、工作实效、实习学校有关人员的意见，评定实习成绩。</w:t>
      </w:r>
    </w:p>
    <w:p>
      <w:pPr>
        <w:spacing w:before="16"/>
        <w:ind w:left="38" w:right="86"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6、实习师生借用实习学校的生活用具、</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3"/>
          <w:sz w:val="24"/>
          <w:szCs w:val="24"/>
        </w:rPr>
        <w:t>资料、文件等，必须退还，如有损坏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或遗失，由实习生本人按规定予以赔偿。</w:t>
      </w:r>
    </w:p>
    <w:p>
      <w:pPr>
        <w:spacing w:before="218" w:line="180" w:lineRule="auto"/>
        <w:ind w:firstLine="51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7、教育实习成绩不合格者需要重修，重修实习费用自理。</w:t>
      </w:r>
    </w:p>
    <w:p>
      <w:pPr>
        <w:spacing w:before="180" w:line="180" w:lineRule="auto"/>
        <w:ind w:firstLine="522"/>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五、教育实习成绩考核与评定</w:t>
      </w:r>
    </w:p>
    <w:p>
      <w:pPr>
        <w:spacing w:before="153" w:line="315" w:lineRule="auto"/>
        <w:ind w:left="34" w:right="8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（一）实习生教育实习成绩由教学工作、</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班主任工作、教育调查成绩三部分组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成，按优秀、良好、中等、及格和不及格五级计分。</w:t>
      </w:r>
    </w:p>
    <w:p>
      <w:pPr>
        <w:spacing w:before="1" w:line="202"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（二）教育实习成绩的评定，在实习生个人总结、实习小组评议的基础上，经</w:t>
      </w:r>
    </w:p>
    <w:p>
      <w:pPr>
        <w:sectPr>
          <w:footerReference r:id="rId226" w:type="default"/>
          <w:pgSz w:w="11905" w:h="16840"/>
          <w:pgMar w:top="1431" w:right="1502" w:bottom="1158" w:left="1671" w:header="0" w:footer="1037" w:gutter="0"/>
          <w:cols w:space="720" w:num="1"/>
        </w:sectPr>
      </w:pPr>
    </w:p>
    <w:p>
      <w:pPr>
        <w:spacing w:before="314" w:line="180" w:lineRule="auto"/>
        <w:ind w:firstLine="3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指导教师提出鉴定意见，学院教育实习工作领导小组综合评定。</w:t>
      </w:r>
    </w:p>
    <w:p>
      <w:pPr>
        <w:spacing w:before="193" w:line="180" w:lineRule="auto"/>
        <w:ind w:firstLine="37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（三）教育实习成绩评定标准</w:t>
      </w:r>
    </w:p>
    <w:p>
      <w:pPr>
        <w:spacing w:before="193" w:line="239" w:lineRule="auto"/>
        <w:ind w:left="32" w:right="4"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1、思想品德：</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1"/>
          <w:w w:val="97"/>
          <w:sz w:val="24"/>
          <w:szCs w:val="24"/>
        </w:rPr>
        <w:t>认真贯彻执行党的教育方针，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w w:val="97"/>
          <w:sz w:val="24"/>
          <w:szCs w:val="24"/>
        </w:rPr>
        <w:t>模范执行实习生守则，</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7"/>
          <w:sz w:val="24"/>
          <w:szCs w:val="24"/>
        </w:rPr>
        <w:t>积极工作，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遵守纪律，注重师德，诚实谦虚，乐观健康。</w:t>
      </w:r>
    </w:p>
    <w:p>
      <w:pPr>
        <w:spacing w:before="210" w:line="312" w:lineRule="auto"/>
        <w:ind w:left="36" w:right="7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2、教学工作实习</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59"/>
          <w:w w:val="101"/>
          <w:sz w:val="24"/>
          <w:szCs w:val="24"/>
        </w:rPr>
        <w:t xml:space="preserve"> </w:t>
      </w:r>
      <w:r>
        <w:rPr>
          <w:rFonts w:ascii="方正书宋简体" w:hAnsi="方正书宋简体" w:eastAsia="方正书宋简体" w:cs="方正书宋简体"/>
          <w:spacing w:val="-11"/>
          <w:w w:val="96"/>
          <w:sz w:val="24"/>
          <w:szCs w:val="24"/>
        </w:rPr>
        <w:t>能刻苦钻研教学大纲与教材，</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6"/>
          <w:sz w:val="24"/>
          <w:szCs w:val="24"/>
        </w:rPr>
        <w:t>了解教学对象，</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6"/>
          <w:sz w:val="24"/>
          <w:szCs w:val="24"/>
        </w:rPr>
        <w:t>分析教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材重点、难点，做到备课、教案、讲授、辅导、批改、考核六认真</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2"/>
          <w:sz w:val="24"/>
          <w:szCs w:val="24"/>
        </w:rPr>
        <w:t>2）有较强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的教学组织能力，充分利用直观教具和电化教学手段、教学条理清楚、生动活泼，</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富有启发性，教态庄重自然，能调动学生积极性和主动性</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2"/>
          <w:sz w:val="24"/>
          <w:szCs w:val="24"/>
        </w:rPr>
        <w:t>3）有一定的独立教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学工作能力，教学效果好。</w:t>
      </w:r>
    </w:p>
    <w:p>
      <w:pPr>
        <w:spacing w:before="26" w:line="307" w:lineRule="auto"/>
        <w:ind w:left="34" w:right="79"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3、班主任工作实习</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1"/>
          <w:w w:val="96"/>
          <w:sz w:val="24"/>
          <w:szCs w:val="24"/>
        </w:rPr>
        <w:t>热爱学生，</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6"/>
          <w:sz w:val="24"/>
          <w:szCs w:val="24"/>
        </w:rPr>
        <w:t>班主任工作认真负责，</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6"/>
          <w:sz w:val="24"/>
          <w:szCs w:val="24"/>
        </w:rPr>
        <w:t>坚持对学生的思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想教育，调动学生积极性，努力形成良好的班风和学风</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2"/>
          <w:sz w:val="24"/>
          <w:szCs w:val="24"/>
        </w:rPr>
        <w:t>2）有独立开展班组活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动能力，班组工作取得优异成绩。</w:t>
      </w:r>
    </w:p>
    <w:p>
      <w:pPr>
        <w:spacing w:before="40" w:line="238" w:lineRule="auto"/>
        <w:ind w:left="34" w:right="83"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4、教育实习总结或调查方面：实习生在实习结束时认真做好实习总结，写出</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3"/>
          <w:sz w:val="24"/>
          <w:szCs w:val="24"/>
        </w:rPr>
        <w:t>有一定质量调查报告或论文。</w:t>
      </w:r>
    </w:p>
    <w:p>
      <w:pPr>
        <w:spacing w:before="216" w:line="309" w:lineRule="auto"/>
        <w:ind w:left="3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全面达到上述要求的，</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8"/>
          <w:sz w:val="24"/>
          <w:szCs w:val="24"/>
        </w:rPr>
        <w:t>评为“优秀”；</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8"/>
          <w:sz w:val="24"/>
          <w:szCs w:val="24"/>
        </w:rPr>
        <w:t>较好地达到上述要求的，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8"/>
          <w:sz w:val="24"/>
          <w:szCs w:val="24"/>
        </w:rPr>
        <w:t>评为“良好”；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基本达到上述要求的，</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0"/>
          <w:sz w:val="24"/>
          <w:szCs w:val="24"/>
        </w:rPr>
        <w:t>可评“中等”或“及格”；</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有下列情况中一条者评为“不及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1"/>
          <w:sz w:val="24"/>
          <w:szCs w:val="24"/>
        </w:rPr>
        <w:t>格”</w:t>
      </w:r>
      <w:r>
        <w:rPr>
          <w:rFonts w:ascii="方正书宋简体" w:hAnsi="方正书宋简体" w:eastAsia="方正书宋简体" w:cs="方正书宋简体"/>
          <w:spacing w:val="-57"/>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57"/>
          <w:sz w:val="24"/>
          <w:szCs w:val="24"/>
        </w:rPr>
        <w:t>（</w:t>
      </w:r>
      <w:r>
        <w:rPr>
          <w:rFonts w:ascii="方正书宋简体" w:hAnsi="方正书宋简体" w:eastAsia="方正书宋简体" w:cs="方正书宋简体"/>
          <w:spacing w:val="-21"/>
          <w:sz w:val="24"/>
          <w:szCs w:val="24"/>
        </w:rPr>
        <w:t>1）</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21"/>
          <w:sz w:val="24"/>
          <w:szCs w:val="24"/>
        </w:rPr>
        <w:t>缺乏独立工作能力，</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1"/>
          <w:sz w:val="24"/>
          <w:szCs w:val="24"/>
        </w:rPr>
        <w:t>没完成教学任务</w:t>
      </w:r>
      <w:r>
        <w:rPr>
          <w:rFonts w:ascii="方正书宋简体" w:hAnsi="方正书宋简体" w:eastAsia="方正书宋简体" w:cs="方正书宋简体"/>
          <w:spacing w:val="-57"/>
          <w:sz w:val="24"/>
          <w:szCs w:val="24"/>
        </w:rPr>
        <w:t>；</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57"/>
          <w:sz w:val="24"/>
          <w:szCs w:val="24"/>
        </w:rPr>
        <w:t>（</w:t>
      </w:r>
      <w:r>
        <w:rPr>
          <w:rFonts w:ascii="方正书宋简体" w:hAnsi="方正书宋简体" w:eastAsia="方正书宋简体" w:cs="方正书宋简体"/>
          <w:spacing w:val="-21"/>
          <w:sz w:val="24"/>
          <w:szCs w:val="24"/>
        </w:rPr>
        <w:t>2）</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21"/>
          <w:sz w:val="24"/>
          <w:szCs w:val="24"/>
        </w:rPr>
        <w:t>严重违反实习生守则，</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1"/>
          <w:sz w:val="24"/>
          <w:szCs w:val="24"/>
        </w:rPr>
        <w:t>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作马虎，造成不良影响。</w:t>
      </w:r>
    </w:p>
    <w:p>
      <w:pPr>
        <w:spacing w:before="28" w:line="187"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六、教育实习总结与评比</w:t>
      </w:r>
    </w:p>
    <w:p>
      <w:pPr>
        <w:spacing w:before="139" w:line="180" w:lineRule="auto"/>
        <w:ind w:firstLine="3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14:textOutline w14:w="3048" w14:cap="flat" w14:cmpd="sng">
            <w14:solidFill>
              <w14:srgbClr w14:val="000000"/>
            </w14:solidFill>
            <w14:prstDash w14:val="solid"/>
            <w14:miter w14:val="1"/>
          </w14:textOutline>
        </w:rPr>
        <w:t>（一）教育实习总结</w:t>
      </w:r>
    </w:p>
    <w:p>
      <w:pPr>
        <w:spacing w:before="196" w:line="312" w:lineRule="auto"/>
        <w:ind w:left="34" w:right="79"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1、实习生个人总结</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11"/>
          <w:w w:val="98"/>
          <w:sz w:val="24"/>
          <w:szCs w:val="24"/>
        </w:rPr>
        <w:t>1）</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1"/>
          <w:w w:val="98"/>
          <w:sz w:val="24"/>
          <w:szCs w:val="24"/>
        </w:rPr>
        <w:t>实习结束时，</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1"/>
          <w:w w:val="98"/>
          <w:sz w:val="24"/>
          <w:szCs w:val="24"/>
        </w:rPr>
        <w:t>每个实习生都应认真总结在实习中的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收获、体会和存在的问题，肯定成绩，找出差距，提出今后努力方向</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2"/>
          <w:sz w:val="24"/>
          <w:szCs w:val="24"/>
        </w:rPr>
        <w:t>2）实习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生应虚心征求实习学校领导、教师的意见，</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0"/>
          <w:sz w:val="24"/>
          <w:szCs w:val="24"/>
        </w:rPr>
        <w:t>听取实习队员对自己工作的反映，</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认真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做好个人总结</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2"/>
          <w:sz w:val="24"/>
          <w:szCs w:val="24"/>
        </w:rPr>
        <w:t>3）在个人准备的基础上进行小组座谈，听取实习小组带队教师</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的意见，然后写成书面总结</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2"/>
          <w:sz w:val="24"/>
          <w:szCs w:val="24"/>
        </w:rPr>
        <w:t>4）各学院教育实习领导小组，可以要求实习生就</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实习中某个问题，写出专题总结，或撰写教研论文。</w:t>
      </w:r>
    </w:p>
    <w:p>
      <w:pPr>
        <w:spacing w:before="27" w:line="310" w:lineRule="auto"/>
        <w:ind w:left="35" w:right="8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2、实习小组总结</w:t>
      </w:r>
      <w:r>
        <w:rPr>
          <w:rFonts w:ascii="方正书宋简体" w:hAnsi="方正书宋简体" w:eastAsia="方正书宋简体" w:cs="方正书宋简体"/>
          <w:spacing w:val="7"/>
          <w:sz w:val="24"/>
          <w:szCs w:val="24"/>
        </w:rPr>
        <w:t>：</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7"/>
          <w:sz w:val="24"/>
          <w:szCs w:val="24"/>
        </w:rPr>
        <w:t>（</w:t>
      </w:r>
      <w:r>
        <w:rPr>
          <w:rFonts w:ascii="方正书宋简体" w:hAnsi="方正书宋简体" w:eastAsia="方正书宋简体" w:cs="方正书宋简体"/>
          <w:spacing w:val="-10"/>
          <w:sz w:val="24"/>
          <w:szCs w:val="24"/>
        </w:rPr>
        <w:t>1）</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0"/>
          <w:sz w:val="24"/>
          <w:szCs w:val="24"/>
        </w:rPr>
        <w:t>教育实习小组应分别做出教学工作实习总结和班主任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实习总结</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
          <w:sz w:val="24"/>
          <w:szCs w:val="24"/>
        </w:rPr>
        <w:t>2）实习小组总结必须先在小组范围讨论，然后由小组长负责整理，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通报实习生本人。</w:t>
      </w:r>
    </w:p>
    <w:p>
      <w:pPr>
        <w:spacing w:before="17"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3、指导教师总结</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
          <w:sz w:val="24"/>
          <w:szCs w:val="24"/>
        </w:rPr>
        <w:t>1）对指导的每一个实习生的实习质量进行分析和评价；</w:t>
      </w:r>
    </w:p>
    <w:p>
      <w:pPr>
        <w:sectPr>
          <w:footerReference r:id="rId227" w:type="default"/>
          <w:pgSz w:w="11905" w:h="16840"/>
          <w:pgMar w:top="1431" w:right="1504" w:bottom="1158" w:left="1671" w:header="0" w:footer="1035" w:gutter="0"/>
          <w:cols w:space="720" w:num="1"/>
        </w:sectPr>
      </w:pPr>
    </w:p>
    <w:p>
      <w:pPr>
        <w:spacing w:before="310"/>
        <w:ind w:left="150" w:right="99" w:hanging="15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（2）个人在指导教育实习工作中的等收获和体会</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pacing w:val="2"/>
          <w:sz w:val="24"/>
          <w:szCs w:val="24"/>
        </w:rPr>
        <w:t>3）对今后教学改革、教育实</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5"/>
          <w:sz w:val="24"/>
          <w:szCs w:val="24"/>
        </w:rPr>
        <w:t>习工作的意见和建议。</w:t>
      </w:r>
    </w:p>
    <w:p>
      <w:pPr>
        <w:spacing w:before="220" w:line="180"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4、学院教育实习工作总结</w:t>
      </w:r>
    </w:p>
    <w:p>
      <w:pPr>
        <w:spacing w:before="192" w:line="312" w:lineRule="auto"/>
        <w:ind w:left="135"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在各带队教师汇报的基础上，</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6"/>
          <w:sz w:val="24"/>
          <w:szCs w:val="24"/>
        </w:rPr>
        <w:t>各学院教育实习领导小组作出学院教育实习工作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z w:val="24"/>
          <w:szCs w:val="24"/>
        </w:rPr>
        <w:t>总结，交教务处。总结的内容应包括</w:t>
      </w:r>
      <w:r>
        <w:rPr>
          <w:rFonts w:ascii="方正书宋简体" w:hAnsi="方正书宋简体" w:eastAsia="方正书宋简体" w:cs="方正书宋简体"/>
          <w:spacing w:val="-1"/>
          <w:sz w:val="24"/>
          <w:szCs w:val="24"/>
        </w:rPr>
        <w:t>：（</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z w:val="24"/>
          <w:szCs w:val="24"/>
        </w:rPr>
        <w:t xml:space="preserve">1）学院教育实习工作的组织和管理、实 </w:t>
      </w:r>
      <w:r>
        <w:rPr>
          <w:rFonts w:ascii="方正书宋简体" w:hAnsi="方正书宋简体" w:eastAsia="方正书宋简体" w:cs="方正书宋简体"/>
          <w:spacing w:val="-18"/>
          <w:sz w:val="24"/>
          <w:szCs w:val="24"/>
        </w:rPr>
        <w:t>习生实习基本情况</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18"/>
          <w:sz w:val="24"/>
          <w:szCs w:val="24"/>
        </w:rPr>
        <w:t>2）</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8"/>
          <w:sz w:val="24"/>
          <w:szCs w:val="24"/>
        </w:rPr>
        <w:t>教育实习工作质量的分析和评价</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18"/>
          <w:sz w:val="24"/>
          <w:szCs w:val="24"/>
        </w:rPr>
        <w:t>3）</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8"/>
          <w:sz w:val="24"/>
          <w:szCs w:val="24"/>
        </w:rPr>
        <w:t>教育实习工作取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得成绩与存在问题</w:t>
      </w:r>
      <w:r>
        <w:rPr>
          <w:rFonts w:ascii="方正书宋简体" w:hAnsi="方正书宋简体" w:eastAsia="方正书宋简体" w:cs="方正书宋简体"/>
          <w:spacing w:val="12"/>
          <w:sz w:val="24"/>
          <w:szCs w:val="24"/>
        </w:rPr>
        <w:t>；（</w:t>
      </w:r>
      <w:r>
        <w:rPr>
          <w:rFonts w:ascii="方正书宋简体" w:hAnsi="方正书宋简体" w:eastAsia="方正书宋简体" w:cs="方正书宋简体"/>
          <w:spacing w:val="2"/>
          <w:sz w:val="24"/>
          <w:szCs w:val="24"/>
        </w:rPr>
        <w:t>4）对学校以及本专业教学工作的改革意见和今后组织教育</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4"/>
          <w:sz w:val="24"/>
          <w:szCs w:val="24"/>
        </w:rPr>
        <w:t>实习工作的建议。</w:t>
      </w:r>
    </w:p>
    <w:p>
      <w:pPr>
        <w:spacing w:before="23" w:line="185"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14:textOutline w14:w="3048" w14:cap="flat" w14:cmpd="sng">
            <w14:solidFill>
              <w14:srgbClr w14:val="000000"/>
            </w14:solidFill>
            <w14:prstDash w14:val="solid"/>
            <w14:miter w14:val="1"/>
          </w14:textOutline>
        </w:rPr>
        <w:t>（二）教育实习评比</w:t>
      </w:r>
    </w:p>
    <w:p>
      <w:pPr>
        <w:spacing w:before="186" w:line="239" w:lineRule="auto"/>
        <w:ind w:left="137" w:right="100"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1、在个人、小组鉴定的基础上，综合指导教师、实习学校意见，经学院实习</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指导小组审核，评出优秀实习生，上报教务处审批，予以表彰。</w:t>
      </w:r>
    </w:p>
    <w:p>
      <w:pPr>
        <w:spacing w:before="215" w:line="265" w:lineRule="auto"/>
        <w:ind w:left="135" w:right="9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2、优秀实习生的评选标准为：坚持四项基本原则，模范遵守实习纪律，专业</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5"/>
          <w:sz w:val="24"/>
          <w:szCs w:val="24"/>
        </w:rPr>
        <w:t>思想稳固，</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5"/>
          <w:sz w:val="24"/>
          <w:szCs w:val="24"/>
        </w:rPr>
        <w:t>思想品德好，</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严格要求自己，</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5"/>
          <w:sz w:val="24"/>
          <w:szCs w:val="24"/>
        </w:rPr>
        <w:t>在教育、教学、班主任工作中做出了突出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成绩，实习成绩优秀的实习生。</w:t>
      </w:r>
    </w:p>
    <w:p>
      <w:pPr>
        <w:spacing w:before="204" w:line="180" w:lineRule="auto"/>
        <w:ind w:firstLine="620"/>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七、有关学生分散实习的规定</w:t>
      </w:r>
    </w:p>
    <w:p>
      <w:pPr>
        <w:spacing w:before="152" w:line="180" w:lineRule="auto"/>
        <w:ind w:firstLine="62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为了加强对分散实习的领导与管理，保证实习质量，对分散实习做如下规定：</w:t>
      </w:r>
    </w:p>
    <w:p>
      <w:pPr>
        <w:spacing w:before="193" w:line="315" w:lineRule="auto"/>
        <w:ind w:left="133" w:right="7"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1、联系实习单位：</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1"/>
          <w:w w:val="97"/>
          <w:sz w:val="24"/>
          <w:szCs w:val="24"/>
        </w:rPr>
        <w:t>学生提出申请，</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7"/>
          <w:sz w:val="24"/>
          <w:szCs w:val="24"/>
        </w:rPr>
        <w:t>经学院同意，</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7"/>
          <w:sz w:val="24"/>
          <w:szCs w:val="24"/>
        </w:rPr>
        <w:t>实习生可自行联系实习单位。</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联系实习单位要求选择交通便利的中学，</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0"/>
          <w:sz w:val="24"/>
          <w:szCs w:val="24"/>
        </w:rPr>
        <w:t>便于学校检查。单独联系实习，</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必须有接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受实习的学校正式回函，</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6"/>
          <w:sz w:val="24"/>
          <w:szCs w:val="24"/>
        </w:rPr>
        <w:t>回函应包括实习学校的联系电话、联系人、指导教师姓名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及联系方法。学生所在学院应将有关情况统一上报教务处。</w:t>
      </w:r>
    </w:p>
    <w:p>
      <w:pPr>
        <w:spacing w:before="3" w:line="201"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2、单独实习学生必须与所在学院签署安全协议，</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11"/>
          <w:w w:val="96"/>
          <w:sz w:val="24"/>
          <w:szCs w:val="24"/>
        </w:rPr>
        <w:t>学生本人要注意安全，</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1"/>
          <w:w w:val="96"/>
          <w:sz w:val="24"/>
          <w:szCs w:val="24"/>
        </w:rPr>
        <w:t>责任自负。</w:t>
      </w:r>
    </w:p>
    <w:p>
      <w:pPr>
        <w:spacing w:before="163" w:line="315" w:lineRule="auto"/>
        <w:ind w:left="135" w:right="9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3、单独实习学生所在学院必须为他们确定指导教师，指导教师不仅在校内指</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6"/>
          <w:sz w:val="24"/>
          <w:szCs w:val="24"/>
        </w:rPr>
        <w:t>导实习生备课、修改教案、试讲等，</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而且对实习生在实习学校的工作、生活进行全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程跟踪管理，并有相应的记录。</w:t>
      </w:r>
    </w:p>
    <w:p>
      <w:pPr>
        <w:spacing w:before="2" w:line="202"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4、实习学校应确定一位具有一定教学经验的教师作为实习生的指导教师。</w:t>
      </w:r>
    </w:p>
    <w:p>
      <w:pPr>
        <w:spacing w:before="161" w:line="315" w:lineRule="auto"/>
        <w:ind w:left="135" w:right="14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5、单独实习学生在实习期间，必须主动向所在学院指导教师汇报实习情况，</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5"/>
          <w:sz w:val="24"/>
          <w:szCs w:val="24"/>
        </w:rPr>
        <w:t>不得少于两次。</w:t>
      </w:r>
    </w:p>
    <w:p>
      <w:pPr>
        <w:spacing w:before="1" w:line="239" w:lineRule="auto"/>
        <w:ind w:left="133" w:right="100"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6、单独实习的学生返校，所在学院要组织检查，让学生上一堂公开课，才能</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评定实习成绩，否则不予评定实习成绩。</w:t>
      </w:r>
    </w:p>
    <w:p>
      <w:pPr>
        <w:spacing w:before="213" w:line="193" w:lineRule="auto"/>
        <w:ind w:firstLine="61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本规定从发布之日起实行；本规定由教务处负责解释。</w:t>
      </w:r>
    </w:p>
    <w:p>
      <w:pPr>
        <w:sectPr>
          <w:footerReference r:id="rId228" w:type="default"/>
          <w:pgSz w:w="11905" w:h="16840"/>
          <w:pgMar w:top="1431" w:right="1487" w:bottom="1158" w:left="1571" w:header="0" w:footer="1037" w:gutter="0"/>
          <w:cols w:space="720" w:num="1"/>
        </w:sectPr>
      </w:pPr>
    </w:p>
    <w:p>
      <w:pPr>
        <w:spacing w:before="235" w:line="180" w:lineRule="auto"/>
        <w:ind w:firstLine="207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吉首大学临床实践教学管理办法</w:t>
      </w:r>
    </w:p>
    <w:p>
      <w:pPr>
        <w:spacing w:line="314" w:lineRule="auto"/>
        <w:rPr>
          <w:rFonts w:ascii="Malgun Gothic"/>
          <w:sz w:val="21"/>
        </w:rPr>
      </w:pPr>
    </w:p>
    <w:p>
      <w:pPr>
        <w:spacing w:before="86" w:line="277" w:lineRule="auto"/>
        <w:ind w:left="3" w:right="9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为贯彻执行教育部、卫生部《关于加强医学教育工作</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提高医学教育质量的若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干意见》、《医学教育临床实践管理暂行规定》等文件精神，</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6"/>
          <w:sz w:val="24"/>
          <w:szCs w:val="24"/>
        </w:rPr>
        <w:t>进一步深化医学教育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改革，加强临床教学管理，提高医学本科教学质量管理，结合我校医学教育实际，</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5"/>
          <w:sz w:val="24"/>
          <w:szCs w:val="24"/>
        </w:rPr>
        <w:t>特制订本办法。</w:t>
      </w:r>
    </w:p>
    <w:p>
      <w:pPr>
        <w:spacing w:before="207" w:line="180" w:lineRule="auto"/>
        <w:ind w:firstLine="347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41" w:line="265" w:lineRule="auto"/>
        <w:ind w:right="9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第一条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7"/>
          <w:sz w:val="24"/>
          <w:szCs w:val="24"/>
        </w:rPr>
        <w:t>临床实践教学是培养医学学生临床实践能力，</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7"/>
          <w:sz w:val="24"/>
          <w:szCs w:val="24"/>
        </w:rPr>
        <w:t>实现人才培养目标的关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键阶段。临床实践教学应全面贯彻党的教育方针，</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6"/>
          <w:sz w:val="24"/>
          <w:szCs w:val="24"/>
        </w:rPr>
        <w:t>努力适应医学人才培养模式的转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变，坚持理论与实践相结合原则，培养学生具备良好的医学职业道德风范和行为，</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5"/>
          <w:sz w:val="24"/>
          <w:szCs w:val="24"/>
        </w:rPr>
        <w:t>加强“三基”（基础理论、基本知识、基本技能）的训练和临床实践能力培养。</w:t>
      </w:r>
    </w:p>
    <w:p>
      <w:pPr>
        <w:spacing w:before="205" w:line="250" w:lineRule="auto"/>
        <w:ind w:left="2"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临床学院、附属医院、教学医院和实习医院等临床教学基地是我校医</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6"/>
          <w:sz w:val="24"/>
          <w:szCs w:val="24"/>
        </w:rPr>
        <w:t>学教育教学的主要场所，</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6"/>
          <w:sz w:val="24"/>
          <w:szCs w:val="24"/>
        </w:rPr>
        <w:t>承担临床教学也是临床学院和医院的基本任务之一。临床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学院和医院要设置临床教学管理机构，确保临床教学工作正常进行。</w:t>
      </w:r>
    </w:p>
    <w:p>
      <w:pPr>
        <w:spacing w:before="205" w:line="258" w:lineRule="auto"/>
        <w:ind w:right="9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2"/>
          <w:sz w:val="24"/>
          <w:szCs w:val="24"/>
        </w:rPr>
        <w:t>本规定所指临床实践教学含临床技能实训、临床见习、临床实习、完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整病历和临床技能毕业考核等实践教学环节。临床学院、附属医院承担不同层次和</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专业的临床教学任务；实习基地医院主要承担毕业实习教学任务。</w:t>
      </w:r>
    </w:p>
    <w:p>
      <w:pPr>
        <w:spacing w:before="166" w:line="180" w:lineRule="auto"/>
        <w:ind w:firstLine="251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7"/>
          <w:w w:val="101"/>
          <w:sz w:val="24"/>
          <w:szCs w:val="24"/>
        </w:rPr>
        <w:t xml:space="preserve">    </w:t>
      </w:r>
      <w:r>
        <w:rPr>
          <w:rFonts w:ascii="Microsoft JhengHei" w:hAnsi="Microsoft JhengHei" w:eastAsia="Microsoft JhengHei" w:cs="Microsoft JhengHei"/>
          <w:spacing w:val="-3"/>
          <w:sz w:val="24"/>
          <w:szCs w:val="24"/>
        </w:rPr>
        <w:t>临床实践教学管理与职责</w:t>
      </w:r>
    </w:p>
    <w:p>
      <w:pPr>
        <w:spacing w:before="137" w:line="295" w:lineRule="auto"/>
        <w:ind w:left="15" w:firstLine="47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学校临床实践教学实行校院两级管理。教务处是医学教育管理职能部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门，</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3"/>
          <w:sz w:val="24"/>
          <w:szCs w:val="24"/>
        </w:rPr>
        <w:t>医学教育办公室负责医学临床教学统筹计划、协调和管理，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3"/>
          <w:sz w:val="24"/>
          <w:szCs w:val="24"/>
        </w:rPr>
        <w:t>医学院、临床学院、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附属医院、教学医院、实习医院负责临床教学组织与实施。</w:t>
      </w:r>
    </w:p>
    <w:p>
      <w:pPr>
        <w:spacing w:before="3" w:line="293" w:lineRule="auto"/>
        <w:ind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第五条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学校领导和职能部门负责人要深入临床教学一线，</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指导和检查临床教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及时解决临床教学中的困难和问题。临床教学师资队伍建设纳入学校师资队伍</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建设整体规划。</w:t>
      </w:r>
    </w:p>
    <w:p>
      <w:pPr>
        <w:spacing w:before="3" w:line="250" w:lineRule="auto"/>
        <w:ind w:right="9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临床学院和医院是临床教学责任单位。应配备专职教务秘书及足够数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量的专职教学管理人员，</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0"/>
          <w:sz w:val="24"/>
          <w:szCs w:val="24"/>
        </w:rPr>
        <w:t>负责临床教学常规运行与管理。应设立各临床教研室，</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任教研室主任和教学秘书。</w:t>
      </w:r>
    </w:p>
    <w:p>
      <w:pPr>
        <w:spacing w:before="204" w:line="295" w:lineRule="auto"/>
        <w:ind w:left="1" w:right="1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第七条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6"/>
          <w:sz w:val="24"/>
          <w:szCs w:val="24"/>
        </w:rPr>
        <w:t>临床学院和医院院长是教学工作的第一责任人，</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应有一名副院长分工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负责临床教学工作。要把教书育人的工作，</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放在与临床工作同等重要的位置，</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切实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加强对教学工作的领导，</w:t>
      </w:r>
      <w:r>
        <w:rPr>
          <w:rFonts w:ascii="方正书宋简体" w:hAnsi="方正书宋简体" w:eastAsia="方正书宋简体" w:cs="方正书宋简体"/>
          <w:spacing w:val="63"/>
          <w:sz w:val="24"/>
          <w:szCs w:val="24"/>
        </w:rPr>
        <w:t xml:space="preserve"> </w:t>
      </w:r>
      <w:r>
        <w:rPr>
          <w:rFonts w:ascii="方正书宋简体" w:hAnsi="方正书宋简体" w:eastAsia="方正书宋简体" w:cs="方正书宋简体"/>
          <w:spacing w:val="-11"/>
          <w:sz w:val="24"/>
          <w:szCs w:val="24"/>
        </w:rPr>
        <w:t>定期研究临床教学工作，</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及时解决教学工作中存在的问题，</w:t>
      </w:r>
    </w:p>
    <w:p>
      <w:pPr>
        <w:sectPr>
          <w:footerReference r:id="rId229" w:type="default"/>
          <w:pgSz w:w="11905" w:h="16840"/>
          <w:pgMar w:top="1431" w:right="1490" w:bottom="1158" w:left="1705" w:header="0" w:footer="1035" w:gutter="0"/>
          <w:cols w:space="720" w:num="1"/>
        </w:sectPr>
      </w:pPr>
    </w:p>
    <w:p>
      <w:pPr>
        <w:spacing w:before="314" w:line="180" w:lineRule="auto"/>
        <w:ind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努力提高教学质量。</w:t>
      </w:r>
    </w:p>
    <w:p>
      <w:pPr>
        <w:spacing w:before="177" w:line="266" w:lineRule="auto"/>
        <w:ind w:left="2"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第八条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3"/>
          <w:sz w:val="24"/>
          <w:szCs w:val="24"/>
        </w:rPr>
        <w:t>临床教研室是实施临床教学的基层单位。各临床教研室要并按照《吉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首大学关于加强教研室建设与管理的原则意见》进行建设与管理，</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要认真完成学校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下达的教学任务，</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5"/>
          <w:sz w:val="24"/>
          <w:szCs w:val="24"/>
        </w:rPr>
        <w:t>建立和完善保证教学质量的制度和措施，</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5"/>
          <w:sz w:val="24"/>
          <w:szCs w:val="24"/>
        </w:rPr>
        <w:t>开展教学研究，</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5"/>
          <w:sz w:val="24"/>
          <w:szCs w:val="24"/>
        </w:rPr>
        <w:t>定期组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织教学活动和教学会议，科学、规范管理临床教学各教学环节。</w:t>
      </w:r>
    </w:p>
    <w:p>
      <w:pPr>
        <w:spacing w:before="204" w:line="250" w:lineRule="auto"/>
        <w:ind w:right="1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第九条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7"/>
          <w:sz w:val="24"/>
          <w:szCs w:val="24"/>
        </w:rPr>
        <w:t>临床学院和医院应对临床教学任课（带教）教师的教学业绩予以考查，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建立临床教师教学档案，并组织领导、专家、同行及学生对教师的教学进行评价，</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
          <w:sz w:val="24"/>
          <w:szCs w:val="24"/>
        </w:rPr>
        <w:t>评价结果进入个人业务档案，作为其个人晋升、晋级和年终考核的重要依据。</w:t>
      </w:r>
    </w:p>
    <w:p>
      <w:pPr>
        <w:spacing w:before="205" w:line="294" w:lineRule="auto"/>
        <w:ind w:right="9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6"/>
          <w:sz w:val="24"/>
          <w:szCs w:val="24"/>
        </w:rPr>
        <w:t>对承担教学任务的临床教学人员，</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学校根据其已有卫生技术职称、临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床教学情况等条件，</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sz w:val="24"/>
          <w:szCs w:val="24"/>
        </w:rPr>
        <w:t>聘任相应的教学职称，</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由学校发给聘任证书。对优秀临床教学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人员学校予以表彰。</w:t>
      </w:r>
    </w:p>
    <w:p>
      <w:pPr>
        <w:spacing w:before="1" w:line="299"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学校对临床学院和医院的医疗、教学、科研工作要给予大力支持，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对高新技术普及、图书信息资源共享等方面的要求，</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6"/>
          <w:sz w:val="24"/>
          <w:szCs w:val="24"/>
        </w:rPr>
        <w:t>优先给予安排。鼓励医院与相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关单位进行科学研究合作，</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10"/>
          <w:sz w:val="24"/>
          <w:szCs w:val="24"/>
        </w:rPr>
        <w:t>共同申报科研项目与成果。</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0"/>
          <w:sz w:val="24"/>
          <w:szCs w:val="24"/>
        </w:rPr>
        <w:t>临床教学人员申报各类课题、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各种研究项目与学校在编人员同等对待。</w:t>
      </w:r>
    </w:p>
    <w:p>
      <w:pPr>
        <w:spacing w:before="1" w:line="202" w:lineRule="auto"/>
        <w:ind w:firstLine="3117"/>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4"/>
          <w:sz w:val="24"/>
          <w:szCs w:val="24"/>
        </w:rPr>
        <w:t>临床教学组织</w:t>
      </w:r>
    </w:p>
    <w:p>
      <w:pPr>
        <w:spacing w:before="103" w:line="265" w:lineRule="auto"/>
        <w:ind w:left="2" w:right="1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第十二条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教务处对二级教学单位下达临床教学任务。学院和医院教学办、临</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1"/>
          <w:sz w:val="24"/>
          <w:szCs w:val="24"/>
        </w:rPr>
        <w:t>床教研室具体组织、实施临床教学任务。临床学院和医院要不断增强各级医护人员</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9"/>
          <w:sz w:val="24"/>
          <w:szCs w:val="24"/>
        </w:rPr>
        <w:t>的教师责任感，</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在服务态度、科学作风、医患关系、道德修养等方面做学生的表率，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教学办、教研室作好督促、检查工作。</w:t>
      </w:r>
    </w:p>
    <w:p>
      <w:pPr>
        <w:spacing w:before="206" w:line="293" w:lineRule="auto"/>
        <w:ind w:left="2"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第十三条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5"/>
          <w:sz w:val="24"/>
          <w:szCs w:val="24"/>
        </w:rPr>
        <w:t>任课（带教）</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5"/>
          <w:sz w:val="24"/>
          <w:szCs w:val="24"/>
        </w:rPr>
        <w:t>教师的选拔是提高临床教学质量的关键。教研室应把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医德医风好、教学意识强，</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5"/>
          <w:sz w:val="24"/>
          <w:szCs w:val="24"/>
        </w:rPr>
        <w:t>教学水平高，</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5"/>
          <w:sz w:val="24"/>
          <w:szCs w:val="24"/>
        </w:rPr>
        <w:t>教学效果好的教师派到教学第一线，</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合理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安排教师的临床教学与临床医疗工作。</w:t>
      </w:r>
    </w:p>
    <w:p>
      <w:pPr>
        <w:spacing w:before="8" w:line="265" w:lineRule="auto"/>
        <w:ind w:left="7" w:right="94"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第十四条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0"/>
          <w:sz w:val="24"/>
          <w:szCs w:val="24"/>
        </w:rPr>
        <w:t>临床理论课讲授，</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0"/>
          <w:sz w:val="24"/>
          <w:szCs w:val="24"/>
        </w:rPr>
        <w:t>副教授（副主任医师）</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10"/>
          <w:sz w:val="24"/>
          <w:szCs w:val="24"/>
        </w:rPr>
        <w:t>及以上教师担负教学的课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时应占该课程授课时数的</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
          <w:sz w:val="24"/>
          <w:szCs w:val="24"/>
        </w:rPr>
        <w:t>70％以上，讲师（主治医师）授课时数控制在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30</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
          <w:sz w:val="24"/>
          <w:szCs w:val="24"/>
        </w:rPr>
        <w:t>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中培养性讲课应控制在</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4"/>
          <w:sz w:val="24"/>
          <w:szCs w:val="24"/>
        </w:rPr>
        <w:t>10％以下。各课程任课教师名单应在上课前</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4"/>
          <w:sz w:val="24"/>
          <w:szCs w:val="24"/>
        </w:rPr>
        <w:t>个月上报医院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审批并报教务处备案。</w:t>
      </w:r>
    </w:p>
    <w:p>
      <w:pPr>
        <w:spacing w:before="206" w:line="293" w:lineRule="auto"/>
        <w:ind w:left="1" w:right="9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第十五条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5"/>
          <w:sz w:val="24"/>
          <w:szCs w:val="24"/>
        </w:rPr>
        <w:t>教师上课前必须充分备课（包括</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5"/>
          <w:sz w:val="24"/>
          <w:szCs w:val="24"/>
        </w:rPr>
        <w:t>CAI</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的应用</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5"/>
          <w:sz w:val="24"/>
          <w:szCs w:val="24"/>
        </w:rPr>
        <w:t>教研室要组织集体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备课，</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0"/>
          <w:sz w:val="24"/>
          <w:szCs w:val="24"/>
        </w:rPr>
        <w:t>合理安排授课内容。新任课教师必须经过由教研室主任主持的试讲，</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合格后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始能上岗。授课教师的授课计划、教学进度表、教案等要交教研室存档备查。</w:t>
      </w:r>
    </w:p>
    <w:p>
      <w:pPr>
        <w:sectPr>
          <w:footerReference r:id="rId230" w:type="default"/>
          <w:pgSz w:w="11905" w:h="16840"/>
          <w:pgMar w:top="1431" w:right="1490" w:bottom="1158" w:left="1704" w:header="0" w:footer="1035" w:gutter="0"/>
          <w:cols w:space="720" w:num="1"/>
        </w:sectPr>
      </w:pPr>
    </w:p>
    <w:p>
      <w:pPr>
        <w:spacing w:before="299" w:line="275" w:lineRule="auto"/>
        <w:ind w:left="3"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第十六条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2"/>
          <w:sz w:val="24"/>
          <w:szCs w:val="24"/>
        </w:rPr>
        <w:t>见习带教教师以中级职称以上教师为主，</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2"/>
          <w:sz w:val="24"/>
          <w:szCs w:val="24"/>
        </w:rPr>
        <w:t>比例不低于</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70%，</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2"/>
          <w:sz w:val="24"/>
          <w:szCs w:val="24"/>
        </w:rPr>
        <w:t>其余由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毕业三年以上助教（住院医师）</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9"/>
          <w:sz w:val="24"/>
          <w:szCs w:val="24"/>
        </w:rPr>
        <w:t>担任。有条件的教研室，</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应安排一定数量副高职称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医师参与带教。对未带过见习教学者，</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0"/>
          <w:sz w:val="24"/>
          <w:szCs w:val="24"/>
        </w:rPr>
        <w:t>应先跟班带教一定学时数，</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0"/>
          <w:sz w:val="24"/>
          <w:szCs w:val="24"/>
        </w:rPr>
        <w:t>经教研室考核合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格后才能上岗。各教研室应将带教教师名单提前</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个月报学院和医院审批并交教务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处备案。</w:t>
      </w:r>
    </w:p>
    <w:p>
      <w:pPr>
        <w:spacing w:before="202" w:line="301" w:lineRule="auto"/>
        <w:ind w:left="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6"/>
          <w:sz w:val="24"/>
          <w:szCs w:val="24"/>
        </w:rPr>
        <w:t>见习教学应以床边教学为主，</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主干临床课程理论讲授与见习带教学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z w:val="24"/>
          <w:szCs w:val="24"/>
        </w:rPr>
        <w:t>时比例应大于或等于</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z w:val="24"/>
          <w:szCs w:val="24"/>
        </w:rPr>
        <w:t xml:space="preserve">1:1。见习教学开始前，教研室应组织教师集体备课，明确该 </w:t>
      </w:r>
      <w:r>
        <w:rPr>
          <w:rFonts w:ascii="方正书宋简体" w:hAnsi="方正书宋简体" w:eastAsia="方正书宋简体" w:cs="方正书宋简体"/>
          <w:spacing w:val="-4"/>
          <w:sz w:val="24"/>
          <w:szCs w:val="24"/>
        </w:rPr>
        <w:t>阶段教学目标，统一教学内容及考核要求。为保证质量，</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4"/>
          <w:sz w:val="24"/>
          <w:szCs w:val="24"/>
        </w:rPr>
        <w:t>每个小组学生不超过</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12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人，</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0"/>
          <w:sz w:val="24"/>
          <w:szCs w:val="24"/>
        </w:rPr>
        <w:t>教师应相对固定负责一个小组的带教，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以便于因材施教和评教评学。见习教学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要认真备课，资料留存教研室归档。</w:t>
      </w:r>
    </w:p>
    <w:p>
      <w:pPr>
        <w:spacing w:before="17" w:line="302" w:lineRule="auto"/>
        <w:ind w:left="1" w:right="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第十八条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2"/>
          <w:sz w:val="24"/>
          <w:szCs w:val="24"/>
        </w:rPr>
        <w:t>为保证临床教学需要，每个普通病区应设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3—5</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张病床以调节教学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病种。专科性较强的病区应有</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10—20％的床位收住适合教学的病人。负责教学的教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师，</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5"/>
          <w:sz w:val="24"/>
          <w:szCs w:val="24"/>
        </w:rPr>
        <w:t>在不影响病人治疗的前提下有权对教学需要的病人出入院作出安排。科室主任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要予以充分的支持。医院要处理好毕业实习教学与进修医师培养的关系，</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6"/>
          <w:sz w:val="24"/>
          <w:szCs w:val="24"/>
        </w:rPr>
        <w:t>不得安排</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进修医师承担毕业实习教学任务。</w:t>
      </w:r>
    </w:p>
    <w:p>
      <w:pPr>
        <w:spacing w:before="4" w:line="265" w:lineRule="auto"/>
        <w:ind w:left="3" w:righ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第十九条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11"/>
          <w:sz w:val="24"/>
          <w:szCs w:val="24"/>
        </w:rPr>
        <w:t>各科室应根据实习大纲，</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加强实习生的“三基”训练，</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尤其要注意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病历书写和常用诊疗技术操作的基本功训练，</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培养实习生的自学能力，</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0"/>
          <w:sz w:val="24"/>
          <w:szCs w:val="24"/>
        </w:rPr>
        <w:t>临床思维能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力和独立工作能力。每名老师带教学生不超过</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2</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6"/>
          <w:sz w:val="24"/>
          <w:szCs w:val="24"/>
        </w:rPr>
        <w:t>人，</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6"/>
          <w:sz w:val="24"/>
          <w:szCs w:val="24"/>
        </w:rPr>
        <w:t>每位实习生管理病床数应保证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6—8</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3"/>
          <w:sz w:val="24"/>
          <w:szCs w:val="24"/>
        </w:rPr>
        <w:t>张，教学资源病床不被重复利用。</w:t>
      </w:r>
    </w:p>
    <w:p>
      <w:pPr>
        <w:spacing w:before="206" w:line="299" w:lineRule="auto"/>
        <w:ind w:lef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7"/>
          <w:sz w:val="24"/>
          <w:szCs w:val="24"/>
        </w:rPr>
        <w:t>为加强实习医师临床工作综合能力，</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7"/>
          <w:sz w:val="24"/>
          <w:szCs w:val="24"/>
        </w:rPr>
        <w:t>各科室应坚持由副教授（副主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任医师）</w:t>
      </w:r>
      <w:r>
        <w:rPr>
          <w:rFonts w:ascii="方正书宋简体" w:hAnsi="方正书宋简体" w:eastAsia="方正书宋简体" w:cs="方正书宋简体"/>
          <w:spacing w:val="72"/>
          <w:sz w:val="24"/>
          <w:szCs w:val="24"/>
        </w:rPr>
        <w:t xml:space="preserve"> </w:t>
      </w:r>
      <w:r>
        <w:rPr>
          <w:rFonts w:ascii="方正书宋简体" w:hAnsi="方正书宋简体" w:eastAsia="方正书宋简体" w:cs="方正书宋简体"/>
          <w:spacing w:val="-10"/>
          <w:sz w:val="24"/>
          <w:szCs w:val="24"/>
        </w:rPr>
        <w:t>及以上教师每</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1</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周为实习生进行一次教学查房，</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每</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周安排一次专题讲座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或病例讨论，</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6"/>
          <w:sz w:val="24"/>
          <w:szCs w:val="24"/>
        </w:rPr>
        <w:t>组织实习生医疗文书修改、临床操作指导。各类教学活动认真记录并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作为教学资料留存科室归档。</w:t>
      </w:r>
    </w:p>
    <w:p>
      <w:pPr>
        <w:spacing w:before="1" w:line="202" w:lineRule="auto"/>
        <w:ind w:firstLine="227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临床教学人员资格准入与聘任</w:t>
      </w:r>
    </w:p>
    <w:p>
      <w:pPr>
        <w:spacing w:before="99" w:line="275" w:lineRule="auto"/>
        <w:ind w:right="1"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学校、临床学院和医院分别成立临床教学资格认定小组。学校的</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5"/>
          <w:sz w:val="24"/>
          <w:szCs w:val="24"/>
        </w:rPr>
        <w:t>临床教学资格认定小组负责全校医科临床教师的教学资格审核与认定工作，</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5"/>
          <w:sz w:val="24"/>
          <w:szCs w:val="24"/>
        </w:rPr>
        <w:t>并对附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属医院的临床教学资格认定工作进行检查和监督。临床学院、医院的临床教学资格</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6"/>
          <w:sz w:val="24"/>
          <w:szCs w:val="24"/>
        </w:rPr>
        <w:t>认定小组负责医院临床教师的教学资格审核与认定工作，</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6"/>
          <w:sz w:val="24"/>
          <w:szCs w:val="24"/>
        </w:rPr>
        <w:t>临床教学资格认定结果统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一报学校审核并发文。</w:t>
      </w:r>
    </w:p>
    <w:p>
      <w:pPr>
        <w:spacing w:before="207"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第二十二条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7"/>
          <w:sz w:val="24"/>
          <w:szCs w:val="24"/>
        </w:rPr>
        <w:t>理论教学授课资格。取得教师资格证，</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7"/>
          <w:sz w:val="24"/>
          <w:szCs w:val="24"/>
        </w:rPr>
        <w:t>三年中级或以上职称的临</w:t>
      </w:r>
    </w:p>
    <w:p>
      <w:pPr>
        <w:sectPr>
          <w:footerReference r:id="rId231" w:type="default"/>
          <w:pgSz w:w="11905" w:h="16840"/>
          <w:pgMar w:top="1431" w:right="1584" w:bottom="1158" w:left="1702" w:header="0" w:footer="1034" w:gutter="0"/>
          <w:cols w:space="720" w:num="1"/>
        </w:sectPr>
      </w:pPr>
    </w:p>
    <w:p>
      <w:pPr>
        <w:spacing w:before="311"/>
        <w:ind w:left="29" w:right="97" w:hanging="2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床医师具有理论教学授课资格。初次进行理论教学授课的教师实行预讲制度，</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6"/>
          <w:sz w:val="24"/>
          <w:szCs w:val="24"/>
        </w:rPr>
        <w:t>预讲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由教研室主任主持、医院或学校督导员参加，预讲合格才能上岗。</w:t>
      </w:r>
    </w:p>
    <w:p>
      <w:pPr>
        <w:spacing w:before="205" w:line="280" w:lineRule="auto"/>
        <w:ind w:right="1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第二十三条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0"/>
          <w:sz w:val="24"/>
          <w:szCs w:val="24"/>
        </w:rPr>
        <w:t>见习教学带教资格。取得教师资格证，</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0"/>
          <w:sz w:val="24"/>
          <w:szCs w:val="24"/>
        </w:rPr>
        <w:t>中级以上职称的临床医师，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参加见习带教岗前培训并通过考核者可参与见习带教。</w:t>
      </w:r>
    </w:p>
    <w:p>
      <w:pPr>
        <w:spacing w:before="15" w:line="250" w:lineRule="auto"/>
        <w:ind w:left="2"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实习教学带教资格。主治医师、临床医学专业学位研究生（取得</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执业医师资格或有临床带教经验）、取得执业医师资格的住院医师，参加实习带教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岗前培训并通过实习带教资格考核者，可获得实习带教资格。</w:t>
      </w:r>
    </w:p>
    <w:p>
      <w:pPr>
        <w:spacing w:before="204" w:line="250" w:lineRule="auto"/>
        <w:ind w:left="3"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第二十五条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临床教学人员的聘任。受聘教师必须是直接承担教学任务、具有</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
          <w:sz w:val="24"/>
          <w:szCs w:val="24"/>
        </w:rPr>
        <w:t>与其拟聘的教师职务相应的卫生技术职务。临床教学资格认定小组综合考核其教学</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态度、水平和效果，以确定其是否具备担任受聘教师的任职条件。</w:t>
      </w:r>
    </w:p>
    <w:p>
      <w:pPr>
        <w:spacing w:before="201" w:line="295" w:lineRule="auto"/>
        <w:ind w:right="8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第二十六条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受聘教师在聘期内必须履行相应的职务职责，</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完成所担任的教学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w w:val="98"/>
          <w:sz w:val="24"/>
          <w:szCs w:val="24"/>
        </w:rPr>
        <w:t>任务。临床教师聘期一般为</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w w:val="98"/>
          <w:sz w:val="24"/>
          <w:szCs w:val="24"/>
        </w:rPr>
        <w:t>1</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8"/>
          <w:sz w:val="24"/>
          <w:szCs w:val="24"/>
        </w:rPr>
        <w:t>年，</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1"/>
          <w:w w:val="98"/>
          <w:sz w:val="24"/>
          <w:szCs w:val="24"/>
        </w:rPr>
        <w:t>任职期满考核合格者，</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1"/>
          <w:w w:val="98"/>
          <w:sz w:val="24"/>
          <w:szCs w:val="24"/>
        </w:rPr>
        <w:t>可以续聘。受聘教师在受聘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9"/>
          <w:sz w:val="24"/>
          <w:szCs w:val="24"/>
        </w:rPr>
        <w:t>期间若不能履行聘书规定的任务和不适宜继续担任受聘教师时，学校可解除聘约。</w:t>
      </w:r>
    </w:p>
    <w:p>
      <w:pPr>
        <w:spacing w:before="2" w:line="292" w:lineRule="auto"/>
        <w:ind w:left="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第二十七条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9"/>
          <w:sz w:val="24"/>
          <w:szCs w:val="24"/>
        </w:rPr>
        <w:t>充分发挥临床教师的教学积极性，</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9"/>
          <w:sz w:val="24"/>
          <w:szCs w:val="24"/>
        </w:rPr>
        <w:t>对教学责任心强、教学效果好、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教学贡献大、教书育人成绩突出的教师应给予表彰和奖励，</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在个人待遇和安排进修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学习时应体现适当的优惠政策。</w:t>
      </w:r>
    </w:p>
    <w:p>
      <w:pPr>
        <w:spacing w:before="10" w:line="197" w:lineRule="auto"/>
        <w:ind w:firstLine="227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临床教学经费投入与条件建设</w:t>
      </w:r>
    </w:p>
    <w:p>
      <w:pPr>
        <w:spacing w:before="112" w:line="265"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第二十八条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12"/>
          <w:sz w:val="24"/>
          <w:szCs w:val="24"/>
        </w:rPr>
        <w:t>临床学院完成临床教学任务，</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2"/>
          <w:sz w:val="24"/>
          <w:szCs w:val="24"/>
        </w:rPr>
        <w:t>并通过教学工作考核，</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2"/>
          <w:sz w:val="24"/>
          <w:szCs w:val="24"/>
        </w:rPr>
        <w:t>学校按规定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拨付教学经费。经费用于临床教学、实习、见习及科研等职能所需场地及房屋建设、</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仪器设备与设施配置等硬件建设经费和从事临床教学、科研等专（兼）</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4"/>
          <w:sz w:val="24"/>
          <w:szCs w:val="24"/>
        </w:rPr>
        <w:t>职教师人头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费、仪器设备维护等经常性费用。</w:t>
      </w:r>
    </w:p>
    <w:p>
      <w:pPr>
        <w:spacing w:before="205" w:line="281" w:lineRule="auto"/>
        <w:ind w:left="7" w:right="94"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第二十九条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7"/>
          <w:sz w:val="24"/>
          <w:szCs w:val="24"/>
        </w:rPr>
        <w:t>附属医院、教学医院和实习医院承担临床教学任务，</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7"/>
          <w:sz w:val="24"/>
          <w:szCs w:val="24"/>
        </w:rPr>
        <w:t>按照《吉首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大学实践教学专项经费管理办法》和学校相关规定付给课时酬金、实习管理费等。</w:t>
      </w:r>
    </w:p>
    <w:p>
      <w:pPr>
        <w:spacing w:before="13" w:line="250" w:lineRule="auto"/>
        <w:ind w:left="2"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学校、临床学院和医院应加强临床教学条件建设。学校应加大临床</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0"/>
          <w:sz w:val="24"/>
          <w:szCs w:val="24"/>
        </w:rPr>
        <w:t>教学投入，</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0"/>
          <w:sz w:val="24"/>
          <w:szCs w:val="24"/>
        </w:rPr>
        <w:t>将教学用房建设、临床教学实验室建设列入学校项目建设计划，</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落实经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费投入。临床学院和医院应设立经常性临床教学专项经费作为教学运转经费。</w:t>
      </w:r>
    </w:p>
    <w:p>
      <w:pPr>
        <w:spacing w:before="205" w:line="281" w:lineRule="auto"/>
        <w:ind w:left="1"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第三十一条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1"/>
          <w:sz w:val="24"/>
          <w:szCs w:val="24"/>
        </w:rPr>
        <w:t>学校应建设高规格临床技能实验中心，</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面向全体医学生开放，</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立学院、医院临床教学资源共享机制，搭建临床技能实践教学大平台。</w:t>
      </w:r>
    </w:p>
    <w:p>
      <w:pPr>
        <w:spacing w:before="12" w:line="197" w:lineRule="auto"/>
        <w:ind w:firstLine="275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第六章</w:t>
      </w:r>
      <w:r>
        <w:rPr>
          <w:rFonts w:ascii="Microsoft JhengHei" w:hAnsi="Microsoft JhengHei" w:eastAsia="Microsoft JhengHei" w:cs="Microsoft JhengHei"/>
          <w:spacing w:val="6"/>
          <w:sz w:val="24"/>
          <w:szCs w:val="24"/>
        </w:rPr>
        <w:t xml:space="preserve">    </w:t>
      </w:r>
      <w:r>
        <w:rPr>
          <w:rFonts w:ascii="Microsoft JhengHei" w:hAnsi="Microsoft JhengHei" w:eastAsia="Microsoft JhengHei" w:cs="Microsoft JhengHei"/>
          <w:spacing w:val="-3"/>
          <w:sz w:val="24"/>
          <w:szCs w:val="24"/>
        </w:rPr>
        <w:t>学生管理与成绩考核</w:t>
      </w:r>
    </w:p>
    <w:p>
      <w:pPr>
        <w:spacing w:before="110"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2"/>
          <w:sz w:val="24"/>
          <w:szCs w:val="24"/>
        </w:rPr>
        <w:t>学生临床教学阶段实行校、院两级管理。学校学工部门、教务处</w:t>
      </w:r>
    </w:p>
    <w:p>
      <w:pPr>
        <w:sectPr>
          <w:footerReference r:id="rId232" w:type="default"/>
          <w:pgSz w:w="11905" w:h="16840"/>
          <w:pgMar w:top="1431" w:right="1489" w:bottom="1158" w:left="1704" w:header="0" w:footer="1035" w:gutter="0"/>
          <w:cols w:space="720" w:num="1"/>
        </w:sectPr>
      </w:pPr>
    </w:p>
    <w:p>
      <w:pPr>
        <w:spacing w:before="311" w:line="180" w:lineRule="auto"/>
        <w:ind w:firstLine="131"/>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是学生学籍管理和日常管理职能部门，</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3"/>
          <w:sz w:val="24"/>
          <w:szCs w:val="24"/>
        </w:rPr>
        <w:t>学院和医院具体负责临床教学阶段的学生管理。</w:t>
      </w:r>
    </w:p>
    <w:p>
      <w:pPr>
        <w:spacing w:before="183" w:line="281" w:lineRule="auto"/>
        <w:ind w:left="131"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第三十三条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学生按时参加教学计划规定和医院组织的一切教学活动。学生因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故不能参加教学活动时，必须按规定办理请假手续。</w:t>
      </w:r>
    </w:p>
    <w:p>
      <w:pPr>
        <w:spacing w:before="11" w:line="197" w:lineRule="auto"/>
        <w:ind w:firstLine="61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第三十四条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学生临床课程考核按照《吉首大学课程考核管理规定》执行。</w:t>
      </w:r>
    </w:p>
    <w:p>
      <w:pPr>
        <w:spacing w:before="107" w:line="289" w:lineRule="auto"/>
        <w:ind w:left="133" w:right="9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第三十五条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临床见习考核是相应临床课程考核的组成部分。重点考核学生临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床技能应用的熟练性、准确性及临床思维分析能力。见习考试以简单病例分析结合</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实际技能操作进行考核，也可结合临床实际，采用其它形式进行考核。</w:t>
      </w:r>
    </w:p>
    <w:p>
      <w:pPr>
        <w:spacing w:before="28" w:line="290" w:lineRule="auto"/>
        <w:ind w:left="130" w:right="1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第三十六条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严格执行学生毕业实习出科考试和实习总成绩考核。出科考试成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绩不合格者，</w:t>
      </w:r>
      <w:r>
        <w:rPr>
          <w:rFonts w:ascii="方正书宋简体" w:hAnsi="方正书宋简体" w:eastAsia="方正书宋简体" w:cs="方正书宋简体"/>
          <w:spacing w:val="68"/>
          <w:w w:val="101"/>
          <w:sz w:val="24"/>
          <w:szCs w:val="24"/>
        </w:rPr>
        <w:t xml:space="preserve"> </w:t>
      </w:r>
      <w:r>
        <w:rPr>
          <w:rFonts w:ascii="方正书宋简体" w:hAnsi="方正书宋简体" w:eastAsia="方正书宋简体" w:cs="方正书宋简体"/>
          <w:spacing w:val="-15"/>
          <w:sz w:val="24"/>
          <w:szCs w:val="24"/>
        </w:rPr>
        <w:t>需重新实习该科；</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5"/>
          <w:sz w:val="24"/>
          <w:szCs w:val="24"/>
        </w:rPr>
        <w:t>实习生实习总成绩不合格者，</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5"/>
          <w:sz w:val="24"/>
          <w:szCs w:val="24"/>
        </w:rPr>
        <w:t>需重新进行毕业实习，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所需费用由该生本人负责。</w:t>
      </w:r>
    </w:p>
    <w:p>
      <w:pPr>
        <w:spacing w:before="19" w:line="282" w:lineRule="auto"/>
        <w:ind w:right="86" w:firstLine="618"/>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第三十七条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2"/>
          <w:sz w:val="24"/>
          <w:szCs w:val="24"/>
        </w:rPr>
        <w:t>毕业实习成绩填入实习鉴定，</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2"/>
          <w:sz w:val="24"/>
          <w:szCs w:val="24"/>
        </w:rPr>
        <w:t>实习鉴定表由医院主管部门统一审核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（有公章</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11"/>
          <w:sz w:val="24"/>
          <w:szCs w:val="24"/>
        </w:rPr>
        <w:t>由学生带回上交学院。不得涂改，如有涂改，须加盖公章，否则无效。</w:t>
      </w:r>
    </w:p>
    <w:p>
      <w:pPr>
        <w:spacing w:before="11" w:line="197" w:lineRule="auto"/>
        <w:ind w:firstLine="264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第七章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临床教学质量监控与教学研究</w:t>
      </w:r>
    </w:p>
    <w:p>
      <w:pPr>
        <w:spacing w:before="111" w:line="294" w:lineRule="auto"/>
        <w:ind w:left="133" w:right="9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第三十八条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7"/>
          <w:sz w:val="24"/>
          <w:szCs w:val="24"/>
        </w:rPr>
        <w:t>临床教学质量监控既能提高临床教学质量，</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7"/>
          <w:sz w:val="24"/>
          <w:szCs w:val="24"/>
        </w:rPr>
        <w:t>又能促进医疗质量的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提高。学校教学督导团、教务处对临床教学工作进行经常检查和指导，</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6"/>
          <w:sz w:val="24"/>
          <w:szCs w:val="24"/>
        </w:rPr>
        <w:t>确保临床教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学各环节规范化、系统化和科学化。</w:t>
      </w:r>
    </w:p>
    <w:p>
      <w:pPr>
        <w:spacing w:before="3" w:line="249" w:lineRule="auto"/>
        <w:ind w:left="131"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第三十九条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临床学院和医院应加强临床教学质量管理，组织开展理论教学、</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见习、实习三阶段的学生评教活动，</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6"/>
          <w:sz w:val="24"/>
          <w:szCs w:val="24"/>
        </w:rPr>
        <w:t>定期组织主管教学的院领导、教学督导组、教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学管理人员对教研室教学活动进行检查、指导。</w:t>
      </w:r>
    </w:p>
    <w:p>
      <w:pPr>
        <w:spacing w:before="210" w:line="265" w:lineRule="auto"/>
        <w:ind w:left="136" w:right="96"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第四十条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5"/>
          <w:sz w:val="24"/>
          <w:szCs w:val="24"/>
        </w:rPr>
        <w:t>加强国内外医学教育交流与合作。积极研究学习国际医学教育标</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准、国家本科医学教育标准和国家医学类职业考试大纲的要求，</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6"/>
          <w:sz w:val="24"/>
          <w:szCs w:val="24"/>
        </w:rPr>
        <w:t>结合学校人才培养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目标，</w:t>
      </w:r>
      <w:r>
        <w:rPr>
          <w:rFonts w:ascii="方正书宋简体" w:hAnsi="方正书宋简体" w:eastAsia="方正书宋简体" w:cs="方正书宋简体"/>
          <w:spacing w:val="76"/>
          <w:sz w:val="24"/>
          <w:szCs w:val="24"/>
        </w:rPr>
        <w:t xml:space="preserve"> </w:t>
      </w:r>
      <w:r>
        <w:rPr>
          <w:rFonts w:ascii="方正书宋简体" w:hAnsi="方正书宋简体" w:eastAsia="方正书宋简体" w:cs="方正书宋简体"/>
          <w:spacing w:val="-9"/>
          <w:sz w:val="24"/>
          <w:szCs w:val="24"/>
        </w:rPr>
        <w:t>改革医学人才培养体系与模式，</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9"/>
          <w:sz w:val="24"/>
          <w:szCs w:val="24"/>
        </w:rPr>
        <w:t>建立符合积极医学教学发展趋势和我校实际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的临床教学标准及规范。</w:t>
      </w:r>
    </w:p>
    <w:p>
      <w:pPr>
        <w:spacing w:before="205" w:line="294" w:lineRule="auto"/>
        <w:ind w:left="133" w:right="9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第四十一条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学校医学教育需要在改革中发展。临床教学研究要结合学校医学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学科专业内涵建设，</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0"/>
          <w:sz w:val="24"/>
          <w:szCs w:val="24"/>
        </w:rPr>
        <w:t>探讨临床教学与管理模式，</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0"/>
          <w:sz w:val="24"/>
          <w:szCs w:val="24"/>
        </w:rPr>
        <w:t>开展临床教学目标、教学内容、教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学方法、管理规范等研究。</w:t>
      </w:r>
    </w:p>
    <w:p>
      <w:pPr>
        <w:spacing w:before="2" w:line="450" w:lineRule="exact"/>
        <w:ind w:firstLine="3966"/>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position w:val="12"/>
          <w:sz w:val="24"/>
          <w:szCs w:val="24"/>
        </w:rPr>
        <w:t>第八章</w:t>
      </w:r>
      <w:r>
        <w:rPr>
          <w:rFonts w:ascii="Microsoft JhengHei" w:hAnsi="Microsoft JhengHei" w:eastAsia="Microsoft JhengHei" w:cs="Microsoft JhengHei"/>
          <w:spacing w:val="6"/>
          <w:position w:val="12"/>
          <w:sz w:val="24"/>
          <w:szCs w:val="24"/>
        </w:rPr>
        <w:t xml:space="preserve">    </w:t>
      </w:r>
      <w:r>
        <w:rPr>
          <w:rFonts w:ascii="Microsoft JhengHei" w:hAnsi="Microsoft JhengHei" w:eastAsia="Microsoft JhengHei" w:cs="Microsoft JhengHei"/>
          <w:spacing w:val="-5"/>
          <w:position w:val="12"/>
          <w:sz w:val="24"/>
          <w:szCs w:val="24"/>
        </w:rPr>
        <w:t>附则</w:t>
      </w:r>
    </w:p>
    <w:p>
      <w:pPr>
        <w:spacing w:line="204" w:lineRule="auto"/>
        <w:ind w:firstLine="61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第四十二条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3"/>
          <w:sz w:val="24"/>
          <w:szCs w:val="24"/>
        </w:rPr>
        <w:t>本规定由吉首大学教务处负责解释。</w:t>
      </w:r>
    </w:p>
    <w:p>
      <w:pPr>
        <w:spacing w:before="98" w:line="180" w:lineRule="auto"/>
        <w:ind w:firstLine="61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第四十三条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本规定自发布之日起执行。</w:t>
      </w:r>
    </w:p>
    <w:p>
      <w:pPr>
        <w:sectPr>
          <w:footerReference r:id="rId233" w:type="default"/>
          <w:pgSz w:w="11905" w:h="16840"/>
          <w:pgMar w:top="1431" w:right="1490" w:bottom="1158" w:left="1574" w:header="0" w:footer="1034" w:gutter="0"/>
          <w:cols w:space="720" w:num="1"/>
        </w:sectPr>
      </w:pPr>
    </w:p>
    <w:p>
      <w:pPr>
        <w:spacing w:before="235" w:line="180" w:lineRule="auto"/>
        <w:ind w:firstLine="108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吉首大学本科生毕业论文（设计）工作管理规定</w:t>
      </w:r>
    </w:p>
    <w:p>
      <w:pPr>
        <w:spacing w:before="110" w:line="184" w:lineRule="auto"/>
        <w:ind w:firstLine="3268"/>
        <w:rPr>
          <w:rFonts w:ascii="楷体" w:hAnsi="楷体" w:eastAsia="楷体" w:cs="楷体"/>
          <w:sz w:val="24"/>
          <w:szCs w:val="24"/>
        </w:rPr>
      </w:pPr>
      <w:r>
        <w:rPr>
          <w:rFonts w:ascii="楷体" w:hAnsi="楷体" w:eastAsia="楷体" w:cs="楷体"/>
          <w:spacing w:val="-5"/>
          <w:sz w:val="24"/>
          <w:szCs w:val="24"/>
        </w:rPr>
        <w:t>（2017</w:t>
      </w:r>
      <w:r>
        <w:rPr>
          <w:rFonts w:ascii="楷体" w:hAnsi="楷体" w:eastAsia="楷体" w:cs="楷体"/>
          <w:spacing w:val="-47"/>
          <w:sz w:val="24"/>
          <w:szCs w:val="24"/>
        </w:rPr>
        <w:t xml:space="preserve"> </w:t>
      </w:r>
      <w:r>
        <w:rPr>
          <w:rFonts w:ascii="楷体" w:hAnsi="楷体" w:eastAsia="楷体" w:cs="楷体"/>
          <w:spacing w:val="-5"/>
          <w:sz w:val="24"/>
          <w:szCs w:val="24"/>
        </w:rPr>
        <w:t>年</w:t>
      </w:r>
      <w:r>
        <w:rPr>
          <w:rFonts w:ascii="楷体" w:hAnsi="楷体" w:eastAsia="楷体" w:cs="楷体"/>
          <w:spacing w:val="-35"/>
          <w:sz w:val="24"/>
          <w:szCs w:val="24"/>
        </w:rPr>
        <w:t xml:space="preserve"> </w:t>
      </w:r>
      <w:r>
        <w:rPr>
          <w:rFonts w:ascii="楷体" w:hAnsi="楷体" w:eastAsia="楷体" w:cs="楷体"/>
          <w:spacing w:val="-5"/>
          <w:sz w:val="24"/>
          <w:szCs w:val="24"/>
        </w:rPr>
        <w:t>1</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61" w:lineRule="auto"/>
        <w:rPr>
          <w:rFonts w:ascii="Malgun Gothic"/>
          <w:sz w:val="21"/>
        </w:rPr>
      </w:pPr>
    </w:p>
    <w:p>
      <w:pPr>
        <w:spacing w:before="104" w:line="180" w:lineRule="auto"/>
        <w:ind w:firstLine="3610"/>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right="80"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第一条</w:t>
      </w:r>
      <w:r>
        <w:rPr>
          <w:rFonts w:ascii="Microsoft JhengHei" w:hAnsi="Microsoft JhengHei" w:eastAsia="Microsoft JhengHei" w:cs="Microsoft JhengHei"/>
          <w:w w:val="101"/>
          <w:sz w:val="24"/>
          <w:szCs w:val="24"/>
        </w:rPr>
        <w:t xml:space="preserve">    </w:t>
      </w:r>
      <w:r>
        <w:rPr>
          <w:rFonts w:ascii="方正书宋简体" w:hAnsi="方正书宋简体" w:eastAsia="方正书宋简体" w:cs="方正书宋简体"/>
          <w:spacing w:val="-9"/>
          <w:sz w:val="24"/>
          <w:szCs w:val="24"/>
        </w:rPr>
        <w:t>本科生毕业论文（设计</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9"/>
          <w:sz w:val="24"/>
          <w:szCs w:val="24"/>
        </w:rPr>
        <w:t>是我校实践教学体系的重要组成部分，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是</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实现本科人才培养目标的重要教学环节，</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在培养学生进行科学研究的基本能力、提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高学生综合实践能力和创新能力等方面有着重要作用。为进一步加强我校毕业论文</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
          <w:sz w:val="24"/>
          <w:szCs w:val="24"/>
        </w:rPr>
        <w:t>（设计）管理工作，提高毕业论文（设计）质量，制订本规定。</w:t>
      </w:r>
    </w:p>
    <w:p>
      <w:pPr>
        <w:spacing w:before="204" w:line="180" w:lineRule="auto"/>
        <w:ind w:firstLine="241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毕业论文（设计）工作的目标</w:t>
      </w:r>
    </w:p>
    <w:p>
      <w:pPr>
        <w:spacing w:before="139" w:line="281" w:lineRule="auto"/>
        <w:ind w:left="133" w:right="7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第二条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0"/>
          <w:sz w:val="24"/>
          <w:szCs w:val="24"/>
        </w:rPr>
        <w:t>是本科教学计划中独立设置的教学环节，</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本科生毕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业论文（设计）教学的基本目标：</w:t>
      </w:r>
    </w:p>
    <w:p>
      <w:pPr>
        <w:spacing w:before="24" w:line="253" w:lineRule="auto"/>
        <w:ind w:left="135" w:right="82"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1、使学生受到较为系统的科学研究或工程设计的基本训练，培养学生综合运</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用专业基本理论、基本知识、基本技能的能力；</w:t>
      </w:r>
    </w:p>
    <w:p>
      <w:pPr>
        <w:spacing w:before="181" w:line="252" w:lineRule="auto"/>
        <w:ind w:left="134" w:right="8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2、通过学生独立完成毕业论文（设计）</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的全过程，锻炼提高学生独立解决问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题的能力；</w:t>
      </w:r>
    </w:p>
    <w:p>
      <w:pPr>
        <w:spacing w:before="177" w:line="253" w:lineRule="auto"/>
        <w:ind w:left="139" w:right="8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3、通过在完成毕业论文（设计）过程中的探索和创造，提高学生的科学探索</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6"/>
          <w:sz w:val="24"/>
          <w:szCs w:val="24"/>
        </w:rPr>
        <w:t>意识与创新能力；</w:t>
      </w:r>
    </w:p>
    <w:p>
      <w:pPr>
        <w:spacing w:before="175" w:line="193"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4、培养学生开展调查研究、处理实验数据、利用文献和书面表达等综合能力；</w:t>
      </w:r>
    </w:p>
    <w:p>
      <w:pPr>
        <w:spacing w:before="179" w:line="224" w:lineRule="auto"/>
        <w:ind w:left="2409" w:right="1646" w:hanging="1793"/>
        <w:rPr>
          <w:rFonts w:ascii="Microsoft JhengHei" w:hAnsi="Microsoft JhengHei" w:eastAsia="Microsoft JhengHei" w:cs="Microsoft JhengHei"/>
          <w:sz w:val="24"/>
          <w:szCs w:val="24"/>
        </w:rPr>
      </w:pPr>
      <w:r>
        <w:rPr>
          <w:rFonts w:ascii="方正书宋简体" w:hAnsi="方正书宋简体" w:eastAsia="方正书宋简体" w:cs="方正书宋简体"/>
          <w:spacing w:val="-2"/>
          <w:sz w:val="24"/>
          <w:szCs w:val="24"/>
        </w:rPr>
        <w:t>5、培养学生理论联系实际的工作作风和严肃认真的科学态度。</w:t>
      </w:r>
      <w:r>
        <w:rPr>
          <w:rFonts w:ascii="方正书宋简体" w:hAnsi="方正书宋简体" w:eastAsia="方正书宋简体" w:cs="方正书宋简体"/>
          <w:spacing w:val="21"/>
          <w:sz w:val="24"/>
          <w:szCs w:val="24"/>
        </w:rPr>
        <w:t xml:space="preserve"> </w:t>
      </w: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毕业论文（设计）工作的组织</w:t>
      </w:r>
    </w:p>
    <w:p>
      <w:pPr>
        <w:spacing w:before="178" w:line="266" w:lineRule="auto"/>
        <w:ind w:right="78"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0"/>
          <w:sz w:val="24"/>
          <w:szCs w:val="24"/>
        </w:rPr>
        <w:t>工作在主管教学副校长领导下，</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0"/>
          <w:sz w:val="24"/>
          <w:szCs w:val="24"/>
        </w:rPr>
        <w:t>实行校、学院二级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管理。教务处负责全校毕业论文（设计）</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5"/>
          <w:sz w:val="24"/>
          <w:szCs w:val="24"/>
        </w:rPr>
        <w:t>工作的宏观管理，</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5"/>
          <w:sz w:val="24"/>
          <w:szCs w:val="24"/>
        </w:rPr>
        <w:t>负责制定全校毕业论文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（设计）工作的指导原则和规范，组织校内外专家对毕业论文（设计）工作进行检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查和监督，负责对优秀毕业论文（设计）和优秀指导教师的评选和奖励。</w:t>
      </w:r>
    </w:p>
    <w:p>
      <w:pPr>
        <w:spacing w:before="205" w:line="300" w:lineRule="auto"/>
        <w:ind w:left="133" w:right="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第四条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0"/>
          <w:sz w:val="24"/>
          <w:szCs w:val="24"/>
        </w:rPr>
        <w:t>学院是毕业论文（设计）</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0"/>
          <w:sz w:val="24"/>
          <w:szCs w:val="24"/>
        </w:rPr>
        <w:t>工作组织和实施的主体，</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0"/>
          <w:sz w:val="24"/>
          <w:szCs w:val="24"/>
        </w:rPr>
        <w:t>负责提出本院毕业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论文（设计）工作的基本要求，落实毕业论文（设计）工作计划，配备指导教师，</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22"/>
          <w:sz w:val="24"/>
          <w:szCs w:val="24"/>
        </w:rPr>
        <w:t>审核和确定毕业论文（设计）</w:t>
      </w:r>
      <w:r>
        <w:rPr>
          <w:rFonts w:ascii="方正书宋简体" w:hAnsi="方正书宋简体" w:eastAsia="方正书宋简体" w:cs="方正书宋简体"/>
          <w:spacing w:val="67"/>
          <w:sz w:val="24"/>
          <w:szCs w:val="24"/>
        </w:rPr>
        <w:t xml:space="preserve"> </w:t>
      </w:r>
      <w:r>
        <w:rPr>
          <w:rFonts w:ascii="方正书宋简体" w:hAnsi="方正书宋简体" w:eastAsia="方正书宋简体" w:cs="方正书宋简体"/>
          <w:spacing w:val="-22"/>
          <w:sz w:val="24"/>
          <w:szCs w:val="24"/>
        </w:rPr>
        <w:t>选题，</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2"/>
          <w:sz w:val="24"/>
          <w:szCs w:val="24"/>
        </w:rPr>
        <w:t>做好毕业论文（设计）</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22"/>
          <w:sz w:val="24"/>
          <w:szCs w:val="24"/>
        </w:rPr>
        <w:t>指导，</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2"/>
          <w:sz w:val="24"/>
          <w:szCs w:val="24"/>
        </w:rPr>
        <w:t>评阅，</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2"/>
          <w:sz w:val="24"/>
          <w:szCs w:val="24"/>
        </w:rPr>
        <w:t>论文答辩，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成绩评定，质量分析，推荐优秀论文等具体工作。</w:t>
      </w:r>
    </w:p>
    <w:p>
      <w:pPr>
        <w:spacing w:before="8" w:line="327" w:lineRule="auto"/>
        <w:ind w:left="139" w:right="60" w:firstLine="453"/>
        <w:rPr>
          <w:rFonts w:ascii="方正书宋简体" w:hAnsi="方正书宋简体" w:eastAsia="方正书宋简体" w:cs="方正书宋简体"/>
          <w:sz w:val="24"/>
          <w:szCs w:val="24"/>
        </w:rPr>
      </w:pPr>
      <w:r>
        <w:rPr>
          <w:rFonts w:ascii="方正书宋简体" w:hAnsi="方正书宋简体" w:eastAsia="方正书宋简体" w:cs="方正书宋简体"/>
          <w:spacing w:val="-18"/>
          <w:sz w:val="24"/>
          <w:szCs w:val="24"/>
        </w:rPr>
        <w:t>学院要对毕业论文（设计）工作给予高度重视，</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8"/>
          <w:sz w:val="24"/>
          <w:szCs w:val="24"/>
        </w:rPr>
        <w:t>组织学院教学指导委员会审核教研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室拟定的工作计划和要求，制订本学院的毕业论文（设计）工作管理办法和实施细则；</w:t>
      </w:r>
    </w:p>
    <w:p>
      <w:pPr>
        <w:sectPr>
          <w:footerReference r:id="rId234" w:type="default"/>
          <w:pgSz w:w="11905" w:h="16840"/>
          <w:pgMar w:top="1431" w:right="1505" w:bottom="1158" w:left="1571" w:header="0" w:footer="1035" w:gutter="0"/>
          <w:cols w:space="720" w:num="1"/>
        </w:sectPr>
      </w:pPr>
    </w:p>
    <w:p>
      <w:pPr>
        <w:spacing w:before="300" w:line="244" w:lineRule="auto"/>
        <w:ind w:left="133" w:right="9"/>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督促和协调教研室做好指导教师的安排，</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1"/>
          <w:sz w:val="24"/>
          <w:szCs w:val="24"/>
        </w:rPr>
        <w:t>明确毕业论文（设计）指导教师的教学工作量，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保证毕业论文（设计）工作经费及时到位，监督和检查毕业论文（设计）的质量。</w:t>
      </w:r>
    </w:p>
    <w:p>
      <w:pPr>
        <w:spacing w:before="204" w:line="243" w:lineRule="auto"/>
        <w:ind w:left="138" w:right="93"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各学院应在第七学期安排毕业论文（设计）</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2"/>
          <w:sz w:val="24"/>
          <w:szCs w:val="24"/>
        </w:rPr>
        <w:t>工作，</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sz w:val="24"/>
          <w:szCs w:val="24"/>
        </w:rPr>
        <w:t>做好毕业论文（设计）</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2"/>
          <w:sz w:val="24"/>
          <w:szCs w:val="24"/>
        </w:rPr>
        <w:t>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动员和准备。</w:t>
      </w:r>
    </w:p>
    <w:p>
      <w:pPr>
        <w:spacing w:before="205" w:line="180" w:lineRule="auto"/>
        <w:ind w:firstLine="241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毕业论文（设计）的选题要求</w:t>
      </w:r>
    </w:p>
    <w:p>
      <w:pPr>
        <w:spacing w:before="139" w:line="295" w:lineRule="auto"/>
        <w:ind w:right="90"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第五条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13"/>
          <w:sz w:val="24"/>
          <w:szCs w:val="24"/>
        </w:rPr>
        <w:t>毕业论文（设计）</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3"/>
          <w:sz w:val="24"/>
          <w:szCs w:val="24"/>
        </w:rPr>
        <w:t>选题是确保毕业论文（设计）</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3"/>
          <w:sz w:val="24"/>
          <w:szCs w:val="24"/>
        </w:rPr>
        <w:t>效果，</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提高毕业论文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（设计）质量的关键，各学院要切实加强毕业论文（设计）选题工作，做好选题指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导，把好毕业论文（设计）选题关。毕业论文（设计）的选题应遵循以下原则：</w:t>
      </w:r>
    </w:p>
    <w:p>
      <w:pPr>
        <w:spacing w:before="11" w:line="315" w:lineRule="auto"/>
        <w:ind w:left="134"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1、专业性</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
          <w:sz w:val="24"/>
          <w:szCs w:val="24"/>
        </w:rPr>
        <w:t>毕业论文（设计）选题要符合专业培养目标、满足人才培养规格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基本要求。选题要力求有利于巩固、深化和扩大学生所学专业知识，有利于使学生</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3"/>
          <w:sz w:val="24"/>
          <w:szCs w:val="24"/>
        </w:rPr>
        <w:t>在专业知识应用方面得到较全面的训练，</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3"/>
          <w:sz w:val="24"/>
          <w:szCs w:val="24"/>
        </w:rPr>
        <w:t>有利于培养学生的独立工作能力，</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13"/>
          <w:sz w:val="24"/>
          <w:szCs w:val="24"/>
        </w:rPr>
        <w:t>有利于帮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助学生掌握正确的设计思想和科研方法、培养学生严谨求实的科学态度和优良作风。</w:t>
      </w:r>
    </w:p>
    <w:p>
      <w:pPr>
        <w:spacing w:before="3" w:line="290" w:lineRule="auto"/>
        <w:ind w:left="133" w:right="9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2、实践性</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毕业论文（设计）选题在满足专业要求的前提下，应尽可能结合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生产实践、社会实践和科研实践，</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6"/>
          <w:sz w:val="24"/>
          <w:szCs w:val="24"/>
        </w:rPr>
        <w:t>选择与社会、经济发展及科研紧密联系的现实题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目。毕业设计的选题要注重与实际工程项目结合，难度和工作量应高于课程设计，</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8"/>
          <w:sz w:val="24"/>
          <w:szCs w:val="24"/>
        </w:rPr>
        <w:t>并体现出一定的综合性。理工科学生要尽量选择实验类、工程实践类的毕业论文（设</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
          <w:sz w:val="24"/>
          <w:szCs w:val="24"/>
        </w:rPr>
        <w:t>计）题目，人文社科类学生应根据专业特点，结合社会实践设立题目。</w:t>
      </w:r>
    </w:p>
    <w:p>
      <w:pPr>
        <w:spacing w:before="182" w:line="314" w:lineRule="auto"/>
        <w:ind w:left="133" w:right="91"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3、创新性</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毕业论文（设计）题目应突出创新性，要结合学科创新、技术创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新和具体产品创新，</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5"/>
          <w:sz w:val="24"/>
          <w:szCs w:val="24"/>
        </w:rPr>
        <w:t>使论文题目在难度适中的情况下尽可能地反映科技创新和社会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生产创意的需要。</w:t>
      </w:r>
    </w:p>
    <w:p>
      <w:pPr>
        <w:spacing w:before="4" w:line="277" w:lineRule="auto"/>
        <w:ind w:left="134" w:right="93"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4、可行性</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
          <w:sz w:val="24"/>
          <w:szCs w:val="24"/>
        </w:rPr>
        <w:t xml:space="preserve">毕业论文（设计）题目要具有可行性，符合本科生知识、能力、 </w:t>
      </w:r>
      <w:r>
        <w:rPr>
          <w:rFonts w:ascii="方正书宋简体" w:hAnsi="方正书宋简体" w:eastAsia="方正书宋简体" w:cs="方正书宋简体"/>
          <w:spacing w:val="-9"/>
          <w:sz w:val="24"/>
          <w:szCs w:val="24"/>
        </w:rPr>
        <w:t>水平和工作条件的实际，</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9"/>
          <w:sz w:val="24"/>
          <w:szCs w:val="24"/>
        </w:rPr>
        <w:t>切实满足本科毕业论文（设计）</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9"/>
          <w:sz w:val="24"/>
          <w:szCs w:val="24"/>
        </w:rPr>
        <w:t>工作量的要求。拟题要有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明确的针对性，</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5"/>
          <w:sz w:val="24"/>
          <w:szCs w:val="24"/>
        </w:rPr>
        <w:t>切忌题目立意过大，</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5"/>
          <w:sz w:val="24"/>
          <w:szCs w:val="24"/>
        </w:rPr>
        <w:t>内容空泛。课题难度和分量恰当，</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5"/>
          <w:sz w:val="24"/>
          <w:szCs w:val="24"/>
        </w:rPr>
        <w:t>保证学生在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规定时间内通过努力能够完成任务或取得阶段性成果。</w:t>
      </w:r>
    </w:p>
    <w:p>
      <w:pPr>
        <w:spacing w:before="213" w:line="312" w:lineRule="auto"/>
        <w:ind w:left="135" w:right="9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5、个性化</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毕业论文（设计）题目要体现因材施教的教育方针，避免千篇一</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5"/>
          <w:sz w:val="24"/>
          <w:szCs w:val="24"/>
        </w:rPr>
        <w:t>律，</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5"/>
          <w:sz w:val="24"/>
          <w:szCs w:val="24"/>
        </w:rPr>
        <w:t>鼓励学生根据兴趣在教师指导下自拟题目，</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5"/>
          <w:sz w:val="24"/>
          <w:szCs w:val="24"/>
        </w:rPr>
        <w:t>并创造性地开展工作，</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5"/>
          <w:sz w:val="24"/>
          <w:szCs w:val="24"/>
        </w:rPr>
        <w:t>同时鼓励学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生根据兴趣参与教师的科研课题，使不同能力和水平的学生都能得到较大的提高。</w:t>
      </w:r>
    </w:p>
    <w:p>
      <w:pPr>
        <w:spacing w:before="5" w:line="221" w:lineRule="auto"/>
        <w:ind w:left="135" w:right="9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第六条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0"/>
          <w:sz w:val="24"/>
          <w:szCs w:val="24"/>
        </w:rPr>
        <w:t>题目应一人一题。由多名学生合作研究的题目，</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须明确每名学生应独立完成的任务，并根据实际情况在题目上加以区别。</w:t>
      </w:r>
    </w:p>
    <w:p>
      <w:pPr>
        <w:spacing w:before="193"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第七条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0"/>
          <w:sz w:val="24"/>
          <w:szCs w:val="24"/>
        </w:rPr>
        <w:t>题目应保持新颖性，</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0"/>
          <w:sz w:val="24"/>
          <w:szCs w:val="24"/>
        </w:rPr>
        <w:t>每届学生论文改进题目或新题</w:t>
      </w:r>
    </w:p>
    <w:p>
      <w:pPr>
        <w:sectPr>
          <w:footerReference r:id="rId235" w:type="default"/>
          <w:pgSz w:w="11905" w:h="16840"/>
          <w:pgMar w:top="1431" w:right="1493" w:bottom="1158" w:left="1571" w:header="0" w:footer="1035" w:gutter="0"/>
          <w:cols w:space="720" w:num="1"/>
        </w:sectPr>
      </w:pPr>
    </w:p>
    <w:p>
      <w:pPr>
        <w:spacing w:before="303" w:line="234" w:lineRule="auto"/>
        <w:ind w:left="33" w:right="127"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比例原则上不低于</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7"/>
          <w:sz w:val="24"/>
          <w:szCs w:val="24"/>
        </w:rPr>
        <w:t>70%。题目类型要多样化，</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应用型、调查研究型及理论探讨型的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题目均应占一定比例。</w:t>
      </w:r>
    </w:p>
    <w:p>
      <w:pPr>
        <w:spacing w:before="191" w:line="180" w:lineRule="auto"/>
        <w:ind w:firstLine="21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2"/>
          <w:sz w:val="24"/>
          <w:szCs w:val="24"/>
        </w:rPr>
        <w:t>毕业论文（设计）的选题和开题</w:t>
      </w:r>
    </w:p>
    <w:p>
      <w:pPr>
        <w:spacing w:before="126" w:line="267" w:lineRule="auto"/>
        <w:ind w:left="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第八条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0"/>
          <w:sz w:val="24"/>
          <w:szCs w:val="24"/>
        </w:rPr>
        <w:t>一般在本科阶段最后一学年进行，</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各学院按照专业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培养方案执行，一般不应少于</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1"/>
          <w:sz w:val="24"/>
          <w:szCs w:val="24"/>
        </w:rPr>
        <w:t>8</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
          <w:sz w:val="24"/>
          <w:szCs w:val="24"/>
        </w:rPr>
        <w:t>周。特别优秀的学生需提前开始毕业论文（设计）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工作时，</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7"/>
          <w:sz w:val="24"/>
          <w:szCs w:val="24"/>
        </w:rPr>
        <w:t>应向学院提出申请。经学院严格审核认定其确有提前开展毕业论文（设计）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工作能力者，</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2"/>
          <w:sz w:val="24"/>
          <w:szCs w:val="24"/>
        </w:rPr>
        <w:t>可以提前开始毕业论文（设计）</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2"/>
          <w:sz w:val="24"/>
          <w:szCs w:val="24"/>
        </w:rPr>
        <w:t>工作。毕业论文（设计）</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2"/>
          <w:sz w:val="24"/>
          <w:szCs w:val="24"/>
        </w:rPr>
        <w:t>答辩仍要遵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循本办法中的有关规定。</w:t>
      </w:r>
    </w:p>
    <w:p>
      <w:pPr>
        <w:spacing w:before="191" w:line="273" w:lineRule="auto"/>
        <w:ind w:left="35" w:right="126"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第九条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5"/>
          <w:sz w:val="24"/>
          <w:szCs w:val="24"/>
        </w:rPr>
        <w:t>学院负责毕业论文（设计）</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5"/>
          <w:sz w:val="24"/>
          <w:szCs w:val="24"/>
        </w:rPr>
        <w:t>资格审核。学生考试不合格的必修课程学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分累计达到</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15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学分，不能取得毕业论文（设计）资格。</w:t>
      </w:r>
    </w:p>
    <w:p>
      <w:pPr>
        <w:spacing w:before="14" w:line="273" w:lineRule="auto"/>
        <w:ind w:left="34" w:right="12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10"/>
          <w:sz w:val="24"/>
          <w:szCs w:val="24"/>
        </w:rPr>
        <w:t>学院在毕业论文（设计）</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0"/>
          <w:sz w:val="24"/>
          <w:szCs w:val="24"/>
        </w:rPr>
        <w:t>开始前一个月，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应组织指导教师开始选题准</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4"/>
          <w:sz w:val="24"/>
          <w:szCs w:val="24"/>
        </w:rPr>
        <w:t>备工作，</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4"/>
          <w:sz w:val="24"/>
          <w:szCs w:val="24"/>
        </w:rPr>
        <w:t>可以通过召开选题指导会等形式，</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4"/>
          <w:sz w:val="24"/>
          <w:szCs w:val="24"/>
        </w:rPr>
        <w:t>向学生简要概述毕业论文（设计）</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4"/>
          <w:sz w:val="24"/>
          <w:szCs w:val="24"/>
        </w:rPr>
        <w:t>题目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9"/>
          <w:sz w:val="24"/>
          <w:szCs w:val="24"/>
        </w:rPr>
        <w:t>的内容，</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9"/>
          <w:sz w:val="24"/>
          <w:szCs w:val="24"/>
        </w:rPr>
        <w:t>具体要求，</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9"/>
          <w:sz w:val="24"/>
          <w:szCs w:val="24"/>
        </w:rPr>
        <w:t>难易程度等，</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9"/>
          <w:sz w:val="24"/>
          <w:szCs w:val="24"/>
        </w:rPr>
        <w:t>与学生充分沟通，</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9"/>
          <w:sz w:val="24"/>
          <w:szCs w:val="24"/>
        </w:rPr>
        <w:t>指导学生选题。学生也可根据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兴趣自己申报课题，</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8"/>
          <w:sz w:val="24"/>
          <w:szCs w:val="24"/>
        </w:rPr>
        <w:t>经指导教师批准，</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8"/>
          <w:sz w:val="24"/>
          <w:szCs w:val="24"/>
        </w:rPr>
        <w:t>学院审核通过后，</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8"/>
          <w:sz w:val="24"/>
          <w:szCs w:val="24"/>
        </w:rPr>
        <w:t>作为毕业论文（设计）</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8"/>
          <w:sz w:val="24"/>
          <w:szCs w:val="24"/>
        </w:rPr>
        <w:t>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目。鼓励学生结合大学生科研和大学生创新性实验、学科竞赛等前期项目成果拟定</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毕业论文（设计）题目。</w:t>
      </w:r>
    </w:p>
    <w:p>
      <w:pPr>
        <w:spacing w:before="191" w:line="259" w:lineRule="auto"/>
        <w:ind w:left="33" w:right="3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2"/>
          <w:sz w:val="24"/>
          <w:szCs w:val="24"/>
        </w:rPr>
        <w:t>选题工作应采取学生自愿和学院指导相结合的原则。选题公布一周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内，学生和教师通过双向选择完成第一轮自由选题，经过第一轮没有获得所选题目的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学生，学院或教研室应综合考察学生的兴趣、能力、知识水平，为学生确定其它合适</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题目，</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8"/>
          <w:sz w:val="24"/>
          <w:szCs w:val="24"/>
        </w:rPr>
        <w:t>保证每个学生选定一个题目。选题结束后，</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8"/>
          <w:sz w:val="24"/>
          <w:szCs w:val="24"/>
        </w:rPr>
        <w:t>学院应将选题汇总并报教务处备案。</w:t>
      </w:r>
    </w:p>
    <w:p>
      <w:pPr>
        <w:spacing w:before="190" w:line="272" w:lineRule="auto"/>
        <w:ind w:left="30" w:right="129"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第十二条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11"/>
          <w:sz w:val="24"/>
          <w:szCs w:val="24"/>
        </w:rPr>
        <w:t>选题确定后一般不能随意更改，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确有更改必要时，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应由学生提出申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请，经指导教师审核同意后报学院备案。</w:t>
      </w:r>
    </w:p>
    <w:p>
      <w:pPr>
        <w:spacing w:before="13" w:line="284" w:lineRule="auto"/>
        <w:ind w:left="32" w:right="3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第十三条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10"/>
          <w:sz w:val="24"/>
          <w:szCs w:val="24"/>
        </w:rPr>
        <w:t>指导教师填写《吉首大学本科生毕业论文（设计）</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0"/>
          <w:sz w:val="24"/>
          <w:szCs w:val="24"/>
        </w:rPr>
        <w:t>任务书》，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0"/>
          <w:sz w:val="24"/>
          <w:szCs w:val="24"/>
        </w:rPr>
        <w:t>在毕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业论文（设计）工作开始时发给学生。任务书应包括毕业论文（设计）题目的来源、</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
          <w:sz w:val="24"/>
          <w:szCs w:val="24"/>
        </w:rPr>
        <w:t>应完成的主要内容、基本要求、成果形式、进度安排、参考文献等。</w:t>
      </w:r>
    </w:p>
    <w:p>
      <w:pPr>
        <w:spacing w:before="6" w:line="285" w:lineRule="auto"/>
        <w:ind w:left="34" w:right="12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学生根据指导教师拟定的任务书，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在查阅相关资料后遵照教师要求</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填写《吉首大学本科生毕业论文（设计）</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4"/>
          <w:sz w:val="24"/>
          <w:szCs w:val="24"/>
        </w:rPr>
        <w:t>开题报告》。开题工作须在下发任务书两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周内完成。学院可根据情况采取多种形式组织开题报告。</w:t>
      </w:r>
    </w:p>
    <w:p>
      <w:pPr>
        <w:spacing w:before="2" w:line="202"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开题未通过的学生须在教师指导下重新开题。</w:t>
      </w:r>
    </w:p>
    <w:p>
      <w:pPr>
        <w:spacing w:before="87" w:line="180" w:lineRule="auto"/>
        <w:ind w:firstLine="255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第六章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毕业论文（设计）的指导</w:t>
      </w:r>
    </w:p>
    <w:p>
      <w:pPr>
        <w:spacing w:before="124"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第十六条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0"/>
          <w:sz w:val="24"/>
          <w:szCs w:val="24"/>
        </w:rPr>
        <w:t>指导教师由本校讲师及以上职称的教师担任，</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鼓</w:t>
      </w:r>
    </w:p>
    <w:p>
      <w:pPr>
        <w:sectPr>
          <w:footerReference r:id="rId236" w:type="default"/>
          <w:pgSz w:w="11905" w:h="16840"/>
          <w:pgMar w:top="1431" w:right="1457" w:bottom="1158" w:left="1671" w:header="0" w:footer="1035" w:gutter="0"/>
          <w:cols w:space="720" w:num="1"/>
        </w:sectPr>
      </w:pPr>
    </w:p>
    <w:p>
      <w:pPr>
        <w:spacing w:before="302" w:line="234" w:lineRule="auto"/>
        <w:ind w:left="154" w:right="101" w:hanging="2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励聘请外单位具有相当职称的教师、工程师或科研人员等双师型人员担任。助教可</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以协助中、高级教师指导毕业论文（设计）。</w:t>
      </w:r>
    </w:p>
    <w:p>
      <w:pPr>
        <w:spacing w:before="191" w:line="273" w:lineRule="auto"/>
        <w:ind w:left="133" w:right="11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第十七条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毕业论文（设计）开题后，指导教师与学生约定指导的具体时间，</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及时跟踪学生的写作进度，给予指导。</w:t>
      </w:r>
    </w:p>
    <w:p>
      <w:pPr>
        <w:spacing w:before="11" w:line="252"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9"/>
          <w:sz w:val="24"/>
          <w:szCs w:val="24"/>
        </w:rPr>
        <w:t>第十八条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9"/>
          <w:sz w:val="24"/>
          <w:szCs w:val="24"/>
        </w:rPr>
        <w:t>学生要主动加强与指导教师的联系，</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9"/>
          <w:sz w:val="24"/>
          <w:szCs w:val="24"/>
        </w:rPr>
        <w:t>在教师指导下制定详细的工作计划</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并严格执行，定期向指导教师汇报工作进展。学生无故缺席毕业论文（设计）时间累计</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2"/>
          <w:sz w:val="24"/>
          <w:szCs w:val="24"/>
        </w:rPr>
        <w:t>达到毕业论文（设计）总时数</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2"/>
          <w:sz w:val="24"/>
          <w:szCs w:val="24"/>
        </w:rPr>
        <w:t>1/3，</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22"/>
          <w:sz w:val="24"/>
          <w:szCs w:val="24"/>
        </w:rPr>
        <w:t>视情况延期答辩直至取消本次毕业论文（设计）资格。</w:t>
      </w:r>
    </w:p>
    <w:p>
      <w:pPr>
        <w:spacing w:before="153" w:line="285" w:lineRule="auto"/>
        <w:ind w:left="135" w:right="9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第十九条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1"/>
          <w:sz w:val="24"/>
          <w:szCs w:val="24"/>
        </w:rPr>
        <w:t>指导教师应加强对学生毕业论文（设计）</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1"/>
          <w:sz w:val="24"/>
          <w:szCs w:val="24"/>
        </w:rPr>
        <w:t>的具体指导，</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提出详细修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改意见，</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0"/>
          <w:sz w:val="24"/>
          <w:szCs w:val="24"/>
        </w:rPr>
        <w:t>记录指导教师书面修改意见的论文原稿应不少于</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0"/>
          <w:sz w:val="24"/>
          <w:szCs w:val="24"/>
        </w:rPr>
        <w:t>3</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0"/>
          <w:sz w:val="24"/>
          <w:szCs w:val="24"/>
        </w:rPr>
        <w:t>稿，</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0"/>
          <w:sz w:val="24"/>
          <w:szCs w:val="24"/>
        </w:rPr>
        <w:t>并作为论文指导过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程记录进入毕业论文（设计）档案。</w:t>
      </w:r>
    </w:p>
    <w:p>
      <w:pPr>
        <w:spacing w:before="3" w:line="285" w:lineRule="auto"/>
        <w:ind w:left="135" w:right="9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6"/>
          <w:sz w:val="24"/>
          <w:szCs w:val="24"/>
        </w:rPr>
        <w:t>学院对指导教师的工作进行考核，</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6"/>
          <w:sz w:val="24"/>
          <w:szCs w:val="24"/>
        </w:rPr>
        <w:t>按规定计算工作量。对不履行指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导教师职责，</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5"/>
          <w:sz w:val="24"/>
          <w:szCs w:val="24"/>
        </w:rPr>
        <w:t>或有其他违规行为的教师，</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5"/>
          <w:sz w:val="24"/>
          <w:szCs w:val="24"/>
        </w:rPr>
        <w:t>要给予批评教育，</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5"/>
          <w:sz w:val="24"/>
          <w:szCs w:val="24"/>
        </w:rPr>
        <w:t>直至暂停或取消其指导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教师资格，并按《吉首大学教学事故认定与处理暂行办法》进行处理。</w:t>
      </w:r>
    </w:p>
    <w:p>
      <w:pPr>
        <w:spacing w:before="1" w:line="201" w:lineRule="auto"/>
        <w:ind w:firstLine="265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第七章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毕业论文（设计）的撰写</w:t>
      </w:r>
    </w:p>
    <w:p>
      <w:pPr>
        <w:spacing w:before="85" w:line="273" w:lineRule="auto"/>
        <w:ind w:left="133" w:right="10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第二十一条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6"/>
          <w:sz w:val="24"/>
          <w:szCs w:val="24"/>
        </w:rPr>
        <w:t>毕业论文（设计）</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6"/>
          <w:sz w:val="24"/>
          <w:szCs w:val="24"/>
        </w:rPr>
        <w:t>的撰写应遵照《吉首大学本科生毕业论文（设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计）撰写规范和要求》执行，指导教师要严格把关。</w:t>
      </w:r>
    </w:p>
    <w:p>
      <w:pPr>
        <w:spacing w:before="14" w:line="285" w:lineRule="auto"/>
        <w:ind w:right="99"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第二十二条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10"/>
          <w:sz w:val="24"/>
          <w:szCs w:val="24"/>
        </w:rPr>
        <w:t>毕业论文（设计）</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0"/>
          <w:sz w:val="24"/>
          <w:szCs w:val="24"/>
        </w:rPr>
        <w:t>的撰写应遵守学术道德和学术规范，</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毕业论文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（设计）出现抄袭、雷同、伪造数据、请人代写等现象，一经查实视情节轻重按学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校相关管理规定处理，并追究指导教师的相关责任。</w:t>
      </w:r>
    </w:p>
    <w:p>
      <w:pPr>
        <w:spacing w:before="2" w:line="201" w:lineRule="auto"/>
        <w:ind w:firstLine="265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第八章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毕业论文（设计）的评阅</w:t>
      </w:r>
    </w:p>
    <w:p>
      <w:pPr>
        <w:spacing w:before="87" w:line="281" w:lineRule="auto"/>
        <w:ind w:left="135" w:right="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第二十三条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2"/>
          <w:sz w:val="24"/>
          <w:szCs w:val="24"/>
        </w:rPr>
        <w:t>学生毕业论文（设计）撰写完成后，首先交指导教师评阅。指导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教师评阅后，</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5"/>
          <w:sz w:val="24"/>
          <w:szCs w:val="24"/>
        </w:rPr>
        <w:t>填写《吉首大学本科生毕业论文（设计）指导教师评分表》，</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5"/>
          <w:sz w:val="24"/>
          <w:szCs w:val="24"/>
        </w:rPr>
        <w:t>对学生的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工作态度、工作能力、论文（设计）质量等做出评价，</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0"/>
          <w:sz w:val="24"/>
          <w:szCs w:val="24"/>
        </w:rPr>
        <w:t>并给出是否同意答辩的意见。</w:t>
      </w:r>
    </w:p>
    <w:p>
      <w:pPr>
        <w:spacing w:before="16" w:line="268" w:lineRule="auto"/>
        <w:ind w:right="99"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在指导教师同意答辩的前提下，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学生在答辩前一周向答辩委员会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提交毕业论文（设计</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2"/>
          <w:sz w:val="24"/>
          <w:szCs w:val="24"/>
        </w:rPr>
        <w:t>答辩委员会指定评阅教师对毕业论文（设计）进行评阅，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评阅教师填写《吉首大学本科生毕业论文（设计）</w:t>
      </w:r>
      <w:r>
        <w:rPr>
          <w:rFonts w:ascii="方正书宋简体" w:hAnsi="方正书宋简体" w:eastAsia="方正书宋简体" w:cs="方正书宋简体"/>
          <w:spacing w:val="83"/>
          <w:sz w:val="24"/>
          <w:szCs w:val="24"/>
        </w:rPr>
        <w:t xml:space="preserve"> </w:t>
      </w:r>
      <w:r>
        <w:rPr>
          <w:rFonts w:ascii="方正书宋简体" w:hAnsi="方正书宋简体" w:eastAsia="方正书宋简体" w:cs="方正书宋简体"/>
          <w:spacing w:val="-1"/>
          <w:sz w:val="24"/>
          <w:szCs w:val="24"/>
        </w:rPr>
        <w:t>评阅表》。学院统一对毕业论文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（设计）进行查重检索，提交检索报告。</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对于评阅不合格、检索不符合专业要求的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论文，学生应对论文做出修改再申请答辩。</w:t>
      </w:r>
    </w:p>
    <w:p>
      <w:pPr>
        <w:spacing w:before="191" w:line="435" w:lineRule="exact"/>
        <w:ind w:firstLine="265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1"/>
          <w:sz w:val="24"/>
          <w:szCs w:val="24"/>
        </w:rPr>
        <w:t>第九章</w:t>
      </w:r>
      <w:r>
        <w:rPr>
          <w:rFonts w:ascii="Microsoft JhengHei" w:hAnsi="Microsoft JhengHei" w:eastAsia="Microsoft JhengHei" w:cs="Microsoft JhengHei"/>
          <w:spacing w:val="4"/>
          <w:position w:val="11"/>
          <w:sz w:val="24"/>
          <w:szCs w:val="24"/>
        </w:rPr>
        <w:t xml:space="preserve">    </w:t>
      </w:r>
      <w:r>
        <w:rPr>
          <w:rFonts w:ascii="Microsoft JhengHei" w:hAnsi="Microsoft JhengHei" w:eastAsia="Microsoft JhengHei" w:cs="Microsoft JhengHei"/>
          <w:spacing w:val="-2"/>
          <w:position w:val="11"/>
          <w:sz w:val="24"/>
          <w:szCs w:val="24"/>
        </w:rPr>
        <w:t>毕业论文（设计）的答辩</w:t>
      </w:r>
    </w:p>
    <w:p>
      <w:pPr>
        <w:spacing w:before="1" w:line="204"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答辩时间一般为每年</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5</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月下旬完成。</w:t>
      </w:r>
    </w:p>
    <w:p>
      <w:pPr>
        <w:spacing w:before="82"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第二十六条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0"/>
          <w:sz w:val="24"/>
          <w:szCs w:val="24"/>
        </w:rPr>
        <w:t>学生完成毕业论文（设计）</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10"/>
          <w:sz w:val="24"/>
          <w:szCs w:val="24"/>
        </w:rPr>
        <w:t>后向学院提出答辩申请，</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0"/>
          <w:sz w:val="24"/>
          <w:szCs w:val="24"/>
        </w:rPr>
        <w:t>学院审核后</w:t>
      </w:r>
    </w:p>
    <w:p>
      <w:pPr>
        <w:sectPr>
          <w:footerReference r:id="rId237" w:type="default"/>
          <w:pgSz w:w="11905" w:h="16840"/>
          <w:pgMar w:top="1431" w:right="1485" w:bottom="1158" w:left="1571" w:header="0" w:footer="1035" w:gutter="0"/>
          <w:cols w:space="720" w:num="1"/>
        </w:sectPr>
      </w:pPr>
    </w:p>
    <w:p>
      <w:pPr>
        <w:spacing w:before="300" w:line="180" w:lineRule="auto"/>
        <w:ind w:firstLine="3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应提前公布具有答辩资格的学生名单及具体答辩时间。</w:t>
      </w:r>
    </w:p>
    <w:p>
      <w:pPr>
        <w:spacing w:before="184" w:line="180" w:lineRule="auto"/>
        <w:ind w:firstLine="51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有下列情况的学生不能获得答辩资格：</w:t>
      </w:r>
    </w:p>
    <w:p>
      <w:pPr>
        <w:spacing w:before="172"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1、毕业当年申请延长学习时间者；</w:t>
      </w:r>
    </w:p>
    <w:p>
      <w:pPr>
        <w:spacing w:before="160"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2、论文评阅不合格者；</w:t>
      </w:r>
    </w:p>
    <w:p>
      <w:pPr>
        <w:spacing w:before="161"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3、查重检索比率不符合专业评估要求，</w:t>
      </w:r>
      <w:r>
        <w:rPr>
          <w:rFonts w:ascii="方正书宋简体" w:hAnsi="方正书宋简体" w:eastAsia="方正书宋简体" w:cs="方正书宋简体"/>
          <w:spacing w:val="73"/>
          <w:sz w:val="24"/>
          <w:szCs w:val="24"/>
        </w:rPr>
        <w:t xml:space="preserve"> </w:t>
      </w:r>
      <w:r>
        <w:rPr>
          <w:rFonts w:ascii="方正书宋简体" w:hAnsi="方正书宋简体" w:eastAsia="方正书宋简体" w:cs="方正书宋简体"/>
          <w:spacing w:val="-12"/>
          <w:sz w:val="24"/>
          <w:szCs w:val="24"/>
        </w:rPr>
        <w:t>论文或成果经证实有侵犯他人著作权者；</w:t>
      </w:r>
    </w:p>
    <w:p>
      <w:pPr>
        <w:spacing w:before="164" w:line="180"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4、有其他严重违纪违规行为者。</w:t>
      </w:r>
    </w:p>
    <w:p>
      <w:pPr>
        <w:spacing w:before="166" w:line="244" w:lineRule="auto"/>
        <w:ind w:left="3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第二十七条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2"/>
          <w:sz w:val="24"/>
          <w:szCs w:val="24"/>
        </w:rPr>
        <w:t>学院成立答辩委员会，</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2"/>
          <w:sz w:val="24"/>
          <w:szCs w:val="24"/>
        </w:rPr>
        <w:t>答辩委员会委员原则上应由讲师以上职称的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教师担任，也可以聘请校外副教授及以上职称的教师担任。答辩委员会可根据需要分</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w w:val="95"/>
          <w:sz w:val="24"/>
          <w:szCs w:val="24"/>
        </w:rPr>
        <w:t>成若干答辩小组，</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w w:val="95"/>
          <w:sz w:val="24"/>
          <w:szCs w:val="24"/>
        </w:rPr>
        <w:t>每组成员不少于</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5"/>
          <w:sz w:val="24"/>
          <w:szCs w:val="24"/>
        </w:rPr>
        <w:t>3</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5"/>
          <w:sz w:val="24"/>
          <w:szCs w:val="24"/>
        </w:rPr>
        <w:t>人，</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w w:val="95"/>
          <w:sz w:val="24"/>
          <w:szCs w:val="24"/>
        </w:rPr>
        <w:t>设组长</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w w:val="95"/>
          <w:sz w:val="24"/>
          <w:szCs w:val="24"/>
        </w:rPr>
        <w:t>1</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5"/>
          <w:sz w:val="24"/>
          <w:szCs w:val="24"/>
        </w:rPr>
        <w:t>人。秘书</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w w:val="95"/>
          <w:sz w:val="24"/>
          <w:szCs w:val="24"/>
        </w:rPr>
        <w:t>1</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5"/>
          <w:sz w:val="24"/>
          <w:szCs w:val="24"/>
        </w:rPr>
        <w:t>人，</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5"/>
          <w:sz w:val="24"/>
          <w:szCs w:val="24"/>
        </w:rPr>
        <w:t>负责做好答辩记录。</w:t>
      </w:r>
    </w:p>
    <w:p>
      <w:pPr>
        <w:spacing w:before="189" w:line="268" w:lineRule="auto"/>
        <w:ind w:left="38" w:right="96"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第二十八条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答辩应包括论文陈述和答辩提问两个环节，</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学院可根据专业特点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提出具体的答辩要求。</w:t>
      </w:r>
    </w:p>
    <w:p>
      <w:pPr>
        <w:spacing w:before="27" w:line="244" w:lineRule="auto"/>
        <w:ind w:left="32" w:right="9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第二十九条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5"/>
          <w:sz w:val="24"/>
          <w:szCs w:val="24"/>
        </w:rPr>
        <w:t>答辩小组根据学生答辩时论文陈述和回答问题的综合表现进行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评分和答辩投票，</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并报院答辩委员会，</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0"/>
          <w:sz w:val="24"/>
          <w:szCs w:val="24"/>
        </w:rPr>
        <w:t>经院答辩委员会审议通过后汇总。答辩小组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将《论文答辩记录表》和《答辩表决票》报学院存档。</w:t>
      </w:r>
    </w:p>
    <w:p>
      <w:pPr>
        <w:spacing w:before="190" w:line="180" w:lineRule="auto"/>
        <w:ind w:firstLine="231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毕业论文（设计）的成绩评定</w:t>
      </w:r>
    </w:p>
    <w:p>
      <w:pPr>
        <w:spacing w:before="127" w:line="291" w:lineRule="auto"/>
        <w:ind w:left="32" w:right="9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第三十条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0"/>
          <w:sz w:val="24"/>
          <w:szCs w:val="24"/>
        </w:rPr>
        <w:t>学院学术委员会审定毕业论文（设计）</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0"/>
          <w:sz w:val="24"/>
          <w:szCs w:val="24"/>
        </w:rPr>
        <w:t>成绩和等级，</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毕业论文（设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计）</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5"/>
          <w:sz w:val="24"/>
          <w:szCs w:val="24"/>
        </w:rPr>
        <w:t>的最终成绩应根据指导教师评定成绩、评阅教师成绩和答辩成绩等三项综合评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定；</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4"/>
          <w:sz w:val="24"/>
          <w:szCs w:val="24"/>
        </w:rPr>
        <w:t>学院答辩委员会复议评阅答辩过程中有争议的问题，</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4"/>
          <w:sz w:val="24"/>
          <w:szCs w:val="24"/>
        </w:rPr>
        <w:t>审核综合成绩及等级，</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4"/>
          <w:sz w:val="24"/>
          <w:szCs w:val="24"/>
        </w:rPr>
        <w:t>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定优秀论文；</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0"/>
          <w:sz w:val="24"/>
          <w:szCs w:val="24"/>
        </w:rPr>
        <w:t>成绩评定按优秀、良、中、及格、不及格五级分评定，</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0"/>
          <w:sz w:val="24"/>
          <w:szCs w:val="24"/>
        </w:rPr>
        <w:t>成绩评定分布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合理，优秀成绩比例不超过</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20%。</w:t>
      </w:r>
    </w:p>
    <w:p>
      <w:pPr>
        <w:spacing w:before="13" w:line="272" w:lineRule="auto"/>
        <w:ind w:left="36" w:right="96"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0"/>
          <w:sz w:val="24"/>
          <w:szCs w:val="24"/>
        </w:rPr>
        <w:t>学院应及时将毕业论文（设计）</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0"/>
          <w:sz w:val="24"/>
          <w:szCs w:val="24"/>
        </w:rPr>
        <w:t>成绩登记放入学生成绩档案，</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报教务处备案。</w:t>
      </w:r>
    </w:p>
    <w:p>
      <w:pPr>
        <w:spacing w:before="13" w:line="195" w:lineRule="auto"/>
        <w:ind w:firstLine="21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第十一章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2"/>
          <w:sz w:val="24"/>
          <w:szCs w:val="24"/>
        </w:rPr>
        <w:t>毕业论文（设计）的质量监控</w:t>
      </w:r>
    </w:p>
    <w:p>
      <w:pPr>
        <w:spacing w:before="100"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在毕业论文（设计）教学阶段，各学院要对教学过程进行检查，</w:t>
      </w:r>
    </w:p>
    <w:p>
      <w:pPr>
        <w:spacing w:before="141" w:line="180" w:lineRule="auto"/>
        <w:ind w:firstLine="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主要包括：</w:t>
      </w:r>
    </w:p>
    <w:p>
      <w:pPr>
        <w:spacing w:before="163" w:line="239" w:lineRule="auto"/>
        <w:ind w:left="54" w:right="9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1、前期：各专业着重检查指导教师课题安排、任务下达、选题、开题等工作</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的落实和进展情况。</w:t>
      </w:r>
    </w:p>
    <w:p>
      <w:pPr>
        <w:spacing w:before="203" w:line="258" w:lineRule="auto"/>
        <w:ind w:left="36" w:right="9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2、中期：各院着重检查学生的学习态度、工作进展、教师指导情况及毕业论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9"/>
          <w:sz w:val="24"/>
          <w:szCs w:val="24"/>
        </w:rPr>
        <w:t>文（设计）</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工作中存在的问题，</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并采取有效措施解决存在的问题。各专业应有书面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检查记录，并将检查情况及处理意见向学院汇报。</w:t>
      </w:r>
    </w:p>
    <w:p>
      <w:pPr>
        <w:spacing w:before="202"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3、后期：根据毕业论文（设计）的要求，检查学生课题任务完成情况，并对</w:t>
      </w:r>
    </w:p>
    <w:p>
      <w:pPr>
        <w:sectPr>
          <w:footerReference r:id="rId238" w:type="default"/>
          <w:pgSz w:w="11905" w:h="16840"/>
          <w:pgMar w:top="1431" w:right="1489" w:bottom="1158" w:left="1671" w:header="0" w:footer="1035" w:gutter="0"/>
          <w:cols w:space="720" w:num="1"/>
        </w:sectPr>
      </w:pPr>
    </w:p>
    <w:p>
      <w:pPr>
        <w:spacing w:before="304" w:line="180" w:lineRule="auto"/>
        <w:ind w:firstLine="1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学生进行成果验收及答辩资格审查。</w:t>
      </w:r>
    </w:p>
    <w:p>
      <w:pPr>
        <w:spacing w:before="180" w:line="180"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4、最终：五级签名审查制度</w:t>
      </w:r>
    </w:p>
    <w:p>
      <w:pPr>
        <w:spacing w:before="163" w:line="272" w:lineRule="auto"/>
        <w:ind w:left="133" w:right="9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第三十三条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0"/>
          <w:sz w:val="24"/>
          <w:szCs w:val="24"/>
        </w:rPr>
        <w:t>学校定期组织专家对全校本科生毕业论文（设计）</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0"/>
          <w:sz w:val="24"/>
          <w:szCs w:val="24"/>
        </w:rPr>
        <w:t>进行抽查，</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查结果向学院反馈。</w:t>
      </w:r>
    </w:p>
    <w:p>
      <w:pPr>
        <w:spacing w:before="13" w:line="195" w:lineRule="auto"/>
        <w:ind w:firstLine="22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第十二章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校外毕业论文（设计）的管理</w:t>
      </w:r>
    </w:p>
    <w:p>
      <w:pPr>
        <w:spacing w:before="97" w:line="273" w:lineRule="auto"/>
        <w:ind w:left="137" w:right="1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第三十四条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6"/>
          <w:sz w:val="24"/>
          <w:szCs w:val="24"/>
        </w:rPr>
        <w:t>学生因特殊原因在校外作毕业论文（设计</w:t>
      </w:r>
      <w:r>
        <w:rPr>
          <w:rFonts w:ascii="方正书宋简体" w:hAnsi="方正书宋简体" w:eastAsia="方正书宋简体" w:cs="方正书宋简体"/>
          <w:spacing w:val="-66"/>
          <w:sz w:val="24"/>
          <w:szCs w:val="24"/>
        </w:rPr>
        <w:t>），</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须向学院提出申请，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经学院审核同意后才能进行。</w:t>
      </w:r>
    </w:p>
    <w:p>
      <w:pPr>
        <w:spacing w:before="13" w:line="272" w:lineRule="auto"/>
        <w:ind w:left="136" w:right="18"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第三十五条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7"/>
          <w:sz w:val="24"/>
          <w:szCs w:val="24"/>
        </w:rPr>
        <w:t>学院应为在校外进行毕业论文（设计）的学生指定校内指导教师，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学生须定期向校内指导教师汇报毕业论文（设计）进展情况。</w:t>
      </w:r>
    </w:p>
    <w:p>
      <w:pPr>
        <w:spacing w:before="11" w:line="244" w:lineRule="auto"/>
        <w:ind w:left="132" w:right="95"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第三十六条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0"/>
          <w:sz w:val="24"/>
          <w:szCs w:val="24"/>
        </w:rPr>
        <w:t>在校外完成毕业论文（设计）</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的学生，</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0"/>
          <w:sz w:val="24"/>
          <w:szCs w:val="24"/>
        </w:rPr>
        <w:t>经指导教师评阅合格并同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意答辩后，</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0"/>
          <w:sz w:val="24"/>
          <w:szCs w:val="24"/>
        </w:rPr>
        <w:t>应提前一周向学院答辩委员会提交论文和答辩申请，</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0"/>
          <w:sz w:val="24"/>
          <w:szCs w:val="24"/>
        </w:rPr>
        <w:t>答辩资格审定和答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辩程序、答辩要求与校内学生一样。</w:t>
      </w:r>
    </w:p>
    <w:p>
      <w:pPr>
        <w:spacing w:before="191" w:line="274" w:lineRule="auto"/>
        <w:ind w:left="135"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第三十七条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5"/>
          <w:sz w:val="24"/>
          <w:szCs w:val="24"/>
        </w:rPr>
        <w:t>在校外教学科研单位做毕业论文（设计）</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5"/>
          <w:sz w:val="24"/>
          <w:szCs w:val="24"/>
        </w:rPr>
        <w:t>的学生一般应回校参加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毕业论文（设计）答辩，有特殊情况需在校外答辩者，需经学院答辩委员会批准。</w:t>
      </w:r>
    </w:p>
    <w:p>
      <w:pPr>
        <w:spacing w:before="8" w:line="199" w:lineRule="auto"/>
        <w:ind w:firstLine="253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毕业论文（设计）的存档</w:t>
      </w:r>
    </w:p>
    <w:p>
      <w:pPr>
        <w:spacing w:before="91" w:line="244"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第三十八条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6"/>
          <w:sz w:val="24"/>
          <w:szCs w:val="24"/>
        </w:rPr>
        <w:t>毕业论文（设计）资料（图纸、文档资料、实验记载、原始数据、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计算数据、调研记录、程序、音像磁带、磁盘、图片、设计手稿、打印本及其它有</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保存价值的资料等）学生均不得带走，统一交学院保管或处置。</w:t>
      </w:r>
    </w:p>
    <w:p>
      <w:pPr>
        <w:spacing w:before="189" w:line="274" w:lineRule="auto"/>
        <w:ind w:left="136" w:right="9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第三十九条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10"/>
          <w:sz w:val="24"/>
          <w:szCs w:val="24"/>
        </w:rPr>
        <w:t>未经指导教师同意，</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0"/>
          <w:sz w:val="24"/>
          <w:szCs w:val="24"/>
        </w:rPr>
        <w:t>学生不得将毕业论文（设计）</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0"/>
          <w:sz w:val="24"/>
          <w:szCs w:val="24"/>
        </w:rPr>
        <w:t>成果寄出校外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发表。成果转让工作须征得学院和学校主管部门同意，学生不得私自转让。</w:t>
      </w:r>
    </w:p>
    <w:p>
      <w:pPr>
        <w:spacing w:before="10" w:line="244" w:lineRule="auto"/>
        <w:ind w:left="132"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第四十条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0"/>
          <w:sz w:val="24"/>
          <w:szCs w:val="24"/>
        </w:rPr>
        <w:t>毕业论文（设计）工作结束后，</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0"/>
          <w:sz w:val="24"/>
          <w:szCs w:val="24"/>
        </w:rPr>
        <w:t>各学院应将学生毕业论文（设计）、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任务书、开题报告、成绩评定表、指导教师评分表、论文评阅表、答辩评分表、答</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辩表决票、毕业论文（设计）信息汇总表等归类整理存档。</w:t>
      </w:r>
    </w:p>
    <w:p>
      <w:pPr>
        <w:spacing w:before="188" w:line="436" w:lineRule="exact"/>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position w:val="11"/>
          <w:sz w:val="24"/>
          <w:szCs w:val="24"/>
        </w:rPr>
        <w:t>第四十一条</w:t>
      </w:r>
      <w:r>
        <w:rPr>
          <w:rFonts w:ascii="Microsoft JhengHei" w:hAnsi="Microsoft JhengHei" w:eastAsia="Microsoft JhengHei" w:cs="Microsoft JhengHei"/>
          <w:spacing w:val="3"/>
          <w:position w:val="11"/>
          <w:sz w:val="24"/>
          <w:szCs w:val="24"/>
        </w:rPr>
        <w:t xml:space="preserve">    </w:t>
      </w:r>
      <w:r>
        <w:rPr>
          <w:rFonts w:ascii="方正书宋简体" w:hAnsi="方正书宋简体" w:eastAsia="方正书宋简体" w:cs="方正书宋简体"/>
          <w:spacing w:val="-2"/>
          <w:position w:val="11"/>
          <w:sz w:val="24"/>
          <w:szCs w:val="24"/>
        </w:rPr>
        <w:t>学院每年开展优秀毕业论文（设计）评选工作。</w:t>
      </w:r>
    </w:p>
    <w:p>
      <w:pPr>
        <w:spacing w:line="204" w:lineRule="auto"/>
        <w:ind w:firstLine="3610"/>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第十四章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其他</w:t>
      </w:r>
    </w:p>
    <w:p>
      <w:pPr>
        <w:spacing w:before="84"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第四十二条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在本条例指导下，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学院可根据不同学科特点制定更加具体的毕业</w:t>
      </w:r>
    </w:p>
    <w:p>
      <w:pPr>
        <w:spacing w:before="138" w:line="258" w:lineRule="auto"/>
        <w:ind w:right="93" w:firstLine="13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论文（设计）</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管理办法和实施细则，</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9"/>
          <w:sz w:val="24"/>
          <w:szCs w:val="24"/>
        </w:rPr>
        <w:t>报教务处审定后执行。个别专业如对毕业论文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（设计）形式和内容有特殊要求，不能适用本条例的规范者，应及时制定相关专业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毕业论文（设计）管理细则，报教务处审定后执行。</w:t>
      </w:r>
    </w:p>
    <w:p>
      <w:pPr>
        <w:spacing w:before="190" w:line="435" w:lineRule="exact"/>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position w:val="11"/>
          <w:sz w:val="24"/>
          <w:szCs w:val="24"/>
        </w:rPr>
        <w:t>第四十三条</w:t>
      </w:r>
      <w:r>
        <w:rPr>
          <w:rFonts w:ascii="Microsoft JhengHei" w:hAnsi="Microsoft JhengHei" w:eastAsia="Microsoft JhengHei" w:cs="Microsoft JhengHei"/>
          <w:spacing w:val="3"/>
          <w:position w:val="11"/>
          <w:sz w:val="24"/>
          <w:szCs w:val="24"/>
        </w:rPr>
        <w:t xml:space="preserve">    </w:t>
      </w:r>
      <w:r>
        <w:rPr>
          <w:rFonts w:ascii="方正书宋简体" w:hAnsi="方正书宋简体" w:eastAsia="方正书宋简体" w:cs="方正书宋简体"/>
          <w:spacing w:val="-3"/>
          <w:position w:val="11"/>
          <w:sz w:val="24"/>
          <w:szCs w:val="24"/>
        </w:rPr>
        <w:t>本条例由教务处负责解释。</w:t>
      </w:r>
    </w:p>
    <w:p>
      <w:pPr>
        <w:spacing w:line="204"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第四十四条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本条例自发布之日起实施。</w:t>
      </w:r>
    </w:p>
    <w:p>
      <w:pPr>
        <w:sectPr>
          <w:footerReference r:id="rId239" w:type="default"/>
          <w:pgSz w:w="11905" w:h="16840"/>
          <w:pgMar w:top="1431" w:right="1490" w:bottom="1158" w:left="1571" w:header="0" w:footer="1035" w:gutter="0"/>
          <w:cols w:space="720" w:num="1"/>
        </w:sectPr>
      </w:pPr>
    </w:p>
    <w:p>
      <w:pPr>
        <w:spacing w:before="235" w:line="180" w:lineRule="auto"/>
        <w:ind w:firstLine="2748"/>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吉首大学学生实习守则</w:t>
      </w:r>
    </w:p>
    <w:p>
      <w:pPr>
        <w:spacing w:before="110" w:line="184" w:lineRule="auto"/>
        <w:ind w:firstLine="3167"/>
        <w:rPr>
          <w:rFonts w:ascii="楷体" w:hAnsi="楷体" w:eastAsia="楷体" w:cs="楷体"/>
          <w:sz w:val="24"/>
          <w:szCs w:val="24"/>
        </w:rPr>
      </w:pPr>
      <w:r>
        <w:rPr>
          <w:rFonts w:ascii="楷体" w:hAnsi="楷体" w:eastAsia="楷体" w:cs="楷体"/>
          <w:spacing w:val="-5"/>
          <w:sz w:val="24"/>
          <w:szCs w:val="24"/>
        </w:rPr>
        <w:t>（2017</w:t>
      </w:r>
      <w:r>
        <w:rPr>
          <w:rFonts w:ascii="楷体" w:hAnsi="楷体" w:eastAsia="楷体" w:cs="楷体"/>
          <w:spacing w:val="-47"/>
          <w:sz w:val="24"/>
          <w:szCs w:val="24"/>
        </w:rPr>
        <w:t xml:space="preserve"> </w:t>
      </w:r>
      <w:r>
        <w:rPr>
          <w:rFonts w:ascii="楷体" w:hAnsi="楷体" w:eastAsia="楷体" w:cs="楷体"/>
          <w:spacing w:val="-5"/>
          <w:sz w:val="24"/>
          <w:szCs w:val="24"/>
        </w:rPr>
        <w:t>年</w:t>
      </w:r>
      <w:r>
        <w:rPr>
          <w:rFonts w:ascii="楷体" w:hAnsi="楷体" w:eastAsia="楷体" w:cs="楷体"/>
          <w:spacing w:val="-35"/>
          <w:sz w:val="24"/>
          <w:szCs w:val="24"/>
        </w:rPr>
        <w:t xml:space="preserve"> </w:t>
      </w:r>
      <w:r>
        <w:rPr>
          <w:rFonts w:ascii="楷体" w:hAnsi="楷体" w:eastAsia="楷体" w:cs="楷体"/>
          <w:spacing w:val="-5"/>
          <w:sz w:val="24"/>
          <w:szCs w:val="24"/>
        </w:rPr>
        <w:t>1</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80" w:lineRule="auto"/>
        <w:rPr>
          <w:rFonts w:ascii="Malgun Gothic"/>
          <w:sz w:val="21"/>
        </w:rPr>
      </w:pPr>
    </w:p>
    <w:p>
      <w:pPr>
        <w:spacing w:before="87"/>
        <w:ind w:left="36" w:right="1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根据《吉首大学实践教学管理办法》，</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为了保证各类实习教学活动的顺利进行，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确保实习的安全和实习任务的完成，特制定本守则。</w:t>
      </w:r>
    </w:p>
    <w:p>
      <w:pPr>
        <w:spacing w:before="203" w:line="282" w:lineRule="auto"/>
        <w:ind w:left="38" w:right="94"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第一条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学生必须按要求参加实习教学活动，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在实习期间必须听从实习指导教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师的指导，按照实习大纲和实习实施计划完成规定的学习内容和实习任务。</w:t>
      </w:r>
    </w:p>
    <w:p>
      <w:pPr>
        <w:spacing w:before="10" w:line="282" w:lineRule="auto"/>
        <w:ind w:left="35" w:right="9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第二条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12"/>
          <w:sz w:val="24"/>
          <w:szCs w:val="24"/>
        </w:rPr>
        <w:t>学生应将实习观察的结果、实习心得收集整理，</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2"/>
          <w:sz w:val="24"/>
          <w:szCs w:val="24"/>
        </w:rPr>
        <w:t>写好实习日记，</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2"/>
          <w:sz w:val="24"/>
          <w:szCs w:val="24"/>
        </w:rPr>
        <w:t>按时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完成实习思考题，写好实习报告。</w:t>
      </w:r>
    </w:p>
    <w:p>
      <w:pPr>
        <w:spacing w:before="9"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2"/>
          <w:sz w:val="24"/>
          <w:szCs w:val="24"/>
        </w:rPr>
        <w:t>对实习涉及到的保密内容，应遵守保密制度，严守机密，防止泄漏。</w:t>
      </w:r>
    </w:p>
    <w:p>
      <w:pPr>
        <w:spacing w:before="111" w:line="294" w:lineRule="auto"/>
        <w:ind w:left="39" w:right="93"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第四条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2"/>
          <w:sz w:val="24"/>
          <w:szCs w:val="24"/>
        </w:rPr>
        <w:t>听从实习单位的管理，</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2"/>
          <w:sz w:val="24"/>
          <w:szCs w:val="24"/>
        </w:rPr>
        <w:t>尊重他人，</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2"/>
          <w:sz w:val="24"/>
          <w:szCs w:val="24"/>
        </w:rPr>
        <w:t>虚心学习。处理搞好实习单位和住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宿单位及兄弟院校师生的关系。严禁酗酒、赌博以及参加与学生身份不相符的娱乐</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活动。</w:t>
      </w:r>
    </w:p>
    <w:p>
      <w:pPr>
        <w:spacing w:before="1" w:line="275" w:lineRule="auto"/>
        <w:ind w:left="33" w:right="9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第五条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2"/>
          <w:sz w:val="24"/>
          <w:szCs w:val="24"/>
        </w:rPr>
        <w:t>实习期间严格遵守实习单位的各项规章制度、操作规程、劳动纪律、</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
          <w:sz w:val="24"/>
          <w:szCs w:val="24"/>
        </w:rPr>
        <w:t>职业道德和安全要求。按照相关行业要求统一着装和使用劳动用品。未经许可不得</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擅自操作机器设备、进入与实习无关的部门。在实习期间，</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6"/>
          <w:sz w:val="24"/>
          <w:szCs w:val="24"/>
        </w:rPr>
        <w:t>学生因违反实习纪律和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安全规则造成自身伤害由学生本人负责，造成他人伤害或国家和企业的经济损失，</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2"/>
          <w:sz w:val="24"/>
          <w:szCs w:val="24"/>
        </w:rPr>
        <w:t>由学生本人及家长承担经济和法律责任。</w:t>
      </w:r>
    </w:p>
    <w:p>
      <w:pPr>
        <w:spacing w:before="206" w:line="282" w:lineRule="auto"/>
        <w:ind w:left="39"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2"/>
          <w:sz w:val="24"/>
          <w:szCs w:val="24"/>
        </w:rPr>
        <w:t>学生不得无故不参加实习，原则上不得请假，特殊情况要向学校指导</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17"/>
          <w:sz w:val="24"/>
          <w:szCs w:val="24"/>
        </w:rPr>
        <w:t>老师报告并报学院批准，</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17"/>
          <w:sz w:val="24"/>
          <w:szCs w:val="24"/>
        </w:rPr>
        <w:t>否则按旷课处理。</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7"/>
          <w:sz w:val="24"/>
          <w:szCs w:val="24"/>
        </w:rPr>
        <w:t>不得无故迟到、早退、擅自离开实习岗位。</w:t>
      </w:r>
    </w:p>
    <w:p>
      <w:pPr>
        <w:spacing w:before="7" w:line="266" w:lineRule="auto"/>
        <w:ind w:left="37" w:right="93"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第七条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3"/>
          <w:sz w:val="24"/>
          <w:szCs w:val="24"/>
        </w:rPr>
        <w:t>病事假天数超过实习天数</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1／3</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以上者，实习成绩作不及格处理。学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生可申请实习重修，</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6"/>
          <w:sz w:val="24"/>
          <w:szCs w:val="24"/>
        </w:rPr>
        <w:t>由学生提交重新实习申请，</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6"/>
          <w:sz w:val="24"/>
          <w:szCs w:val="24"/>
        </w:rPr>
        <w:t>经教务处批准后进行实习，</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6"/>
          <w:sz w:val="24"/>
          <w:szCs w:val="24"/>
        </w:rPr>
        <w:t>重修实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习一切费用原则上自理。学生擅自不参加实习，无故缺勤天数达总实习天数</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
          <w:sz w:val="24"/>
          <w:szCs w:val="24"/>
        </w:rPr>
        <w:t>1/4</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
          <w:sz w:val="24"/>
          <w:szCs w:val="24"/>
        </w:rPr>
        <w:t>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以上者，实习成绩作不及格处理，并不准补实习。</w:t>
      </w:r>
    </w:p>
    <w:p>
      <w:pPr>
        <w:spacing w:before="203" w:line="295" w:lineRule="auto"/>
        <w:ind w:left="33" w:right="9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学生在实习中除应严格遵守上述各项</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
          <w:sz w:val="24"/>
          <w:szCs w:val="24"/>
        </w:rPr>
        <w:t>纪律外，还必须遵守学院和实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习基地实习纪律要求。学生违反上述规定，</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1"/>
          <w:sz w:val="24"/>
          <w:szCs w:val="24"/>
        </w:rPr>
        <w:t>经批评教育无效者，</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由实习指导教师和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基地单位报送学院、学校审批，方可终止学生实习。</w:t>
      </w:r>
    </w:p>
    <w:p>
      <w:pPr>
        <w:sectPr>
          <w:footerReference r:id="rId240" w:type="default"/>
          <w:pgSz w:w="11905" w:h="16840"/>
          <w:pgMar w:top="1431" w:right="1491" w:bottom="1158" w:left="1671" w:header="0" w:footer="1035" w:gutter="0"/>
          <w:cols w:space="720" w:num="1"/>
        </w:sectPr>
      </w:pPr>
    </w:p>
    <w:p>
      <w:pPr>
        <w:spacing w:before="202" w:line="180" w:lineRule="auto"/>
        <w:ind w:firstLine="2078"/>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吉首大学学生实习安全管理办法</w:t>
      </w:r>
    </w:p>
    <w:p>
      <w:pPr>
        <w:spacing w:before="71" w:line="184" w:lineRule="auto"/>
        <w:ind w:firstLine="3137"/>
        <w:rPr>
          <w:rFonts w:ascii="楷体" w:hAnsi="楷体" w:eastAsia="楷体" w:cs="楷体"/>
          <w:sz w:val="24"/>
          <w:szCs w:val="24"/>
        </w:rPr>
      </w:pPr>
      <w:r>
        <w:rPr>
          <w:rFonts w:ascii="楷体" w:hAnsi="楷体" w:eastAsia="楷体" w:cs="楷体"/>
          <w:spacing w:val="-5"/>
          <w:sz w:val="24"/>
          <w:szCs w:val="24"/>
        </w:rPr>
        <w:t>（2014</w:t>
      </w:r>
      <w:r>
        <w:rPr>
          <w:rFonts w:ascii="楷体" w:hAnsi="楷体" w:eastAsia="楷体" w:cs="楷体"/>
          <w:spacing w:val="-50"/>
          <w:sz w:val="24"/>
          <w:szCs w:val="24"/>
        </w:rPr>
        <w:t xml:space="preserve"> </w:t>
      </w:r>
      <w:r>
        <w:rPr>
          <w:rFonts w:ascii="楷体" w:hAnsi="楷体" w:eastAsia="楷体" w:cs="楷体"/>
          <w:spacing w:val="-5"/>
          <w:sz w:val="24"/>
          <w:szCs w:val="24"/>
        </w:rPr>
        <w:t>年</w:t>
      </w:r>
      <w:r>
        <w:rPr>
          <w:rFonts w:ascii="楷体" w:hAnsi="楷体" w:eastAsia="楷体" w:cs="楷体"/>
          <w:spacing w:val="-32"/>
          <w:sz w:val="24"/>
          <w:szCs w:val="24"/>
        </w:rPr>
        <w:t xml:space="preserve"> </w:t>
      </w:r>
      <w:r>
        <w:rPr>
          <w:rFonts w:ascii="楷体" w:hAnsi="楷体" w:eastAsia="楷体" w:cs="楷体"/>
          <w:spacing w:val="-5"/>
          <w:sz w:val="24"/>
          <w:szCs w:val="24"/>
        </w:rPr>
        <w:t>3</w:t>
      </w:r>
      <w:r>
        <w:rPr>
          <w:rFonts w:ascii="楷体" w:hAnsi="楷体" w:eastAsia="楷体" w:cs="楷体"/>
          <w:spacing w:val="-38"/>
          <w:sz w:val="24"/>
          <w:szCs w:val="24"/>
        </w:rPr>
        <w:t xml:space="preserve"> </w:t>
      </w:r>
      <w:r>
        <w:rPr>
          <w:rFonts w:ascii="楷体" w:hAnsi="楷体" w:eastAsia="楷体" w:cs="楷体"/>
          <w:spacing w:val="-5"/>
          <w:sz w:val="24"/>
          <w:szCs w:val="24"/>
        </w:rPr>
        <w:t>月修订）</w:t>
      </w:r>
    </w:p>
    <w:p>
      <w:pPr>
        <w:spacing w:line="308" w:lineRule="auto"/>
        <w:rPr>
          <w:rFonts w:ascii="Malgun Gothic"/>
          <w:sz w:val="21"/>
        </w:rPr>
      </w:pPr>
    </w:p>
    <w:p>
      <w:pPr>
        <w:spacing w:before="104" w:line="257" w:lineRule="auto"/>
        <w:ind w:left="5" w:right="98"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5"/>
          <w:sz w:val="24"/>
          <w:szCs w:val="24"/>
        </w:rPr>
        <w:t>为了增强全校师生的实习安全意识，确保实习学生的人身和财产安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全，保证学生实习工作顺利进行，结合学校实际，特制定本规定。</w:t>
      </w:r>
    </w:p>
    <w:p>
      <w:pPr>
        <w:spacing w:before="10" w:line="268" w:lineRule="auto"/>
        <w:ind w:left="4"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2"/>
          <w:sz w:val="24"/>
          <w:szCs w:val="24"/>
        </w:rPr>
        <w:t>对学生实训实习安全管理贯彻预防为主、教育先行、明确责任、实事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求是、方便操作的方针，</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0"/>
          <w:sz w:val="24"/>
          <w:szCs w:val="24"/>
        </w:rPr>
        <w:t>努力把事故消除在萌芽状态，</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0"/>
          <w:sz w:val="24"/>
          <w:szCs w:val="24"/>
        </w:rPr>
        <w:t>并妥善处理好实习活动过程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中发生的安全事故。</w:t>
      </w:r>
    </w:p>
    <w:p>
      <w:pPr>
        <w:spacing w:before="1" w:line="202"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指导教师职责</w:t>
      </w:r>
    </w:p>
    <w:p>
      <w:pPr>
        <w:spacing w:before="72" w:line="287" w:lineRule="auto"/>
        <w:ind w:right="97"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1、学生实习开始之前，实习指导教师须对学生进行实习安全教育，向学生宣</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讲实习安全协议的各项规定，</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0"/>
          <w:sz w:val="24"/>
          <w:szCs w:val="24"/>
        </w:rPr>
        <w:t>在学生理解实习安全协议的条款后，</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0"/>
          <w:sz w:val="24"/>
          <w:szCs w:val="24"/>
        </w:rPr>
        <w:t>要求每位学生签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订实习安全协议。</w:t>
      </w:r>
    </w:p>
    <w:p>
      <w:pPr>
        <w:spacing w:before="1" w:line="283" w:lineRule="auto"/>
        <w:ind w:left="5" w:right="9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2、由于学生本人的原因导致其未接受实习安全教育或者未签订实习安全协议</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的，</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0"/>
          <w:sz w:val="24"/>
          <w:szCs w:val="24"/>
        </w:rPr>
        <w:t>实习指导教师可取消该生的实习资格；</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实习指导教师未对学生进行实习前的安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全教育或者教育不到位的，应对实习期间的学生安全负全责。</w:t>
      </w:r>
    </w:p>
    <w:p>
      <w:pPr>
        <w:spacing w:before="6" w:line="199"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实习学生守则</w:t>
      </w:r>
    </w:p>
    <w:p>
      <w:pPr>
        <w:spacing w:before="66" w:line="180" w:lineRule="auto"/>
        <w:ind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1、服从实习指导教师的安排，</w:t>
      </w:r>
      <w:r>
        <w:rPr>
          <w:rFonts w:ascii="方正书宋简体" w:hAnsi="方正书宋简体" w:eastAsia="方正书宋简体" w:cs="方正书宋简体"/>
          <w:spacing w:val="66"/>
          <w:sz w:val="24"/>
          <w:szCs w:val="24"/>
        </w:rPr>
        <w:t xml:space="preserve"> </w:t>
      </w:r>
      <w:r>
        <w:rPr>
          <w:rFonts w:ascii="方正书宋简体" w:hAnsi="方正书宋简体" w:eastAsia="方正书宋简体" w:cs="方正书宋简体"/>
          <w:spacing w:val="-11"/>
          <w:w w:val="96"/>
          <w:sz w:val="24"/>
          <w:szCs w:val="24"/>
        </w:rPr>
        <w:t>接受安全教育，</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6"/>
          <w:sz w:val="24"/>
          <w:szCs w:val="24"/>
        </w:rPr>
        <w:t>认真阅读并签订学生实习安全协议。</w:t>
      </w:r>
    </w:p>
    <w:p>
      <w:pPr>
        <w:spacing w:before="161" w:line="287" w:lineRule="auto"/>
        <w:ind w:left="11" w:right="4"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2、注意人身财产安全，配合做好防火防盗工作；遵守交通规则，不得无证驾</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1"/>
          <w:sz w:val="24"/>
          <w:szCs w:val="24"/>
        </w:rPr>
        <w:t>车；</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1"/>
          <w:sz w:val="24"/>
          <w:szCs w:val="24"/>
        </w:rPr>
        <w:t>不得到江、河、湖、海等水域游泳；</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1"/>
          <w:sz w:val="24"/>
          <w:szCs w:val="24"/>
        </w:rPr>
        <w:t>讲究饮食卫生，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1"/>
          <w:sz w:val="24"/>
          <w:szCs w:val="24"/>
        </w:rPr>
        <w:t>严禁酗酒，</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1"/>
          <w:sz w:val="24"/>
          <w:szCs w:val="24"/>
        </w:rPr>
        <w:t>预防疾病发生。</w:t>
      </w:r>
    </w:p>
    <w:p>
      <w:pPr>
        <w:spacing w:before="6" w:line="225" w:lineRule="auto"/>
        <w:ind w:left="5" w:right="9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3、严格遵守实习单位的安全管理制度和操作规程等相关规章制度，服从现场</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4"/>
          <w:sz w:val="24"/>
          <w:szCs w:val="24"/>
        </w:rPr>
        <w:t>工作人员的指挥。</w:t>
      </w:r>
    </w:p>
    <w:p>
      <w:pPr>
        <w:spacing w:before="178" w:line="287" w:lineRule="auto"/>
        <w:ind w:left="8" w:right="99"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4、不得擅自离开实习单位，确因联系工作或其他原因必须离开单位的，应向</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实习指导教师请假，经批准后方可离开。</w:t>
      </w:r>
    </w:p>
    <w:p>
      <w:pPr>
        <w:spacing w:before="2" w:line="225" w:lineRule="auto"/>
        <w:ind w:left="7" w:right="99"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5、凡违反上述规定的实习学生，造成个人人身安全事故或经济损失的，由学</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生个人负责。造成集体和国家损失的，视情节轻重，根据有关规定处理。</w:t>
      </w:r>
    </w:p>
    <w:p>
      <w:pPr>
        <w:spacing w:before="166" w:line="275" w:lineRule="auto"/>
        <w:ind w:left="3" w:right="21"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9"/>
          <w:sz w:val="24"/>
          <w:szCs w:val="24"/>
        </w:rPr>
        <w:t>学生可自行联系实习单位，</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9"/>
          <w:sz w:val="24"/>
          <w:szCs w:val="24"/>
        </w:rPr>
        <w:t>但必须履行相应的审批手续。审批程序为：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学生先将实习单位签字盖章的接收函交所在学院，</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7"/>
          <w:sz w:val="24"/>
          <w:szCs w:val="24"/>
        </w:rPr>
        <w:t>由学院汇总造册（造册内容含学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生姓名、实习单位名称及地址，</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3"/>
          <w:sz w:val="24"/>
          <w:szCs w:val="24"/>
        </w:rPr>
        <w:t>联系电话等）</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13"/>
          <w:sz w:val="24"/>
          <w:szCs w:val="24"/>
        </w:rPr>
        <w:t>统一报学院审批，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并报学校教务处备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案。未经审批擅自开展实习活动的学生，</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6"/>
          <w:sz w:val="24"/>
          <w:szCs w:val="24"/>
        </w:rPr>
        <w:t>实习成绩将不予认可。学生自行联系实习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单位，实习期间的安全问题概由学生本人负责。</w:t>
      </w:r>
    </w:p>
    <w:p>
      <w:pPr>
        <w:spacing w:before="2" w:line="257" w:lineRule="auto"/>
        <w:ind w:left="13" w:right="97" w:firstLine="479"/>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第六条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1"/>
          <w:sz w:val="24"/>
          <w:szCs w:val="24"/>
        </w:rPr>
        <w:t>实习期间如发生重大事故，</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应及时组织力量处理，</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并立即向所在单位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和学校报告。</w:t>
      </w:r>
    </w:p>
    <w:p>
      <w:pPr>
        <w:spacing w:before="10" w:line="197"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第七条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本规定从发布之日起实行；本规定由教务处负责解释。</w:t>
      </w:r>
    </w:p>
    <w:p>
      <w:pPr>
        <w:sectPr>
          <w:footerReference r:id="rId241" w:type="default"/>
          <w:pgSz w:w="11905" w:h="16840"/>
          <w:pgMar w:top="1431" w:right="1489" w:bottom="1158" w:left="1701" w:header="0" w:footer="1034" w:gutter="0"/>
          <w:cols w:space="720" w:num="1"/>
        </w:sectPr>
      </w:pPr>
    </w:p>
    <w:p>
      <w:pPr>
        <w:spacing w:before="235" w:line="180" w:lineRule="auto"/>
        <w:ind w:firstLine="172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吉首大学本科生学科竞赛管理暂行办法</w:t>
      </w:r>
    </w:p>
    <w:p>
      <w:pPr>
        <w:spacing w:before="110" w:line="184" w:lineRule="auto"/>
        <w:ind w:firstLine="3508"/>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50"/>
          <w:sz w:val="24"/>
          <w:szCs w:val="24"/>
        </w:rPr>
        <w:t xml:space="preserve"> </w:t>
      </w:r>
      <w:r>
        <w:rPr>
          <w:rFonts w:ascii="楷体" w:hAnsi="楷体" w:eastAsia="楷体" w:cs="楷体"/>
          <w:spacing w:val="-6"/>
          <w:sz w:val="24"/>
          <w:szCs w:val="24"/>
        </w:rPr>
        <w:t>年</w:t>
      </w:r>
      <w:r>
        <w:rPr>
          <w:rFonts w:ascii="楷体" w:hAnsi="楷体" w:eastAsia="楷体" w:cs="楷体"/>
          <w:spacing w:val="-39"/>
          <w:sz w:val="24"/>
          <w:szCs w:val="24"/>
        </w:rPr>
        <w:t xml:space="preserve"> </w:t>
      </w:r>
      <w:r>
        <w:rPr>
          <w:rFonts w:ascii="楷体" w:hAnsi="楷体" w:eastAsia="楷体" w:cs="楷体"/>
          <w:spacing w:val="-6"/>
          <w:sz w:val="24"/>
          <w:szCs w:val="24"/>
        </w:rPr>
        <w:t>9</w:t>
      </w:r>
      <w:r>
        <w:rPr>
          <w:rFonts w:ascii="楷体" w:hAnsi="楷体" w:eastAsia="楷体" w:cs="楷体"/>
          <w:spacing w:val="-38"/>
          <w:sz w:val="24"/>
          <w:szCs w:val="24"/>
        </w:rPr>
        <w:t xml:space="preserve"> </w:t>
      </w:r>
      <w:r>
        <w:rPr>
          <w:rFonts w:ascii="楷体" w:hAnsi="楷体" w:eastAsia="楷体" w:cs="楷体"/>
          <w:spacing w:val="-6"/>
          <w:sz w:val="24"/>
          <w:szCs w:val="24"/>
        </w:rPr>
        <w:t>月）</w:t>
      </w:r>
    </w:p>
    <w:p>
      <w:pPr>
        <w:spacing w:line="381" w:lineRule="auto"/>
        <w:rPr>
          <w:rFonts w:ascii="Malgun Gothic"/>
          <w:sz w:val="21"/>
        </w:rPr>
      </w:pPr>
    </w:p>
    <w:p>
      <w:pPr>
        <w:spacing w:before="86" w:line="265" w:lineRule="auto"/>
        <w:ind w:left="134" w:right="4"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为了激发学生的学习兴趣，</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1"/>
          <w:sz w:val="24"/>
          <w:szCs w:val="24"/>
        </w:rPr>
        <w:t>培养学生的创新思维，</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提高学生解决实际问题的能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力，</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0"/>
          <w:sz w:val="24"/>
          <w:szCs w:val="24"/>
        </w:rPr>
        <w:t>培养高素质应用人才，</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学校鼓励学生积极参加各级各类大学生学科竞赛。为使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本科生参加学科竞赛的组织管理工作规范化、科学化、制度化，</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特制订本管理办法。</w:t>
      </w:r>
    </w:p>
    <w:p>
      <w:pPr>
        <w:spacing w:before="204" w:line="180" w:lineRule="auto"/>
        <w:ind w:firstLine="3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第一章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竞赛宗旨</w:t>
      </w:r>
    </w:p>
    <w:p>
      <w:pPr>
        <w:spacing w:before="149" w:line="285" w:lineRule="auto"/>
        <w:ind w:left="133" w:right="94"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学科竞赛是指由政府职能部门、高等院校、学术团体组织举办的与学科专业紧</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密相关的大学生课外科技竞赛活动。开展学科竞赛活动旨在于提升大学生的学科专</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0"/>
          <w:sz w:val="24"/>
          <w:szCs w:val="24"/>
        </w:rPr>
        <w:t>业技能，</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0"/>
          <w:sz w:val="24"/>
          <w:szCs w:val="24"/>
        </w:rPr>
        <w:t>培养大学生的团队合作精神、创新思维和解决实际问题能力，</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0"/>
          <w:sz w:val="24"/>
          <w:szCs w:val="24"/>
        </w:rPr>
        <w:t>丰富校园学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术氛围，</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5"/>
          <w:sz w:val="24"/>
          <w:szCs w:val="24"/>
        </w:rPr>
        <w:t>促进实践教学改革，</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5"/>
          <w:sz w:val="24"/>
          <w:szCs w:val="24"/>
        </w:rPr>
        <w:t>推进素质教育，</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5"/>
          <w:sz w:val="24"/>
          <w:szCs w:val="24"/>
        </w:rPr>
        <w:t>培养知识、能力、素质协调发展和具</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有创新意识与创新能力的高素质应用型人才。</w:t>
      </w:r>
    </w:p>
    <w:p>
      <w:pPr>
        <w:spacing w:before="205" w:line="180" w:lineRule="auto"/>
        <w:ind w:firstLine="313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竞赛类别与级别</w:t>
      </w:r>
    </w:p>
    <w:p>
      <w:pPr>
        <w:spacing w:before="138"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竞赛类别</w:t>
      </w:r>
    </w:p>
    <w:p>
      <w:pPr>
        <w:spacing w:before="150"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w:t>
      </w:r>
      <w:r>
        <w:rPr>
          <w:rFonts w:ascii="方正书宋简体" w:hAnsi="方正书宋简体" w:eastAsia="方正书宋简体" w:cs="方正书宋简体"/>
          <w:spacing w:val="4"/>
          <w:sz w:val="24"/>
          <w:szCs w:val="24"/>
        </w:rPr>
        <w:t>）Ａ</w:t>
      </w:r>
      <w:r>
        <w:rPr>
          <w:rFonts w:ascii="方正书宋简体" w:hAnsi="方正书宋简体" w:eastAsia="方正书宋简体" w:cs="方正书宋简体"/>
          <w:spacing w:val="-1"/>
          <w:sz w:val="24"/>
          <w:szCs w:val="24"/>
        </w:rPr>
        <w:t>类：教育部、教育厅等主管行政部门指定的学科竞赛。</w:t>
      </w:r>
    </w:p>
    <w:p>
      <w:pPr>
        <w:spacing w:before="194"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8"/>
          <w:sz w:val="24"/>
          <w:szCs w:val="24"/>
        </w:rPr>
        <w:t>Ｂ</w:t>
      </w:r>
      <w:r>
        <w:rPr>
          <w:rFonts w:ascii="方正书宋简体" w:hAnsi="方正书宋简体" w:eastAsia="方正书宋简体" w:cs="方正书宋简体"/>
          <w:spacing w:val="-9"/>
          <w:sz w:val="24"/>
          <w:szCs w:val="24"/>
        </w:rPr>
        <w:t>类：</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国家机关部门、学科专业教学指导委员会主办或参与的学科竞赛。</w:t>
      </w:r>
    </w:p>
    <w:p>
      <w:pPr>
        <w:spacing w:before="193"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w:t>
      </w:r>
      <w:r>
        <w:rPr>
          <w:rFonts w:ascii="方正书宋简体" w:hAnsi="方正书宋简体" w:eastAsia="方正书宋简体" w:cs="方正书宋简体"/>
          <w:spacing w:val="5"/>
          <w:sz w:val="24"/>
          <w:szCs w:val="24"/>
        </w:rPr>
        <w:t>）Ｃ</w:t>
      </w:r>
      <w:r>
        <w:rPr>
          <w:rFonts w:ascii="方正书宋简体" w:hAnsi="方正书宋简体" w:eastAsia="方正书宋简体" w:cs="方正书宋简体"/>
          <w:spacing w:val="-1"/>
          <w:sz w:val="24"/>
          <w:szCs w:val="24"/>
        </w:rPr>
        <w:t>类：省级或省级以上行业协会、学术团体组织的学科竞赛。</w:t>
      </w:r>
    </w:p>
    <w:p>
      <w:pPr>
        <w:spacing w:before="194" w:line="224" w:lineRule="auto"/>
        <w:ind w:left="622" w:right="4081" w:hanging="1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（四）D</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类：学校组织的各类学科竞赛。</w:t>
      </w:r>
      <w:r>
        <w:rPr>
          <w:rFonts w:ascii="方正书宋简体" w:hAnsi="方正书宋简体" w:eastAsia="方正书宋简体" w:cs="方正书宋简体"/>
          <w:sz w:val="24"/>
          <w:szCs w:val="24"/>
        </w:rPr>
        <w:t xml:space="preserve"> </w:t>
      </w:r>
      <w:r>
        <w:rPr>
          <w:rFonts w:ascii="Microsoft JhengHei" w:hAnsi="Microsoft JhengHei" w:eastAsia="Microsoft JhengHei" w:cs="Microsoft JhengHei"/>
          <w:spacing w:val="-3"/>
          <w:sz w:val="24"/>
          <w:szCs w:val="24"/>
        </w:rPr>
        <w:t>第二条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竞赛级别</w:t>
      </w:r>
    </w:p>
    <w:p>
      <w:pPr>
        <w:spacing w:before="189"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（一）</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0"/>
          <w:sz w:val="24"/>
          <w:szCs w:val="24"/>
        </w:rPr>
        <w:t>国家级学科竞赛：国家机关部门或全国性学术团体组织的全国性学科竞赛。</w:t>
      </w:r>
    </w:p>
    <w:p>
      <w:pPr>
        <w:spacing w:before="176" w:line="316" w:lineRule="auto"/>
        <w:ind w:right="9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 xml:space="preserve">（二）省级学科竞赛：省级政府有关部门或省级学术团体组织的全省性或跨省 </w:t>
      </w:r>
      <w:r>
        <w:rPr>
          <w:rFonts w:ascii="方正书宋简体" w:hAnsi="方正书宋简体" w:eastAsia="方正书宋简体" w:cs="方正书宋简体"/>
          <w:spacing w:val="-2"/>
          <w:sz w:val="24"/>
          <w:szCs w:val="24"/>
        </w:rPr>
        <w:t>（区）的学科竞赛。</w:t>
      </w:r>
    </w:p>
    <w:p>
      <w:pPr>
        <w:spacing w:before="1" w:line="204"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（三）校级学科竞赛：全校性学科竞赛。</w:t>
      </w:r>
    </w:p>
    <w:p>
      <w:pPr>
        <w:spacing w:before="146" w:line="450" w:lineRule="exact"/>
        <w:ind w:firstLine="313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第三章</w:t>
      </w:r>
      <w:r>
        <w:rPr>
          <w:rFonts w:ascii="Microsoft JhengHei" w:hAnsi="Microsoft JhengHei" w:eastAsia="Microsoft JhengHei" w:cs="Microsoft JhengHei"/>
          <w:spacing w:val="4"/>
          <w:w w:val="101"/>
          <w:position w:val="12"/>
          <w:sz w:val="24"/>
          <w:szCs w:val="24"/>
        </w:rPr>
        <w:t xml:space="preserve">    </w:t>
      </w:r>
      <w:r>
        <w:rPr>
          <w:rFonts w:ascii="Microsoft JhengHei" w:hAnsi="Microsoft JhengHei" w:eastAsia="Microsoft JhengHei" w:cs="Microsoft JhengHei"/>
          <w:spacing w:val="-3"/>
          <w:position w:val="12"/>
          <w:sz w:val="24"/>
          <w:szCs w:val="24"/>
        </w:rPr>
        <w:t>竞赛组织与管理</w:t>
      </w:r>
    </w:p>
    <w:p>
      <w:pPr>
        <w:spacing w:line="204"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第三条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学科竞赛实行校院两级管理。</w:t>
      </w:r>
    </w:p>
    <w:p>
      <w:pPr>
        <w:spacing w:before="98"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教务处是学科竞赛管理职能部门，</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6"/>
          <w:sz w:val="24"/>
          <w:szCs w:val="24"/>
        </w:rPr>
        <w:t>教务处负责学科竞赛的组织协调工</w:t>
      </w:r>
    </w:p>
    <w:p>
      <w:pPr>
        <w:spacing w:before="147" w:line="254" w:lineRule="auto"/>
        <w:ind w:left="138" w:right="94" w:hanging="4"/>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作，</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4"/>
          <w:sz w:val="24"/>
          <w:szCs w:val="24"/>
        </w:rPr>
        <w:t>负责制订和落实学科竞赛管理规章制度与激励政策；</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4"/>
          <w:sz w:val="24"/>
          <w:szCs w:val="24"/>
        </w:rPr>
        <w:t>确定竞赛的主办单位；</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4"/>
          <w:sz w:val="24"/>
          <w:szCs w:val="24"/>
        </w:rPr>
        <w:t>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责对学院申报的年度学科竞赛计划进行审核并发布；负责预算及管理竞赛经费。</w:t>
      </w:r>
    </w:p>
    <w:p>
      <w:pPr>
        <w:spacing w:before="166" w:line="288" w:lineRule="auto"/>
        <w:ind w:left="135" w:right="9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1"/>
          <w:sz w:val="24"/>
          <w:szCs w:val="24"/>
        </w:rPr>
        <w:t>第五条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11"/>
          <w:sz w:val="24"/>
          <w:szCs w:val="24"/>
        </w:rPr>
        <w:t>学院是学科竞赛主体和责任单位，</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负责申报年度学科竞赛计划；</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负责</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组建竞赛组委会；</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5"/>
          <w:sz w:val="24"/>
          <w:szCs w:val="24"/>
        </w:rPr>
        <w:t>负责制定竞赛项目实施方案，</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5"/>
          <w:sz w:val="24"/>
          <w:szCs w:val="24"/>
        </w:rPr>
        <w:t>包括竞赛规程，</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5"/>
          <w:sz w:val="24"/>
          <w:szCs w:val="24"/>
        </w:rPr>
        <w:t>开放实验场所、图</w:t>
      </w:r>
    </w:p>
    <w:p>
      <w:pPr>
        <w:sectPr>
          <w:footerReference r:id="rId242" w:type="default"/>
          <w:pgSz w:w="11905" w:h="16840"/>
          <w:pgMar w:top="1431" w:right="1490" w:bottom="1158" w:left="1571" w:header="0" w:footer="1035" w:gutter="0"/>
          <w:cols w:space="720" w:num="1"/>
        </w:sectPr>
      </w:pPr>
    </w:p>
    <w:p>
      <w:pPr>
        <w:spacing w:before="309" w:line="303" w:lineRule="auto"/>
        <w:ind w:left="1" w:right="10" w:firstLine="8"/>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书资料，</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5"/>
          <w:sz w:val="24"/>
          <w:szCs w:val="24"/>
        </w:rPr>
        <w:t>提供竞赛必要的仪器设备、材料、场地和资料，</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5"/>
          <w:sz w:val="24"/>
          <w:szCs w:val="24"/>
        </w:rPr>
        <w:t>指定指导教师，</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5"/>
          <w:sz w:val="24"/>
          <w:szCs w:val="24"/>
        </w:rPr>
        <w:t>为学生创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造良好的参赛条件。</w:t>
      </w:r>
    </w:p>
    <w:p>
      <w:pPr>
        <w:spacing w:before="27" w:line="281"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第六条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8"/>
          <w:sz w:val="24"/>
          <w:szCs w:val="24"/>
        </w:rPr>
        <w:t>学科竞赛实行项目负责制。省级及省级以上学科竞赛由学院指定教师专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人负责指导与管理。校级竞赛由主办学院负责指导所属大学生创新工作室组织完成。</w:t>
      </w:r>
    </w:p>
    <w:p>
      <w:pPr>
        <w:spacing w:before="12"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第七条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竞赛组织程序</w:t>
      </w:r>
    </w:p>
    <w:p>
      <w:pPr>
        <w:spacing w:before="126" w:line="315" w:lineRule="auto"/>
        <w:ind w:left="30" w:right="50" w:firstLine="31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4"/>
          <w:sz w:val="24"/>
          <w:szCs w:val="24"/>
        </w:rPr>
        <w:t>项目申请。学科竞赛项目负责人填写《吉首大学大学生学科竞赛资助项目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申报表》</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1"/>
          <w:sz w:val="24"/>
          <w:szCs w:val="24"/>
        </w:rPr>
        <w:t>（见附件</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sz w:val="24"/>
          <w:szCs w:val="24"/>
        </w:rPr>
        <w:t>1</w:t>
      </w:r>
      <w:r>
        <w:rPr>
          <w:rFonts w:ascii="方正书宋简体" w:hAnsi="方正书宋简体" w:eastAsia="方正书宋简体" w:cs="方正书宋简体"/>
          <w:spacing w:val="-42"/>
          <w:sz w:val="24"/>
          <w:szCs w:val="24"/>
        </w:rPr>
        <w:t>），</w:t>
      </w:r>
      <w:r>
        <w:rPr>
          <w:rFonts w:ascii="方正书宋简体" w:hAnsi="方正书宋简体" w:eastAsia="方正书宋简体" w:cs="方正书宋简体"/>
          <w:spacing w:val="-11"/>
          <w:sz w:val="24"/>
          <w:szCs w:val="24"/>
        </w:rPr>
        <w:t>并向学校大学生科技实践创新中心提交竞赛方案。</w:t>
      </w:r>
    </w:p>
    <w:p>
      <w:pPr>
        <w:spacing w:before="1" w:line="315" w:lineRule="auto"/>
        <w:ind w:left="3" w:right="9"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7"/>
          <w:sz w:val="24"/>
          <w:szCs w:val="24"/>
        </w:rPr>
        <w:t>竞赛实施。学科竞赛项目在学院管理与指导下，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7"/>
          <w:sz w:val="24"/>
          <w:szCs w:val="24"/>
        </w:rPr>
        <w:t>依托相关工作室完成竞赛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报名，参赛选手的选拔、培训和参赛等竞赛组织工作。</w:t>
      </w:r>
    </w:p>
    <w:p>
      <w:pPr>
        <w:spacing w:before="2" w:line="239" w:lineRule="auto"/>
        <w:ind w:left="1" w:right="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7"/>
          <w:sz w:val="24"/>
          <w:szCs w:val="24"/>
        </w:rPr>
        <w:t>竞赛总结。学科竞赛项目组公布竞赛相关信息，</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7"/>
          <w:sz w:val="24"/>
          <w:szCs w:val="24"/>
        </w:rPr>
        <w:t>整理归档与竞赛相关的资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料，竞赛项目完成后向创新中心提交《吉首大学学生竞赛总结报告》</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10"/>
          <w:sz w:val="24"/>
          <w:szCs w:val="24"/>
        </w:rPr>
        <w:t>（见附件</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0"/>
          <w:sz w:val="24"/>
          <w:szCs w:val="24"/>
        </w:rPr>
        <w:t>2）。</w:t>
      </w:r>
    </w:p>
    <w:p>
      <w:pPr>
        <w:spacing w:before="201" w:line="295" w:lineRule="auto"/>
        <w:ind w:left="2" w:right="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6"/>
          <w:sz w:val="24"/>
          <w:szCs w:val="24"/>
        </w:rPr>
        <w:t>上述列入年度学科竞赛计划的各类以学校名义参加的学科竞赛，</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须由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教务处审核。多学科、多专业、多学院参加的学科竞赛，</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7"/>
          <w:sz w:val="24"/>
          <w:szCs w:val="24"/>
        </w:rPr>
        <w:t>由教务处指定相关学院主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办，负责校级选拔赛和组织参加省级及省级以上竞赛。</w:t>
      </w:r>
    </w:p>
    <w:p>
      <w:pPr>
        <w:spacing w:before="1" w:line="201" w:lineRule="auto"/>
        <w:ind w:firstLine="335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经费管理</w:t>
      </w:r>
    </w:p>
    <w:p>
      <w:pPr>
        <w:spacing w:before="101"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第九条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3"/>
          <w:sz w:val="24"/>
          <w:szCs w:val="24"/>
        </w:rPr>
        <w:t>经费来源</w:t>
      </w:r>
    </w:p>
    <w:p>
      <w:pPr>
        <w:spacing w:before="150"/>
        <w:ind w:right="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学科竞赛经费来源于学校学科竞赛专项经费、特殊专业学科竞赛专项经费及相</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3"/>
          <w:sz w:val="24"/>
          <w:szCs w:val="24"/>
        </w:rPr>
        <w:t>关学科专业建设经费。</w:t>
      </w:r>
    </w:p>
    <w:p>
      <w:pPr>
        <w:spacing w:before="204" w:line="464" w:lineRule="exact"/>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position w:val="13"/>
          <w:sz w:val="24"/>
          <w:szCs w:val="24"/>
        </w:rPr>
        <w:t>第十条</w:t>
      </w:r>
      <w:r>
        <w:rPr>
          <w:rFonts w:ascii="Microsoft JhengHei" w:hAnsi="Microsoft JhengHei" w:eastAsia="Microsoft JhengHei" w:cs="Microsoft JhengHei"/>
          <w:spacing w:val="2"/>
          <w:w w:val="101"/>
          <w:position w:val="13"/>
          <w:sz w:val="24"/>
          <w:szCs w:val="24"/>
        </w:rPr>
        <w:t xml:space="preserve">    </w:t>
      </w:r>
      <w:r>
        <w:rPr>
          <w:rFonts w:ascii="方正书宋简体" w:hAnsi="方正书宋简体" w:eastAsia="方正书宋简体" w:cs="方正书宋简体"/>
          <w:spacing w:val="-3"/>
          <w:position w:val="13"/>
          <w:sz w:val="24"/>
          <w:szCs w:val="24"/>
        </w:rPr>
        <w:t>经费使用</w:t>
      </w:r>
    </w:p>
    <w:p>
      <w:pPr>
        <w:spacing w:line="204"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（1）资助经费标准</w:t>
      </w:r>
    </w:p>
    <w:p>
      <w:pPr>
        <w:spacing w:before="156" w:line="253" w:lineRule="auto"/>
        <w:ind w:right="1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A</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类学科竞赛项目：原则上资助</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3～5</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1"/>
          <w:sz w:val="24"/>
          <w:szCs w:val="24"/>
        </w:rPr>
        <w:t>万元，通过省级选拔后参加全国竞赛的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竞赛费用按照差旅费实报，工科、医学类等学科竞赛项目资助材料费</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2"/>
          <w:sz w:val="24"/>
          <w:szCs w:val="24"/>
        </w:rPr>
        <w:t>1～3</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万。</w:t>
      </w:r>
    </w:p>
    <w:p>
      <w:pPr>
        <w:spacing w:before="178" w:line="450" w:lineRule="exact"/>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position w:val="16"/>
          <w:sz w:val="24"/>
          <w:szCs w:val="24"/>
        </w:rPr>
        <w:t>B</w:t>
      </w:r>
      <w:r>
        <w:rPr>
          <w:rFonts w:ascii="方正书宋简体" w:hAnsi="方正书宋简体" w:eastAsia="方正书宋简体" w:cs="方正书宋简体"/>
          <w:spacing w:val="22"/>
          <w:w w:val="101"/>
          <w:position w:val="16"/>
          <w:sz w:val="24"/>
          <w:szCs w:val="24"/>
        </w:rPr>
        <w:t xml:space="preserve"> </w:t>
      </w:r>
      <w:r>
        <w:rPr>
          <w:rFonts w:ascii="方正书宋简体" w:hAnsi="方正书宋简体" w:eastAsia="方正书宋简体" w:cs="方正书宋简体"/>
          <w:spacing w:val="-3"/>
          <w:position w:val="16"/>
          <w:sz w:val="24"/>
          <w:szCs w:val="24"/>
        </w:rPr>
        <w:t>类学科竞赛项目：原则上资助经费</w:t>
      </w:r>
      <w:r>
        <w:rPr>
          <w:rFonts w:ascii="方正书宋简体" w:hAnsi="方正书宋简体" w:eastAsia="方正书宋简体" w:cs="方正书宋简体"/>
          <w:spacing w:val="7"/>
          <w:position w:val="16"/>
          <w:sz w:val="24"/>
          <w:szCs w:val="24"/>
        </w:rPr>
        <w:t xml:space="preserve"> </w:t>
      </w:r>
      <w:r>
        <w:rPr>
          <w:rFonts w:ascii="方正书宋简体" w:hAnsi="方正书宋简体" w:eastAsia="方正书宋简体" w:cs="方正书宋简体"/>
          <w:spacing w:val="-3"/>
          <w:position w:val="16"/>
          <w:sz w:val="24"/>
          <w:szCs w:val="24"/>
        </w:rPr>
        <w:t>2</w:t>
      </w:r>
      <w:r>
        <w:rPr>
          <w:rFonts w:ascii="方正书宋简体" w:hAnsi="方正书宋简体" w:eastAsia="方正书宋简体" w:cs="方正书宋简体"/>
          <w:spacing w:val="6"/>
          <w:w w:val="101"/>
          <w:position w:val="16"/>
          <w:sz w:val="24"/>
          <w:szCs w:val="24"/>
        </w:rPr>
        <w:t xml:space="preserve"> </w:t>
      </w:r>
      <w:r>
        <w:rPr>
          <w:rFonts w:ascii="方正书宋简体" w:hAnsi="方正书宋简体" w:eastAsia="方正书宋简体" w:cs="方正书宋简体"/>
          <w:spacing w:val="-3"/>
          <w:position w:val="16"/>
          <w:sz w:val="24"/>
          <w:szCs w:val="24"/>
        </w:rPr>
        <w:t>万元。</w:t>
      </w:r>
    </w:p>
    <w:p>
      <w:pPr>
        <w:spacing w:before="1"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C</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4"/>
          <w:sz w:val="24"/>
          <w:szCs w:val="24"/>
        </w:rPr>
        <w:t>类学科竞赛项目：原则上资助经费</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4"/>
          <w:sz w:val="24"/>
          <w:szCs w:val="24"/>
        </w:rPr>
        <w:t>万元。</w:t>
      </w:r>
    </w:p>
    <w:p>
      <w:pPr>
        <w:spacing w:before="158"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D</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类学科竞赛项目：原则上在创新工作室常规经费中包干使用。</w:t>
      </w:r>
    </w:p>
    <w:p>
      <w:pPr>
        <w:spacing w:before="194"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（2）经费使用范围</w:t>
      </w:r>
    </w:p>
    <w:p>
      <w:pPr>
        <w:spacing w:before="190" w:line="303" w:lineRule="auto"/>
        <w:ind w:right="1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经费使用范围包括参赛报名费、培训费、专家指导经费、资料费、耗材费、差</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旅费等，竞赛经费原则上按照资助标准包干使用。</w:t>
      </w:r>
    </w:p>
    <w:p>
      <w:pPr>
        <w:spacing w:before="27" w:line="187" w:lineRule="auto"/>
        <w:ind w:firstLine="2997"/>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竞赛结果的使用</w:t>
      </w:r>
    </w:p>
    <w:p>
      <w:pPr>
        <w:spacing w:before="126"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2"/>
          <w:sz w:val="24"/>
          <w:szCs w:val="24"/>
        </w:rPr>
        <w:t>学校鼓励教师积极指导大学生学科竞赛（竞赛项目以当年教务处发</w:t>
      </w:r>
    </w:p>
    <w:p>
      <w:pPr>
        <w:sectPr>
          <w:footerReference r:id="rId243" w:type="default"/>
          <w:pgSz w:w="11905" w:h="16840"/>
          <w:pgMar w:top="1431" w:right="1576" w:bottom="1158" w:left="1704" w:header="0" w:footer="1034" w:gutter="0"/>
          <w:cols w:space="720" w:num="1"/>
        </w:sectPr>
      </w:pPr>
    </w:p>
    <w:p>
      <w:pPr>
        <w:spacing w:before="312" w:line="313" w:lineRule="auto"/>
        <w:ind w:left="3"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布的年度学科竞赛计划为准</w:t>
      </w:r>
      <w:r>
        <w:rPr>
          <w:rFonts w:ascii="方正书宋简体" w:hAnsi="方正书宋简体" w:eastAsia="方正书宋简体" w:cs="方正书宋简体"/>
          <w:spacing w:val="-90"/>
          <w:sz w:val="24"/>
          <w:szCs w:val="24"/>
        </w:rPr>
        <w:t>），</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指导工作量按《吉首大学本科教学工作量核算办法》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给予确认，大学生学科竞赛获奖的指导教师其业绩按《吉首大学教学工作奖励办</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1"/>
          <w:sz w:val="24"/>
          <w:szCs w:val="24"/>
        </w:rPr>
        <w:t>法》、</w:t>
      </w:r>
      <w:r>
        <w:rPr>
          <w:rFonts w:ascii="方正书宋简体" w:hAnsi="方正书宋简体" w:eastAsia="方正书宋简体" w:cs="方正书宋简体"/>
          <w:spacing w:val="79"/>
          <w:w w:val="101"/>
          <w:sz w:val="24"/>
          <w:szCs w:val="24"/>
        </w:rPr>
        <w:t xml:space="preserve"> </w:t>
      </w:r>
      <w:r>
        <w:rPr>
          <w:rFonts w:ascii="方正书宋简体" w:hAnsi="方正书宋简体" w:eastAsia="方正书宋简体" w:cs="方正书宋简体"/>
          <w:spacing w:val="-11"/>
          <w:sz w:val="24"/>
          <w:szCs w:val="24"/>
        </w:rPr>
        <w:t>《吉首大学绩效工资改革实施方案》和《吉首大学专业技术职务评审教学测评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工作方案》予以奖励和认定。</w:t>
      </w:r>
    </w:p>
    <w:p>
      <w:pPr>
        <w:spacing w:before="2" w:line="250" w:lineRule="auto"/>
        <w:ind w:left="1" w:right="13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第十二条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6"/>
          <w:sz w:val="24"/>
          <w:szCs w:val="24"/>
        </w:rPr>
        <w:t>参加学科竞赛并获奖的学生，</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6"/>
          <w:sz w:val="24"/>
          <w:szCs w:val="24"/>
        </w:rPr>
        <w:t>在奖学金评定、各种学生评优评先中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按照学校相关规定予以加分，</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6"/>
          <w:sz w:val="24"/>
          <w:szCs w:val="24"/>
        </w:rPr>
        <w:t>按照《吉首大学本科生创新创业实践学分认定与管理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办法》予以认定学分。</w:t>
      </w:r>
    </w:p>
    <w:p>
      <w:pPr>
        <w:spacing w:before="204" w:line="180" w:lineRule="auto"/>
        <w:ind w:firstLine="311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第六章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3"/>
          <w:sz w:val="24"/>
          <w:szCs w:val="24"/>
        </w:rPr>
        <w:t>监督、异议和申诉</w:t>
      </w:r>
    </w:p>
    <w:p>
      <w:pPr>
        <w:spacing w:before="138" w:line="250" w:lineRule="auto"/>
        <w:ind w:right="138"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2"/>
          <w:sz w:val="24"/>
          <w:szCs w:val="24"/>
        </w:rPr>
        <w:t>各学科竞赛组委会应严格按照竞赛规程组织各学科竞赛的命题、考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试、评审、评奖、保密等各个环节的工作，</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6"/>
          <w:sz w:val="24"/>
          <w:szCs w:val="24"/>
        </w:rPr>
        <w:t>并主动接受主办单位及学校、学生等各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方面的监督。出现违纪违规情况，一经查实严肃处理，并通报全校。</w:t>
      </w:r>
    </w:p>
    <w:p>
      <w:pPr>
        <w:spacing w:before="201" w:line="266" w:lineRule="auto"/>
        <w:ind w:right="13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第十四条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5"/>
          <w:sz w:val="24"/>
          <w:szCs w:val="24"/>
        </w:rPr>
        <w:t>学校建立竞赛结果公示制度，异议由各学科竞赛的组委会负责受</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6"/>
          <w:sz w:val="24"/>
          <w:szCs w:val="24"/>
        </w:rPr>
        <w:t>理。自获奖名单公布之日起的</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6"/>
          <w:sz w:val="24"/>
          <w:szCs w:val="24"/>
        </w:rPr>
        <w:t>7</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天内，</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任何对竞赛有异议的部门或个人都可以提出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申诉，</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1"/>
          <w:sz w:val="24"/>
          <w:szCs w:val="24"/>
        </w:rPr>
        <w:t>申诉报告必须以书面形式提交，</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由异议人签名。组委会受理后对异议进行调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查，并提出处理意见，报学校审核。</w:t>
      </w:r>
    </w:p>
    <w:p>
      <w:pPr>
        <w:spacing w:before="204"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本办法自发文之日起实施，由教务处负责解释。</w:t>
      </w:r>
    </w:p>
    <w:p>
      <w:pPr>
        <w:spacing w:line="340" w:lineRule="auto"/>
        <w:rPr>
          <w:rFonts w:ascii="Malgun Gothic"/>
          <w:sz w:val="21"/>
        </w:rPr>
      </w:pPr>
    </w:p>
    <w:p>
      <w:pPr>
        <w:spacing w:before="85" w:line="450" w:lineRule="exact"/>
        <w:ind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position w:val="16"/>
          <w:sz w:val="24"/>
          <w:szCs w:val="24"/>
        </w:rPr>
        <w:t>附件</w:t>
      </w:r>
      <w:r>
        <w:rPr>
          <w:rFonts w:ascii="方正书宋简体" w:hAnsi="方正书宋简体" w:eastAsia="方正书宋简体" w:cs="方正书宋简体"/>
          <w:spacing w:val="42"/>
          <w:position w:val="16"/>
          <w:sz w:val="24"/>
          <w:szCs w:val="24"/>
        </w:rPr>
        <w:t xml:space="preserve"> </w:t>
      </w:r>
      <w:r>
        <w:rPr>
          <w:rFonts w:ascii="方正书宋简体" w:hAnsi="方正书宋简体" w:eastAsia="方正书宋简体" w:cs="方正书宋简体"/>
          <w:spacing w:val="-3"/>
          <w:position w:val="16"/>
          <w:sz w:val="24"/>
          <w:szCs w:val="24"/>
        </w:rPr>
        <w:t>1：吉首大学大学生学科竞赛经费申报表</w:t>
      </w:r>
    </w:p>
    <w:p>
      <w:pPr>
        <w:spacing w:before="1" w:line="204" w:lineRule="auto"/>
        <w:ind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2：吉首大学大学生竞赛总结报告</w:t>
      </w:r>
    </w:p>
    <w:p>
      <w:pPr>
        <w:sectPr>
          <w:footerReference r:id="rId244" w:type="default"/>
          <w:pgSz w:w="11905" w:h="16840"/>
          <w:pgMar w:top="1431" w:right="1447" w:bottom="1158" w:left="1703" w:header="0" w:footer="1035" w:gutter="0"/>
          <w:cols w:space="720" w:num="1"/>
        </w:sectPr>
      </w:pPr>
    </w:p>
    <w:p>
      <w:pPr>
        <w:spacing w:before="423" w:line="193"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附件</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9"/>
          <w:sz w:val="24"/>
          <w:szCs w:val="24"/>
        </w:rPr>
        <w:t>1：</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9"/>
          <w:sz w:val="24"/>
          <w:szCs w:val="24"/>
          <w14:textOutline w14:w="3048" w14:cap="flat" w14:cmpd="sng">
            <w14:solidFill>
              <w14:srgbClr w14:val="000000"/>
            </w14:solidFill>
            <w14:prstDash w14:val="solid"/>
            <w14:miter w14:val="1"/>
          </w14:textOutline>
        </w:rPr>
        <w:t>吉首大学大学生学科竞赛资助项目申请书</w:t>
      </w:r>
    </w:p>
    <w:p>
      <w:pPr>
        <w:spacing w:line="21"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656"/>
        <w:gridCol w:w="2657"/>
        <w:gridCol w:w="1838"/>
        <w:gridCol w:w="27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448" w:type="dxa"/>
            <w:gridSpan w:val="2"/>
            <w:tcBorders>
              <w:top w:val="single" w:color="000000" w:sz="6" w:space="0"/>
              <w:left w:val="single" w:color="000000" w:sz="6" w:space="0"/>
            </w:tcBorders>
            <w:vAlign w:val="top"/>
          </w:tcPr>
          <w:p>
            <w:pPr>
              <w:spacing w:before="91"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竞赛名称</w:t>
            </w:r>
          </w:p>
        </w:tc>
        <w:tc>
          <w:tcPr>
            <w:tcW w:w="7286" w:type="dxa"/>
            <w:gridSpan w:val="3"/>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48" w:type="dxa"/>
            <w:gridSpan w:val="2"/>
            <w:tcBorders>
              <w:left w:val="single" w:color="000000" w:sz="6" w:space="0"/>
            </w:tcBorders>
            <w:vAlign w:val="top"/>
          </w:tcPr>
          <w:p>
            <w:pPr>
              <w:spacing w:before="87" w:line="180" w:lineRule="auto"/>
              <w:ind w:firstLine="30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主办单位</w:t>
            </w:r>
          </w:p>
        </w:tc>
        <w:tc>
          <w:tcPr>
            <w:tcW w:w="2657" w:type="dxa"/>
            <w:vAlign w:val="top"/>
          </w:tcPr>
          <w:p>
            <w:pPr>
              <w:rPr>
                <w:rFonts w:ascii="Malgun Gothic"/>
                <w:sz w:val="21"/>
              </w:rPr>
            </w:pPr>
          </w:p>
        </w:tc>
        <w:tc>
          <w:tcPr>
            <w:tcW w:w="1838" w:type="dxa"/>
            <w:vAlign w:val="top"/>
          </w:tcPr>
          <w:p>
            <w:pPr>
              <w:spacing w:before="84"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竞赛级别</w:t>
            </w:r>
          </w:p>
        </w:tc>
        <w:tc>
          <w:tcPr>
            <w:tcW w:w="2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448" w:type="dxa"/>
            <w:gridSpan w:val="2"/>
            <w:tcBorders>
              <w:left w:val="single" w:color="000000" w:sz="6" w:space="0"/>
            </w:tcBorders>
            <w:vAlign w:val="top"/>
          </w:tcPr>
          <w:p>
            <w:pPr>
              <w:spacing w:before="90"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参赛专业</w:t>
            </w:r>
          </w:p>
        </w:tc>
        <w:tc>
          <w:tcPr>
            <w:tcW w:w="2657" w:type="dxa"/>
            <w:vAlign w:val="top"/>
          </w:tcPr>
          <w:p>
            <w:pPr>
              <w:rPr>
                <w:rFonts w:ascii="Malgun Gothic"/>
                <w:sz w:val="21"/>
              </w:rPr>
            </w:pPr>
          </w:p>
        </w:tc>
        <w:tc>
          <w:tcPr>
            <w:tcW w:w="1838" w:type="dxa"/>
            <w:vAlign w:val="top"/>
          </w:tcPr>
          <w:p>
            <w:pPr>
              <w:spacing w:before="89" w:line="180" w:lineRule="auto"/>
              <w:ind w:firstLine="4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参赛人数</w:t>
            </w:r>
          </w:p>
        </w:tc>
        <w:tc>
          <w:tcPr>
            <w:tcW w:w="2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448" w:type="dxa"/>
            <w:gridSpan w:val="2"/>
            <w:tcBorders>
              <w:left w:val="single" w:color="000000" w:sz="6" w:space="0"/>
            </w:tcBorders>
            <w:vAlign w:val="top"/>
          </w:tcPr>
          <w:p>
            <w:pPr>
              <w:spacing w:before="95"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竞赛时间</w:t>
            </w:r>
          </w:p>
        </w:tc>
        <w:tc>
          <w:tcPr>
            <w:tcW w:w="2657" w:type="dxa"/>
            <w:vAlign w:val="top"/>
          </w:tcPr>
          <w:p>
            <w:pPr>
              <w:rPr>
                <w:rFonts w:ascii="Malgun Gothic"/>
                <w:sz w:val="21"/>
              </w:rPr>
            </w:pPr>
          </w:p>
        </w:tc>
        <w:tc>
          <w:tcPr>
            <w:tcW w:w="1838" w:type="dxa"/>
            <w:vAlign w:val="top"/>
          </w:tcPr>
          <w:p>
            <w:pPr>
              <w:spacing w:before="92" w:line="193"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竞赛地点</w:t>
            </w:r>
          </w:p>
        </w:tc>
        <w:tc>
          <w:tcPr>
            <w:tcW w:w="2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48" w:type="dxa"/>
            <w:gridSpan w:val="2"/>
            <w:tcBorders>
              <w:left w:val="single" w:color="000000" w:sz="6" w:space="0"/>
            </w:tcBorders>
            <w:vAlign w:val="top"/>
          </w:tcPr>
          <w:p>
            <w:pPr>
              <w:spacing w:before="102" w:line="180"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项目负责人</w:t>
            </w:r>
          </w:p>
        </w:tc>
        <w:tc>
          <w:tcPr>
            <w:tcW w:w="2657" w:type="dxa"/>
            <w:vAlign w:val="top"/>
          </w:tcPr>
          <w:p>
            <w:pPr>
              <w:rPr>
                <w:rFonts w:ascii="Malgun Gothic"/>
                <w:sz w:val="21"/>
              </w:rPr>
            </w:pPr>
          </w:p>
        </w:tc>
        <w:tc>
          <w:tcPr>
            <w:tcW w:w="1838" w:type="dxa"/>
            <w:vAlign w:val="top"/>
          </w:tcPr>
          <w:p>
            <w:pPr>
              <w:spacing w:before="106" w:line="180" w:lineRule="auto"/>
              <w:ind w:firstLine="4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联系电话</w:t>
            </w:r>
          </w:p>
        </w:tc>
        <w:tc>
          <w:tcPr>
            <w:tcW w:w="2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448" w:type="dxa"/>
            <w:gridSpan w:val="2"/>
            <w:tcBorders>
              <w:left w:val="single" w:color="000000" w:sz="6" w:space="0"/>
            </w:tcBorders>
            <w:vAlign w:val="top"/>
          </w:tcPr>
          <w:p>
            <w:pPr>
              <w:spacing w:before="108"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所属工作室</w:t>
            </w:r>
          </w:p>
        </w:tc>
        <w:tc>
          <w:tcPr>
            <w:tcW w:w="2657" w:type="dxa"/>
            <w:vAlign w:val="top"/>
          </w:tcPr>
          <w:p>
            <w:pPr>
              <w:rPr>
                <w:rFonts w:ascii="Malgun Gothic"/>
                <w:sz w:val="21"/>
              </w:rPr>
            </w:pPr>
          </w:p>
        </w:tc>
        <w:tc>
          <w:tcPr>
            <w:tcW w:w="1838" w:type="dxa"/>
            <w:vAlign w:val="top"/>
          </w:tcPr>
          <w:p>
            <w:pPr>
              <w:spacing w:before="110" w:line="180" w:lineRule="auto"/>
              <w:ind w:firstLine="2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指导老师团队</w:t>
            </w:r>
          </w:p>
        </w:tc>
        <w:tc>
          <w:tcPr>
            <w:tcW w:w="279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6" w:hRule="atLeast"/>
        </w:trPr>
        <w:tc>
          <w:tcPr>
            <w:tcW w:w="792" w:type="dxa"/>
            <w:tcBorders>
              <w:left w:val="single" w:color="000000" w:sz="6" w:space="0"/>
              <w:bottom w:val="nil"/>
            </w:tcBorders>
            <w:vAlign w:val="top"/>
          </w:tcPr>
          <w:p>
            <w:pPr>
              <w:rPr>
                <w:rFonts w:ascii="Malgun Gothic"/>
                <w:sz w:val="21"/>
              </w:rPr>
            </w:pPr>
          </w:p>
        </w:tc>
        <w:tc>
          <w:tcPr>
            <w:tcW w:w="7942" w:type="dxa"/>
            <w:gridSpan w:val="4"/>
            <w:tcBorders>
              <w:bottom w:val="nil"/>
              <w:right w:val="single" w:color="000000" w:sz="6" w:space="0"/>
            </w:tcBorders>
            <w:vAlign w:val="top"/>
          </w:tcPr>
          <w:p>
            <w:pPr>
              <w:spacing w:before="108" w:line="193"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14:textOutline w14:w="2663" w14:cap="flat" w14:cmpd="sng">
                  <w14:solidFill>
                    <w14:srgbClr w14:val="000000"/>
                  </w14:solidFill>
                  <w14:prstDash w14:val="solid"/>
                  <w14:miter w14:val="0"/>
                </w14:textOutline>
              </w:rPr>
              <w:t>本年度竞赛选拔、培训和组织计划（校级竞赛同时需提交该竞赛的实施方案或策划书）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9" w:hRule="atLeast"/>
        </w:trPr>
        <w:tc>
          <w:tcPr>
            <w:tcW w:w="792" w:type="dxa"/>
            <w:tcBorders>
              <w:top w:val="nil"/>
              <w:left w:val="single" w:color="000000" w:sz="6" w:space="0"/>
              <w:bottom w:val="single" w:color="000000" w:sz="6" w:space="0"/>
            </w:tcBorders>
            <w:vAlign w:val="top"/>
          </w:tcPr>
          <w:p>
            <w:pPr>
              <w:spacing w:line="274" w:lineRule="auto"/>
              <w:rPr>
                <w:rFonts w:ascii="Malgun Gothic"/>
                <w:sz w:val="21"/>
              </w:rPr>
            </w:pPr>
          </w:p>
          <w:p>
            <w:pPr>
              <w:spacing w:line="274" w:lineRule="auto"/>
              <w:rPr>
                <w:rFonts w:ascii="Malgun Gothic"/>
                <w:sz w:val="21"/>
              </w:rPr>
            </w:pPr>
          </w:p>
          <w:p>
            <w:pPr>
              <w:spacing w:line="275" w:lineRule="auto"/>
              <w:rPr>
                <w:rFonts w:ascii="Malgun Gothic"/>
                <w:sz w:val="21"/>
              </w:rPr>
            </w:pPr>
          </w:p>
          <w:p>
            <w:pPr>
              <w:spacing w:line="275" w:lineRule="auto"/>
              <w:rPr>
                <w:rFonts w:ascii="Malgun Gothic"/>
                <w:sz w:val="21"/>
              </w:rPr>
            </w:pPr>
          </w:p>
          <w:p>
            <w:pPr>
              <w:spacing w:line="275" w:lineRule="auto"/>
              <w:rPr>
                <w:rFonts w:ascii="Malgun Gothic"/>
                <w:sz w:val="21"/>
              </w:rPr>
            </w:pPr>
          </w:p>
          <w:p>
            <w:pPr>
              <w:spacing w:before="75" w:line="321" w:lineRule="exact"/>
              <w:ind w:firstLine="1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竞赛</w:t>
            </w:r>
          </w:p>
          <w:p>
            <w:pPr>
              <w:spacing w:line="204" w:lineRule="auto"/>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项目</w:t>
            </w:r>
          </w:p>
          <w:p>
            <w:pPr>
              <w:spacing w:before="54" w:line="180" w:lineRule="auto"/>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执行</w:t>
            </w:r>
          </w:p>
          <w:p>
            <w:pPr>
              <w:spacing w:before="88" w:line="180" w:lineRule="auto"/>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方案</w:t>
            </w:r>
          </w:p>
        </w:tc>
        <w:tc>
          <w:tcPr>
            <w:tcW w:w="7942" w:type="dxa"/>
            <w:gridSpan w:val="4"/>
            <w:tcBorders>
              <w:top w:val="nil"/>
              <w:bottom w:val="single" w:color="000000" w:sz="6" w:space="0"/>
              <w:right w:val="single" w:color="000000" w:sz="6" w:space="0"/>
            </w:tcBorders>
            <w:vAlign w:val="top"/>
          </w:tcPr>
          <w:p>
            <w:pPr>
              <w:rPr>
                <w:rFonts w:ascii="Malgun Gothic"/>
                <w:sz w:val="21"/>
              </w:rPr>
            </w:pPr>
          </w:p>
        </w:tc>
      </w:tr>
    </w:tbl>
    <w:p>
      <w:pPr>
        <w:rPr>
          <w:rFonts w:ascii="Malgun Gothic"/>
          <w:sz w:val="21"/>
        </w:rPr>
      </w:pPr>
    </w:p>
    <w:p>
      <w:pPr>
        <w:sectPr>
          <w:footerReference r:id="rId245" w:type="default"/>
          <w:pgSz w:w="11905" w:h="16840"/>
          <w:pgMar w:top="1431" w:right="1577" w:bottom="1158" w:left="1578" w:header="0" w:footer="1037"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2"/>
        <w:gridCol w:w="745"/>
        <w:gridCol w:w="91"/>
        <w:gridCol w:w="2518"/>
        <w:gridCol w:w="1342"/>
        <w:gridCol w:w="32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792" w:type="dxa"/>
            <w:vMerge w:val="restart"/>
            <w:tcBorders>
              <w:top w:val="single" w:color="000000" w:sz="6" w:space="0"/>
              <w:left w:val="single" w:color="000000" w:sz="6" w:space="0"/>
              <w:bottom w:val="nil"/>
            </w:tcBorders>
            <w:vAlign w:val="top"/>
          </w:tcPr>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75" w:line="312" w:lineRule="exact"/>
              <w:ind w:firstLine="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经费</w:t>
            </w:r>
          </w:p>
          <w:p>
            <w:pPr>
              <w:spacing w:line="204" w:lineRule="auto"/>
              <w:ind w:firstLine="18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预算</w:t>
            </w:r>
          </w:p>
          <w:p>
            <w:pPr>
              <w:spacing w:before="58" w:line="180" w:lineRule="auto"/>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方案</w:t>
            </w:r>
          </w:p>
        </w:tc>
        <w:tc>
          <w:tcPr>
            <w:tcW w:w="745" w:type="dxa"/>
            <w:tcBorders>
              <w:top w:val="single" w:color="000000" w:sz="6" w:space="0"/>
            </w:tcBorders>
            <w:vAlign w:val="top"/>
          </w:tcPr>
          <w:p>
            <w:pPr>
              <w:spacing w:before="94" w:line="180" w:lineRule="auto"/>
              <w:ind w:firstLine="15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序号</w:t>
            </w:r>
          </w:p>
        </w:tc>
        <w:tc>
          <w:tcPr>
            <w:tcW w:w="2609" w:type="dxa"/>
            <w:gridSpan w:val="2"/>
            <w:tcBorders>
              <w:top w:val="single" w:color="000000" w:sz="6" w:space="0"/>
            </w:tcBorders>
            <w:vAlign w:val="top"/>
          </w:tcPr>
          <w:p>
            <w:pPr>
              <w:spacing w:before="94" w:line="180" w:lineRule="auto"/>
              <w:ind w:firstLine="88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预算项目</w:t>
            </w:r>
          </w:p>
        </w:tc>
        <w:tc>
          <w:tcPr>
            <w:tcW w:w="1342" w:type="dxa"/>
            <w:tcBorders>
              <w:top w:val="single" w:color="000000" w:sz="6" w:space="0"/>
            </w:tcBorders>
            <w:vAlign w:val="top"/>
          </w:tcPr>
          <w:p>
            <w:pPr>
              <w:spacing w:before="94"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预算经费</w:t>
            </w:r>
          </w:p>
        </w:tc>
        <w:tc>
          <w:tcPr>
            <w:tcW w:w="3246" w:type="dxa"/>
            <w:tcBorders>
              <w:top w:val="single" w:color="000000" w:sz="6" w:space="0"/>
              <w:right w:val="single" w:color="000000" w:sz="6" w:space="0"/>
            </w:tcBorders>
            <w:vAlign w:val="top"/>
          </w:tcPr>
          <w:p>
            <w:pPr>
              <w:spacing w:before="95" w:line="180" w:lineRule="auto"/>
              <w:ind w:firstLine="12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用途说明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18"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609" w:type="dxa"/>
            <w:gridSpan w:val="2"/>
            <w:vAlign w:val="top"/>
          </w:tcPr>
          <w:p>
            <w:pPr>
              <w:spacing w:before="88" w:line="180" w:lineRule="auto"/>
              <w:ind w:firstLine="8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办公用品</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20" w:line="180" w:lineRule="auto"/>
              <w:ind w:firstLine="3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609" w:type="dxa"/>
            <w:gridSpan w:val="2"/>
            <w:vAlign w:val="top"/>
          </w:tcPr>
          <w:p>
            <w:pPr>
              <w:spacing w:before="90" w:line="180" w:lineRule="auto"/>
              <w:ind w:firstLine="9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交通费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21" w:line="180" w:lineRule="auto"/>
              <w:ind w:firstLine="3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609" w:type="dxa"/>
            <w:gridSpan w:val="2"/>
            <w:vAlign w:val="top"/>
          </w:tcPr>
          <w:p>
            <w:pPr>
              <w:spacing w:before="84" w:line="193" w:lineRule="auto"/>
              <w:ind w:firstLine="9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材料费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23"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609" w:type="dxa"/>
            <w:gridSpan w:val="2"/>
            <w:vAlign w:val="top"/>
          </w:tcPr>
          <w:p>
            <w:pPr>
              <w:spacing w:before="89" w:line="180" w:lineRule="auto"/>
              <w:ind w:firstLine="7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广告宣传费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22" w:line="180" w:lineRule="auto"/>
              <w:ind w:firstLine="3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609" w:type="dxa"/>
            <w:gridSpan w:val="2"/>
            <w:vAlign w:val="top"/>
          </w:tcPr>
          <w:p>
            <w:pPr>
              <w:spacing w:before="94" w:line="180" w:lineRule="auto"/>
              <w:ind w:firstLine="6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印刷、复印费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25" w:line="180" w:lineRule="auto"/>
              <w:ind w:firstLine="31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2609" w:type="dxa"/>
            <w:gridSpan w:val="2"/>
            <w:vAlign w:val="top"/>
          </w:tcPr>
          <w:p>
            <w:pPr>
              <w:spacing w:before="92" w:line="180" w:lineRule="auto"/>
              <w:ind w:firstLine="7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竞赛报名费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1" w:line="180" w:lineRule="auto"/>
              <w:ind w:firstLine="31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2609" w:type="dxa"/>
            <w:gridSpan w:val="2"/>
            <w:vAlign w:val="top"/>
          </w:tcPr>
          <w:p>
            <w:pPr>
              <w:spacing w:before="98" w:line="180" w:lineRule="auto"/>
              <w:ind w:firstLine="2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劳务费（指导、培训）</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0" w:line="180" w:lineRule="auto"/>
              <w:ind w:firstLine="31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609" w:type="dxa"/>
            <w:gridSpan w:val="2"/>
            <w:vAlign w:val="top"/>
          </w:tcPr>
          <w:p>
            <w:pPr>
              <w:spacing w:before="100" w:line="180" w:lineRule="auto"/>
              <w:ind w:firstLine="9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会务费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2" w:line="180" w:lineRule="auto"/>
              <w:ind w:firstLine="3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2609" w:type="dxa"/>
            <w:gridSpan w:val="2"/>
            <w:vAlign w:val="top"/>
          </w:tcPr>
          <w:p>
            <w:pPr>
              <w:spacing w:before="102" w:line="180" w:lineRule="auto"/>
              <w:ind w:firstLine="9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差旅费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289"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2609" w:type="dxa"/>
            <w:gridSpan w:val="2"/>
            <w:vAlign w:val="top"/>
          </w:tcPr>
          <w:p>
            <w:pPr>
              <w:spacing w:before="100" w:line="251" w:lineRule="auto"/>
              <w:ind w:left="1104" w:right="147" w:hanging="95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餐费（非校内学科竞赛期</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间）</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5"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2609" w:type="dxa"/>
            <w:gridSpan w:val="2"/>
            <w:vAlign w:val="top"/>
          </w:tcPr>
          <w:p>
            <w:pPr>
              <w:spacing w:before="102" w:line="180" w:lineRule="auto"/>
              <w:ind w:firstLine="58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图书报刊资料费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6"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12</w:t>
            </w:r>
          </w:p>
        </w:tc>
        <w:tc>
          <w:tcPr>
            <w:tcW w:w="2609" w:type="dxa"/>
            <w:gridSpan w:val="2"/>
            <w:vAlign w:val="top"/>
          </w:tcPr>
          <w:p>
            <w:pPr>
              <w:spacing w:before="102" w:line="180" w:lineRule="auto"/>
              <w:ind w:firstLine="7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信息咨询费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37"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13</w:t>
            </w:r>
          </w:p>
        </w:tc>
        <w:tc>
          <w:tcPr>
            <w:tcW w:w="2609" w:type="dxa"/>
            <w:gridSpan w:val="2"/>
            <w:vAlign w:val="top"/>
          </w:tcPr>
          <w:p>
            <w:pPr>
              <w:spacing w:before="105" w:line="180" w:lineRule="auto"/>
              <w:ind w:firstLine="9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租赁费</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92" w:type="dxa"/>
            <w:vMerge w:val="continue"/>
            <w:tcBorders>
              <w:top w:val="nil"/>
              <w:left w:val="single" w:color="000000" w:sz="6" w:space="0"/>
              <w:bottom w:val="nil"/>
            </w:tcBorders>
            <w:vAlign w:val="top"/>
          </w:tcPr>
          <w:p>
            <w:pPr>
              <w:rPr>
                <w:rFonts w:ascii="Malgun Gothic"/>
                <w:sz w:val="21"/>
              </w:rPr>
            </w:pPr>
          </w:p>
        </w:tc>
        <w:tc>
          <w:tcPr>
            <w:tcW w:w="745" w:type="dxa"/>
            <w:vAlign w:val="top"/>
          </w:tcPr>
          <w:p>
            <w:pPr>
              <w:spacing w:before="140"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14</w:t>
            </w:r>
          </w:p>
        </w:tc>
        <w:tc>
          <w:tcPr>
            <w:tcW w:w="2609" w:type="dxa"/>
            <w:gridSpan w:val="2"/>
            <w:vAlign w:val="top"/>
          </w:tcPr>
          <w:p>
            <w:pPr>
              <w:spacing w:before="106" w:line="180" w:lineRule="auto"/>
              <w:ind w:firstLine="10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其他</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792" w:type="dxa"/>
            <w:vMerge w:val="continue"/>
            <w:tcBorders>
              <w:top w:val="nil"/>
              <w:left w:val="single" w:color="000000" w:sz="6" w:space="0"/>
            </w:tcBorders>
            <w:vAlign w:val="top"/>
          </w:tcPr>
          <w:p>
            <w:pPr>
              <w:rPr>
                <w:rFonts w:ascii="Malgun Gothic"/>
                <w:sz w:val="21"/>
              </w:rPr>
            </w:pPr>
          </w:p>
        </w:tc>
        <w:tc>
          <w:tcPr>
            <w:tcW w:w="3354" w:type="dxa"/>
            <w:gridSpan w:val="3"/>
            <w:vAlign w:val="top"/>
          </w:tcPr>
          <w:p>
            <w:pPr>
              <w:spacing w:before="109" w:line="180" w:lineRule="auto"/>
              <w:ind w:firstLine="135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合</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计</w:t>
            </w:r>
          </w:p>
        </w:tc>
        <w:tc>
          <w:tcPr>
            <w:tcW w:w="1342" w:type="dxa"/>
            <w:vAlign w:val="top"/>
          </w:tcPr>
          <w:p>
            <w:pPr>
              <w:rPr>
                <w:rFonts w:ascii="Malgun Gothic"/>
                <w:sz w:val="21"/>
              </w:rPr>
            </w:pPr>
          </w:p>
        </w:tc>
        <w:tc>
          <w:tcPr>
            <w:tcW w:w="3246"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734" w:type="dxa"/>
            <w:gridSpan w:val="6"/>
            <w:tcBorders>
              <w:left w:val="single" w:color="000000" w:sz="6" w:space="0"/>
              <w:right w:val="single" w:color="000000" w:sz="6" w:space="0"/>
            </w:tcBorders>
            <w:vAlign w:val="top"/>
          </w:tcPr>
          <w:p>
            <w:pPr>
              <w:spacing w:before="102" w:line="207" w:lineRule="auto"/>
              <w:ind w:left="110" w:right="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注：</w:t>
            </w:r>
            <w:r>
              <w:rPr>
                <w:rFonts w:ascii="方正书宋简体" w:hAnsi="方正书宋简体" w:eastAsia="方正书宋简体" w:cs="方正书宋简体"/>
                <w:spacing w:val="18"/>
                <w:w w:val="101"/>
                <w:sz w:val="21"/>
                <w:szCs w:val="21"/>
              </w:rPr>
              <w:t xml:space="preserve">  </w:t>
            </w:r>
            <w:r>
              <w:rPr>
                <w:rFonts w:ascii="方正书宋简体" w:hAnsi="方正书宋简体" w:eastAsia="方正书宋简体" w:cs="方正书宋简体"/>
                <w:spacing w:val="-15"/>
                <w:sz w:val="21"/>
                <w:szCs w:val="21"/>
              </w:rPr>
              <w:t>项目预算以合理为原则，</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5"/>
                <w:sz w:val="21"/>
                <w:szCs w:val="21"/>
              </w:rPr>
              <w:t>严格控制办公用品费用，</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5"/>
                <w:sz w:val="21"/>
                <w:szCs w:val="21"/>
              </w:rPr>
              <w:t>预算项目可参考财务处报账的细目，</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5"/>
                <w:sz w:val="21"/>
                <w:szCs w:val="21"/>
              </w:rPr>
              <w:t>此</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预算将作为报账依据。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9" w:hRule="atLeast"/>
        </w:trPr>
        <w:tc>
          <w:tcPr>
            <w:tcW w:w="1628" w:type="dxa"/>
            <w:gridSpan w:val="3"/>
            <w:tcBorders>
              <w:left w:val="single" w:color="000000" w:sz="6" w:space="0"/>
            </w:tcBorders>
            <w:vAlign w:val="top"/>
          </w:tcPr>
          <w:p>
            <w:pPr>
              <w:spacing w:line="260" w:lineRule="auto"/>
              <w:rPr>
                <w:rFonts w:ascii="Malgun Gothic"/>
                <w:sz w:val="21"/>
              </w:rPr>
            </w:pPr>
          </w:p>
          <w:p>
            <w:pPr>
              <w:spacing w:before="75" w:line="360" w:lineRule="exact"/>
              <w:ind w:firstLine="3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学院审核</w:t>
            </w:r>
          </w:p>
          <w:p>
            <w:pPr>
              <w:spacing w:before="1" w:line="204" w:lineRule="auto"/>
              <w:ind w:firstLine="60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意见</w:t>
            </w:r>
          </w:p>
        </w:tc>
        <w:tc>
          <w:tcPr>
            <w:tcW w:w="7106" w:type="dxa"/>
            <w:gridSpan w:val="3"/>
            <w:tcBorders>
              <w:right w:val="single" w:color="000000" w:sz="6" w:space="0"/>
            </w:tcBorders>
            <w:vAlign w:val="top"/>
          </w:tcPr>
          <w:p>
            <w:pPr>
              <w:spacing w:line="244" w:lineRule="auto"/>
              <w:rPr>
                <w:rFonts w:ascii="Malgun Gothic"/>
                <w:sz w:val="21"/>
              </w:rPr>
            </w:pPr>
          </w:p>
          <w:p>
            <w:pPr>
              <w:spacing w:line="244" w:lineRule="auto"/>
              <w:rPr>
                <w:rFonts w:ascii="Malgun Gothic"/>
                <w:sz w:val="21"/>
              </w:rPr>
            </w:pPr>
          </w:p>
          <w:p>
            <w:pPr>
              <w:spacing w:line="245" w:lineRule="auto"/>
              <w:rPr>
                <w:rFonts w:ascii="Malgun Gothic"/>
                <w:sz w:val="21"/>
              </w:rPr>
            </w:pPr>
          </w:p>
          <w:p>
            <w:pPr>
              <w:spacing w:before="75" w:line="193" w:lineRule="auto"/>
              <w:ind w:firstLine="1086"/>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负责人</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7"/>
                <w:sz w:val="21"/>
                <w:szCs w:val="21"/>
              </w:rPr>
              <w:t>（公章）</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7"/>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7"/>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8" w:hRule="atLeast"/>
        </w:trPr>
        <w:tc>
          <w:tcPr>
            <w:tcW w:w="1628" w:type="dxa"/>
            <w:gridSpan w:val="3"/>
            <w:tcBorders>
              <w:left w:val="single" w:color="000000" w:sz="6" w:space="0"/>
              <w:bottom w:val="nil"/>
            </w:tcBorders>
            <w:vAlign w:val="top"/>
          </w:tcPr>
          <w:p>
            <w:pPr>
              <w:rPr>
                <w:rFonts w:ascii="Malgun Gothic"/>
                <w:sz w:val="21"/>
              </w:rPr>
            </w:pPr>
          </w:p>
        </w:tc>
        <w:tc>
          <w:tcPr>
            <w:tcW w:w="7106" w:type="dxa"/>
            <w:gridSpan w:val="3"/>
            <w:tcBorders>
              <w:bottom w:val="nil"/>
              <w:right w:val="single" w:color="000000" w:sz="6" w:space="0"/>
            </w:tcBorders>
            <w:vAlign w:val="top"/>
          </w:tcPr>
          <w:p>
            <w:pPr>
              <w:spacing w:before="106" w:line="180" w:lineRule="auto"/>
              <w:ind w:firstLine="2920"/>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实践科意见：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1628" w:type="dxa"/>
            <w:gridSpan w:val="3"/>
            <w:vMerge w:val="restart"/>
            <w:tcBorders>
              <w:top w:val="nil"/>
              <w:left w:val="single" w:color="000000" w:sz="6" w:space="0"/>
              <w:bottom w:val="nil"/>
            </w:tcBorders>
            <w:vAlign w:val="top"/>
          </w:tcPr>
          <w:p>
            <w:pPr>
              <w:spacing w:line="405" w:lineRule="auto"/>
              <w:rPr>
                <w:rFonts w:ascii="Malgun Gothic"/>
                <w:sz w:val="21"/>
              </w:rPr>
            </w:pPr>
          </w:p>
          <w:p>
            <w:pPr>
              <w:spacing w:before="75" w:line="360" w:lineRule="exact"/>
              <w:ind w:firstLine="4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教务处</w:t>
            </w:r>
          </w:p>
          <w:p>
            <w:pPr>
              <w:spacing w:before="1" w:line="204" w:lineRule="auto"/>
              <w:ind w:firstLine="60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意见</w:t>
            </w:r>
          </w:p>
        </w:tc>
        <w:tc>
          <w:tcPr>
            <w:tcW w:w="7106" w:type="dxa"/>
            <w:gridSpan w:val="3"/>
            <w:tcBorders>
              <w:top w:val="nil"/>
              <w:right w:val="single" w:color="000000" w:sz="6" w:space="0"/>
            </w:tcBorders>
            <w:vAlign w:val="top"/>
          </w:tcPr>
          <w:p>
            <w:pPr>
              <w:spacing w:line="269" w:lineRule="auto"/>
              <w:rPr>
                <w:rFonts w:ascii="Malgun Gothic"/>
                <w:sz w:val="21"/>
              </w:rPr>
            </w:pPr>
          </w:p>
          <w:p>
            <w:pPr>
              <w:spacing w:before="75" w:line="180" w:lineRule="auto"/>
              <w:ind w:firstLine="449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1628" w:type="dxa"/>
            <w:gridSpan w:val="3"/>
            <w:vMerge w:val="continue"/>
            <w:tcBorders>
              <w:top w:val="nil"/>
              <w:left w:val="single" w:color="000000" w:sz="6" w:space="0"/>
              <w:bottom w:val="nil"/>
            </w:tcBorders>
            <w:vAlign w:val="top"/>
          </w:tcPr>
          <w:p>
            <w:pPr>
              <w:rPr>
                <w:rFonts w:ascii="Malgun Gothic"/>
                <w:sz w:val="21"/>
              </w:rPr>
            </w:pPr>
          </w:p>
        </w:tc>
        <w:tc>
          <w:tcPr>
            <w:tcW w:w="7106" w:type="dxa"/>
            <w:gridSpan w:val="3"/>
            <w:tcBorders>
              <w:bottom w:val="nil"/>
              <w:right w:val="single" w:color="000000" w:sz="6" w:space="0"/>
            </w:tcBorders>
            <w:vAlign w:val="top"/>
          </w:tcPr>
          <w:p>
            <w:pPr>
              <w:spacing w:before="105" w:line="180" w:lineRule="auto"/>
              <w:ind w:firstLine="282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主管领导意见：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8" w:hRule="atLeast"/>
        </w:trPr>
        <w:tc>
          <w:tcPr>
            <w:tcW w:w="1628" w:type="dxa"/>
            <w:gridSpan w:val="3"/>
            <w:tcBorders>
              <w:top w:val="nil"/>
              <w:left w:val="single" w:color="000000" w:sz="6" w:space="0"/>
              <w:bottom w:val="single" w:color="000000" w:sz="6" w:space="0"/>
            </w:tcBorders>
            <w:vAlign w:val="top"/>
          </w:tcPr>
          <w:p>
            <w:pPr>
              <w:rPr>
                <w:rFonts w:ascii="Malgun Gothic"/>
                <w:sz w:val="21"/>
              </w:rPr>
            </w:pPr>
          </w:p>
        </w:tc>
        <w:tc>
          <w:tcPr>
            <w:tcW w:w="7106" w:type="dxa"/>
            <w:gridSpan w:val="3"/>
            <w:tcBorders>
              <w:top w:val="nil"/>
              <w:bottom w:val="single" w:color="000000" w:sz="6" w:space="0"/>
              <w:right w:val="single" w:color="000000" w:sz="6" w:space="0"/>
            </w:tcBorders>
            <w:vAlign w:val="top"/>
          </w:tcPr>
          <w:p>
            <w:pPr>
              <w:spacing w:line="323" w:lineRule="auto"/>
              <w:rPr>
                <w:rFonts w:ascii="Malgun Gothic"/>
                <w:sz w:val="21"/>
              </w:rPr>
            </w:pPr>
          </w:p>
          <w:p>
            <w:pPr>
              <w:spacing w:before="76" w:line="180" w:lineRule="auto"/>
              <w:ind w:firstLine="271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bl>
    <w:p>
      <w:pPr>
        <w:spacing w:before="160" w:line="180" w:lineRule="auto"/>
        <w:ind w:firstLine="1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注：本表签字完成后交实践科复印件一份存档</w:t>
      </w:r>
    </w:p>
    <w:p>
      <w:pPr>
        <w:sectPr>
          <w:footerReference r:id="rId246" w:type="default"/>
          <w:pgSz w:w="11905" w:h="16840"/>
          <w:pgMar w:top="1431" w:right="1577" w:bottom="1158" w:left="1578" w:header="0" w:footer="1037" w:gutter="0"/>
          <w:cols w:space="720" w:num="1"/>
        </w:sectPr>
      </w:pPr>
    </w:p>
    <w:p>
      <w:pPr>
        <w:spacing w:before="423" w:line="193"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附件</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14:textOutline w14:w="3048" w14:cap="flat" w14:cmpd="sng">
            <w14:solidFill>
              <w14:srgbClr w14:val="000000"/>
            </w14:solidFill>
            <w14:prstDash w14:val="solid"/>
            <w14:miter w14:val="1"/>
          </w14:textOutline>
        </w:rPr>
        <w:t>吉首大学大学生学科竞赛总结报告</w:t>
      </w:r>
    </w:p>
    <w:p>
      <w:pPr>
        <w:spacing w:line="21"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1"/>
        <w:gridCol w:w="703"/>
        <w:gridCol w:w="123"/>
        <w:gridCol w:w="2660"/>
        <w:gridCol w:w="250"/>
        <w:gridCol w:w="1188"/>
        <w:gridCol w:w="238"/>
        <w:gridCol w:w="27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494" w:type="dxa"/>
            <w:gridSpan w:val="2"/>
            <w:tcBorders>
              <w:top w:val="single" w:color="000000" w:sz="6" w:space="0"/>
              <w:left w:val="single" w:color="000000" w:sz="6" w:space="0"/>
            </w:tcBorders>
            <w:vAlign w:val="top"/>
          </w:tcPr>
          <w:p>
            <w:pPr>
              <w:spacing w:before="55" w:line="180" w:lineRule="auto"/>
              <w:ind w:firstLine="3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竞赛名称</w:t>
            </w:r>
          </w:p>
        </w:tc>
        <w:tc>
          <w:tcPr>
            <w:tcW w:w="7240" w:type="dxa"/>
            <w:gridSpan w:val="6"/>
            <w:tcBorders>
              <w:top w:val="single" w:color="000000" w:sz="6" w:space="0"/>
              <w:right w:val="single" w:color="000000" w:sz="6" w:space="0"/>
            </w:tcBorders>
            <w:vAlign w:val="top"/>
          </w:tcPr>
          <w:p>
            <w:pPr>
              <w:spacing w:line="353"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494" w:type="dxa"/>
            <w:gridSpan w:val="2"/>
            <w:tcBorders>
              <w:left w:val="single" w:color="000000" w:sz="6" w:space="0"/>
            </w:tcBorders>
            <w:vAlign w:val="top"/>
          </w:tcPr>
          <w:p>
            <w:pPr>
              <w:spacing w:before="47" w:line="180" w:lineRule="auto"/>
              <w:ind w:firstLine="32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主办单位</w:t>
            </w:r>
          </w:p>
        </w:tc>
        <w:tc>
          <w:tcPr>
            <w:tcW w:w="2783" w:type="dxa"/>
            <w:gridSpan w:val="2"/>
            <w:vAlign w:val="top"/>
          </w:tcPr>
          <w:p>
            <w:pPr>
              <w:spacing w:line="340" w:lineRule="exact"/>
              <w:rPr>
                <w:rFonts w:ascii="Malgun Gothic"/>
                <w:sz w:val="20"/>
              </w:rPr>
            </w:pPr>
          </w:p>
        </w:tc>
        <w:tc>
          <w:tcPr>
            <w:tcW w:w="1676" w:type="dxa"/>
            <w:gridSpan w:val="3"/>
            <w:vAlign w:val="top"/>
          </w:tcPr>
          <w:p>
            <w:pPr>
              <w:spacing w:before="44" w:line="180" w:lineRule="auto"/>
              <w:ind w:firstLine="4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竞赛级别</w:t>
            </w:r>
          </w:p>
        </w:tc>
        <w:tc>
          <w:tcPr>
            <w:tcW w:w="2781" w:type="dxa"/>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494" w:type="dxa"/>
            <w:gridSpan w:val="2"/>
            <w:tcBorders>
              <w:left w:val="single" w:color="000000" w:sz="6" w:space="0"/>
            </w:tcBorders>
            <w:vAlign w:val="top"/>
          </w:tcPr>
          <w:p>
            <w:pPr>
              <w:spacing w:before="47" w:line="180" w:lineRule="auto"/>
              <w:ind w:firstLine="3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参赛专业</w:t>
            </w:r>
          </w:p>
        </w:tc>
        <w:tc>
          <w:tcPr>
            <w:tcW w:w="2783" w:type="dxa"/>
            <w:gridSpan w:val="2"/>
            <w:vAlign w:val="top"/>
          </w:tcPr>
          <w:p>
            <w:pPr>
              <w:spacing w:line="340" w:lineRule="exact"/>
              <w:rPr>
                <w:rFonts w:ascii="Malgun Gothic"/>
                <w:sz w:val="20"/>
              </w:rPr>
            </w:pPr>
          </w:p>
        </w:tc>
        <w:tc>
          <w:tcPr>
            <w:tcW w:w="1676" w:type="dxa"/>
            <w:gridSpan w:val="3"/>
            <w:vAlign w:val="top"/>
          </w:tcPr>
          <w:p>
            <w:pPr>
              <w:spacing w:before="46" w:line="180" w:lineRule="auto"/>
              <w:ind w:firstLine="4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参赛人数</w:t>
            </w:r>
          </w:p>
        </w:tc>
        <w:tc>
          <w:tcPr>
            <w:tcW w:w="2781" w:type="dxa"/>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4" w:type="dxa"/>
            <w:gridSpan w:val="2"/>
            <w:tcBorders>
              <w:left w:val="single" w:color="000000" w:sz="6" w:space="0"/>
            </w:tcBorders>
            <w:vAlign w:val="top"/>
          </w:tcPr>
          <w:p>
            <w:pPr>
              <w:spacing w:before="48" w:line="180" w:lineRule="auto"/>
              <w:ind w:firstLine="3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竞赛时间</w:t>
            </w:r>
          </w:p>
        </w:tc>
        <w:tc>
          <w:tcPr>
            <w:tcW w:w="2783" w:type="dxa"/>
            <w:gridSpan w:val="2"/>
            <w:vAlign w:val="top"/>
          </w:tcPr>
          <w:p>
            <w:pPr>
              <w:spacing w:line="340" w:lineRule="exact"/>
              <w:rPr>
                <w:rFonts w:ascii="Malgun Gothic"/>
                <w:sz w:val="20"/>
              </w:rPr>
            </w:pPr>
          </w:p>
        </w:tc>
        <w:tc>
          <w:tcPr>
            <w:tcW w:w="1676" w:type="dxa"/>
            <w:gridSpan w:val="3"/>
            <w:vAlign w:val="top"/>
          </w:tcPr>
          <w:p>
            <w:pPr>
              <w:spacing w:before="45" w:line="193" w:lineRule="auto"/>
              <w:ind w:firstLine="4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竞赛地点</w:t>
            </w:r>
          </w:p>
        </w:tc>
        <w:tc>
          <w:tcPr>
            <w:tcW w:w="2781" w:type="dxa"/>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494" w:type="dxa"/>
            <w:gridSpan w:val="2"/>
            <w:tcBorders>
              <w:left w:val="single" w:color="000000" w:sz="6" w:space="0"/>
            </w:tcBorders>
            <w:vAlign w:val="top"/>
          </w:tcPr>
          <w:p>
            <w:pPr>
              <w:spacing w:before="51"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项目负责人</w:t>
            </w:r>
          </w:p>
        </w:tc>
        <w:tc>
          <w:tcPr>
            <w:tcW w:w="2783" w:type="dxa"/>
            <w:gridSpan w:val="2"/>
            <w:vAlign w:val="top"/>
          </w:tcPr>
          <w:p>
            <w:pPr>
              <w:spacing w:line="340" w:lineRule="exact"/>
              <w:rPr>
                <w:rFonts w:ascii="Malgun Gothic"/>
                <w:sz w:val="20"/>
              </w:rPr>
            </w:pPr>
          </w:p>
        </w:tc>
        <w:tc>
          <w:tcPr>
            <w:tcW w:w="1676" w:type="dxa"/>
            <w:gridSpan w:val="3"/>
            <w:vAlign w:val="top"/>
          </w:tcPr>
          <w:p>
            <w:pPr>
              <w:spacing w:before="55" w:line="180" w:lineRule="auto"/>
              <w:ind w:firstLine="4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联系电话</w:t>
            </w:r>
          </w:p>
        </w:tc>
        <w:tc>
          <w:tcPr>
            <w:tcW w:w="2781" w:type="dxa"/>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94" w:type="dxa"/>
            <w:gridSpan w:val="2"/>
            <w:tcBorders>
              <w:left w:val="single" w:color="000000" w:sz="6" w:space="0"/>
            </w:tcBorders>
            <w:vAlign w:val="top"/>
          </w:tcPr>
          <w:p>
            <w:pPr>
              <w:spacing w:before="54"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所属工作室</w:t>
            </w:r>
          </w:p>
        </w:tc>
        <w:tc>
          <w:tcPr>
            <w:tcW w:w="2783" w:type="dxa"/>
            <w:gridSpan w:val="2"/>
            <w:vAlign w:val="top"/>
          </w:tcPr>
          <w:p>
            <w:pPr>
              <w:spacing w:line="340" w:lineRule="exact"/>
              <w:rPr>
                <w:rFonts w:ascii="Malgun Gothic"/>
                <w:sz w:val="20"/>
              </w:rPr>
            </w:pPr>
          </w:p>
        </w:tc>
        <w:tc>
          <w:tcPr>
            <w:tcW w:w="1676" w:type="dxa"/>
            <w:gridSpan w:val="3"/>
            <w:vAlign w:val="top"/>
          </w:tcPr>
          <w:p>
            <w:pPr>
              <w:spacing w:before="56" w:line="180" w:lineRule="auto"/>
              <w:ind w:firstLine="2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指导老师团队</w:t>
            </w:r>
          </w:p>
        </w:tc>
        <w:tc>
          <w:tcPr>
            <w:tcW w:w="2781" w:type="dxa"/>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7" w:hRule="atLeast"/>
        </w:trPr>
        <w:tc>
          <w:tcPr>
            <w:tcW w:w="791" w:type="dxa"/>
            <w:tcBorders>
              <w:left w:val="single" w:color="000000" w:sz="6" w:space="0"/>
            </w:tcBorders>
            <w:vAlign w:val="top"/>
          </w:tcPr>
          <w:p>
            <w:pPr>
              <w:spacing w:line="317" w:lineRule="auto"/>
              <w:rPr>
                <w:rFonts w:ascii="Malgun Gothic"/>
                <w:sz w:val="21"/>
              </w:rPr>
            </w:pPr>
          </w:p>
          <w:p>
            <w:pPr>
              <w:spacing w:before="75" w:line="316" w:lineRule="exact"/>
              <w:ind w:firstLine="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执行</w:t>
            </w:r>
          </w:p>
          <w:p>
            <w:pPr>
              <w:spacing w:line="204" w:lineRule="auto"/>
              <w:ind w:firstLine="1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情况</w:t>
            </w:r>
          </w:p>
          <w:p>
            <w:pPr>
              <w:spacing w:before="57"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总结</w:t>
            </w:r>
          </w:p>
        </w:tc>
        <w:tc>
          <w:tcPr>
            <w:tcW w:w="7943" w:type="dxa"/>
            <w:gridSpan w:val="7"/>
            <w:tcBorders>
              <w:right w:val="single" w:color="000000" w:sz="6" w:space="0"/>
            </w:tcBorders>
            <w:vAlign w:val="top"/>
          </w:tcPr>
          <w:p>
            <w:pPr>
              <w:spacing w:before="50" w:line="193" w:lineRule="auto"/>
              <w:ind w:firstLine="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14:textOutline w14:w="2661" w14:cap="flat" w14:cmpd="sng">
                  <w14:solidFill>
                    <w14:srgbClr w14:val="000000"/>
                  </w14:solidFill>
                  <w14:prstDash w14:val="solid"/>
                  <w14:miter w14:val="0"/>
                </w14:textOutline>
              </w:rPr>
              <w:t>竞赛组织情况总结（包括选拔、培训、参赛等组织情况的总结，</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13"/>
                <w:sz w:val="21"/>
                <w:szCs w:val="21"/>
                <w14:textOutline w14:w="2661" w14:cap="flat" w14:cmpd="sng">
                  <w14:solidFill>
                    <w14:srgbClr w14:val="000000"/>
                  </w14:solidFill>
                  <w14:prstDash w14:val="solid"/>
                  <w14:miter w14:val="0"/>
                </w14:textOutline>
              </w:rPr>
              <w:t>可另附图片等其他资料）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restart"/>
            <w:tcBorders>
              <w:left w:val="single" w:color="000000" w:sz="6" w:space="0"/>
              <w:bottom w:val="nil"/>
            </w:tcBorders>
            <w:vAlign w:val="top"/>
          </w:tcPr>
          <w:p>
            <w:pPr>
              <w:spacing w:line="281" w:lineRule="auto"/>
              <w:rPr>
                <w:rFonts w:ascii="Malgun Gothic"/>
                <w:sz w:val="21"/>
              </w:rPr>
            </w:pPr>
          </w:p>
          <w:p>
            <w:pPr>
              <w:spacing w:line="281"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before="75" w:line="310" w:lineRule="exact"/>
              <w:ind w:firstLine="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经费</w:t>
            </w:r>
          </w:p>
          <w:p>
            <w:pPr>
              <w:spacing w:before="1" w:line="204" w:lineRule="auto"/>
              <w:ind w:firstLine="1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使用</w:t>
            </w:r>
          </w:p>
          <w:p>
            <w:pPr>
              <w:spacing w:before="59" w:line="180" w:lineRule="auto"/>
              <w:ind w:firstLine="1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情况</w:t>
            </w:r>
          </w:p>
          <w:p>
            <w:pPr>
              <w:spacing w:before="88"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总结</w:t>
            </w:r>
          </w:p>
        </w:tc>
        <w:tc>
          <w:tcPr>
            <w:tcW w:w="703" w:type="dxa"/>
            <w:vAlign w:val="top"/>
          </w:tcPr>
          <w:p>
            <w:pPr>
              <w:spacing w:before="38" w:line="180" w:lineRule="auto"/>
              <w:ind w:firstLine="13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序号</w:t>
            </w:r>
          </w:p>
        </w:tc>
        <w:tc>
          <w:tcPr>
            <w:tcW w:w="3033" w:type="dxa"/>
            <w:gridSpan w:val="3"/>
            <w:vAlign w:val="top"/>
          </w:tcPr>
          <w:p>
            <w:pPr>
              <w:spacing w:before="40" w:line="180" w:lineRule="auto"/>
              <w:ind w:firstLine="10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支出项目</w:t>
            </w:r>
          </w:p>
        </w:tc>
        <w:tc>
          <w:tcPr>
            <w:tcW w:w="1188" w:type="dxa"/>
            <w:vAlign w:val="top"/>
          </w:tcPr>
          <w:p>
            <w:pPr>
              <w:spacing w:before="39" w:line="180" w:lineRule="auto"/>
              <w:ind w:firstLine="17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支出经费</w:t>
            </w:r>
          </w:p>
        </w:tc>
        <w:tc>
          <w:tcPr>
            <w:tcW w:w="3019" w:type="dxa"/>
            <w:gridSpan w:val="2"/>
            <w:tcBorders>
              <w:right w:val="single" w:color="000000" w:sz="6" w:space="0"/>
            </w:tcBorders>
            <w:vAlign w:val="top"/>
          </w:tcPr>
          <w:p>
            <w:pPr>
              <w:spacing w:before="43" w:line="180" w:lineRule="auto"/>
              <w:ind w:firstLine="1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用途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73" w:line="180" w:lineRule="auto"/>
              <w:ind w:firstLine="31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3033" w:type="dxa"/>
            <w:gridSpan w:val="3"/>
            <w:vAlign w:val="top"/>
          </w:tcPr>
          <w:p>
            <w:pPr>
              <w:spacing w:before="44" w:line="180" w:lineRule="auto"/>
              <w:ind w:firstLine="10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办公用品</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75"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3033" w:type="dxa"/>
            <w:gridSpan w:val="3"/>
            <w:vAlign w:val="top"/>
          </w:tcPr>
          <w:p>
            <w:pPr>
              <w:spacing w:before="45" w:line="180" w:lineRule="auto"/>
              <w:ind w:firstLine="11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交通费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76"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3033" w:type="dxa"/>
            <w:gridSpan w:val="3"/>
            <w:vAlign w:val="top"/>
          </w:tcPr>
          <w:p>
            <w:pPr>
              <w:spacing w:before="39" w:line="193" w:lineRule="auto"/>
              <w:ind w:firstLine="11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材料费</w:t>
            </w:r>
          </w:p>
        </w:tc>
        <w:tc>
          <w:tcPr>
            <w:tcW w:w="1188" w:type="dxa"/>
            <w:vAlign w:val="top"/>
          </w:tcPr>
          <w:p>
            <w:pPr>
              <w:spacing w:line="339" w:lineRule="exact"/>
              <w:rPr>
                <w:rFonts w:ascii="Malgun Gothic"/>
                <w:sz w:val="20"/>
              </w:rPr>
            </w:pPr>
          </w:p>
        </w:tc>
        <w:tc>
          <w:tcPr>
            <w:tcW w:w="3019" w:type="dxa"/>
            <w:gridSpan w:val="2"/>
            <w:tcBorders>
              <w:right w:val="single" w:color="000000" w:sz="6" w:space="0"/>
            </w:tcBorders>
            <w:vAlign w:val="top"/>
          </w:tcPr>
          <w:p>
            <w:pPr>
              <w:spacing w:line="339"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80" w:line="180" w:lineRule="auto"/>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3033" w:type="dxa"/>
            <w:gridSpan w:val="3"/>
            <w:vAlign w:val="top"/>
          </w:tcPr>
          <w:p>
            <w:pPr>
              <w:spacing w:before="46" w:line="180" w:lineRule="auto"/>
              <w:ind w:firstLine="9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广告宣传费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78"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3033" w:type="dxa"/>
            <w:gridSpan w:val="3"/>
            <w:vAlign w:val="top"/>
          </w:tcPr>
          <w:p>
            <w:pPr>
              <w:spacing w:before="50" w:line="180" w:lineRule="auto"/>
              <w:ind w:firstLine="89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印刷、复印费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81" w:line="180" w:lineRule="auto"/>
              <w:ind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3033" w:type="dxa"/>
            <w:gridSpan w:val="3"/>
            <w:vAlign w:val="top"/>
          </w:tcPr>
          <w:p>
            <w:pPr>
              <w:spacing w:before="48" w:line="180" w:lineRule="auto"/>
              <w:ind w:firstLine="9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竞赛报名费</w:t>
            </w:r>
          </w:p>
        </w:tc>
        <w:tc>
          <w:tcPr>
            <w:tcW w:w="1188" w:type="dxa"/>
            <w:vAlign w:val="top"/>
          </w:tcPr>
          <w:p>
            <w:pPr>
              <w:spacing w:line="339" w:lineRule="exact"/>
              <w:rPr>
                <w:rFonts w:ascii="Malgun Gothic"/>
                <w:sz w:val="20"/>
              </w:rPr>
            </w:pPr>
          </w:p>
        </w:tc>
        <w:tc>
          <w:tcPr>
            <w:tcW w:w="3019" w:type="dxa"/>
            <w:gridSpan w:val="2"/>
            <w:tcBorders>
              <w:right w:val="single" w:color="000000" w:sz="6" w:space="0"/>
            </w:tcBorders>
            <w:vAlign w:val="top"/>
          </w:tcPr>
          <w:p>
            <w:pPr>
              <w:spacing w:line="339"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88" w:line="180" w:lineRule="auto"/>
              <w:ind w:firstLine="29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3033" w:type="dxa"/>
            <w:gridSpan w:val="3"/>
            <w:vAlign w:val="top"/>
          </w:tcPr>
          <w:p>
            <w:pPr>
              <w:spacing w:before="56" w:line="180" w:lineRule="auto"/>
              <w:ind w:firstLine="4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劳务费（指导、培训）</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87" w:line="180" w:lineRule="auto"/>
              <w:ind w:firstLine="29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3033" w:type="dxa"/>
            <w:gridSpan w:val="3"/>
            <w:vAlign w:val="top"/>
          </w:tcPr>
          <w:p>
            <w:pPr>
              <w:spacing w:before="57" w:line="180" w:lineRule="auto"/>
              <w:ind w:firstLine="1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会务费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89"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3033" w:type="dxa"/>
            <w:gridSpan w:val="3"/>
            <w:vAlign w:val="top"/>
          </w:tcPr>
          <w:p>
            <w:pPr>
              <w:spacing w:before="59" w:line="180" w:lineRule="auto"/>
              <w:ind w:firstLine="11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差旅费</w:t>
            </w:r>
          </w:p>
        </w:tc>
        <w:tc>
          <w:tcPr>
            <w:tcW w:w="1188" w:type="dxa"/>
            <w:vAlign w:val="top"/>
          </w:tcPr>
          <w:p>
            <w:pPr>
              <w:spacing w:line="339" w:lineRule="exact"/>
              <w:rPr>
                <w:rFonts w:ascii="Malgun Gothic"/>
                <w:sz w:val="20"/>
              </w:rPr>
            </w:pPr>
          </w:p>
        </w:tc>
        <w:tc>
          <w:tcPr>
            <w:tcW w:w="3019" w:type="dxa"/>
            <w:gridSpan w:val="2"/>
            <w:tcBorders>
              <w:right w:val="single" w:color="000000" w:sz="6" w:space="0"/>
            </w:tcBorders>
            <w:vAlign w:val="top"/>
          </w:tcPr>
          <w:p>
            <w:pPr>
              <w:spacing w:line="339"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91" w:line="180"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3033" w:type="dxa"/>
            <w:gridSpan w:val="3"/>
            <w:vAlign w:val="top"/>
          </w:tcPr>
          <w:p>
            <w:pPr>
              <w:spacing w:before="57" w:line="180" w:lineRule="auto"/>
              <w:ind w:firstLine="14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餐费（非校内学科竞赛期间）</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94" w:line="180"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3033" w:type="dxa"/>
            <w:gridSpan w:val="3"/>
            <w:vAlign w:val="top"/>
          </w:tcPr>
          <w:p>
            <w:pPr>
              <w:spacing w:before="61" w:line="180" w:lineRule="auto"/>
              <w:ind w:firstLine="79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图书报刊资料费</w:t>
            </w:r>
          </w:p>
        </w:tc>
        <w:tc>
          <w:tcPr>
            <w:tcW w:w="1188" w:type="dxa"/>
            <w:vAlign w:val="top"/>
          </w:tcPr>
          <w:p>
            <w:pPr>
              <w:spacing w:line="339" w:lineRule="exact"/>
              <w:rPr>
                <w:rFonts w:ascii="Malgun Gothic"/>
                <w:sz w:val="20"/>
              </w:rPr>
            </w:pPr>
          </w:p>
        </w:tc>
        <w:tc>
          <w:tcPr>
            <w:tcW w:w="3019" w:type="dxa"/>
            <w:gridSpan w:val="2"/>
            <w:tcBorders>
              <w:right w:val="single" w:color="000000" w:sz="6" w:space="0"/>
            </w:tcBorders>
            <w:vAlign w:val="top"/>
          </w:tcPr>
          <w:p>
            <w:pPr>
              <w:spacing w:line="339"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96" w:line="180"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12</w:t>
            </w:r>
          </w:p>
        </w:tc>
        <w:tc>
          <w:tcPr>
            <w:tcW w:w="3033" w:type="dxa"/>
            <w:gridSpan w:val="3"/>
            <w:vAlign w:val="top"/>
          </w:tcPr>
          <w:p>
            <w:pPr>
              <w:spacing w:before="62" w:line="180" w:lineRule="auto"/>
              <w:ind w:firstLine="9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信息咨询费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97" w:line="180"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13</w:t>
            </w:r>
          </w:p>
        </w:tc>
        <w:tc>
          <w:tcPr>
            <w:tcW w:w="3033" w:type="dxa"/>
            <w:gridSpan w:val="3"/>
            <w:vAlign w:val="top"/>
          </w:tcPr>
          <w:p>
            <w:pPr>
              <w:spacing w:before="65" w:line="180" w:lineRule="auto"/>
              <w:ind w:firstLine="12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租赁费</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91" w:type="dxa"/>
            <w:vMerge w:val="continue"/>
            <w:tcBorders>
              <w:top w:val="nil"/>
              <w:left w:val="single" w:color="000000" w:sz="6" w:space="0"/>
              <w:bottom w:val="nil"/>
            </w:tcBorders>
            <w:vAlign w:val="top"/>
          </w:tcPr>
          <w:p>
            <w:pPr>
              <w:rPr>
                <w:rFonts w:ascii="Malgun Gothic"/>
                <w:sz w:val="21"/>
              </w:rPr>
            </w:pPr>
          </w:p>
        </w:tc>
        <w:tc>
          <w:tcPr>
            <w:tcW w:w="703" w:type="dxa"/>
            <w:vAlign w:val="top"/>
          </w:tcPr>
          <w:p>
            <w:pPr>
              <w:spacing w:before="100" w:line="180" w:lineRule="auto"/>
              <w:ind w:firstLine="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14</w:t>
            </w:r>
          </w:p>
        </w:tc>
        <w:tc>
          <w:tcPr>
            <w:tcW w:w="3033" w:type="dxa"/>
            <w:gridSpan w:val="3"/>
            <w:vAlign w:val="top"/>
          </w:tcPr>
          <w:p>
            <w:pPr>
              <w:spacing w:before="66" w:line="180" w:lineRule="auto"/>
              <w:ind w:firstLine="13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其他</w:t>
            </w:r>
          </w:p>
        </w:tc>
        <w:tc>
          <w:tcPr>
            <w:tcW w:w="1188" w:type="dxa"/>
            <w:vAlign w:val="top"/>
          </w:tcPr>
          <w:p>
            <w:pPr>
              <w:spacing w:line="340" w:lineRule="exact"/>
              <w:rPr>
                <w:rFonts w:ascii="Malgun Gothic"/>
                <w:sz w:val="20"/>
              </w:rPr>
            </w:pPr>
          </w:p>
        </w:tc>
        <w:tc>
          <w:tcPr>
            <w:tcW w:w="3019" w:type="dxa"/>
            <w:gridSpan w:val="2"/>
            <w:tcBorders>
              <w:right w:val="single" w:color="000000" w:sz="6" w:space="0"/>
            </w:tcBorders>
            <w:vAlign w:val="top"/>
          </w:tcPr>
          <w:p>
            <w:pPr>
              <w:spacing w:line="340"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791" w:type="dxa"/>
            <w:vMerge w:val="continue"/>
            <w:tcBorders>
              <w:top w:val="nil"/>
              <w:left w:val="single" w:color="000000" w:sz="6" w:space="0"/>
            </w:tcBorders>
            <w:vAlign w:val="top"/>
          </w:tcPr>
          <w:p>
            <w:pPr>
              <w:rPr>
                <w:rFonts w:ascii="Malgun Gothic"/>
                <w:sz w:val="21"/>
              </w:rPr>
            </w:pPr>
          </w:p>
        </w:tc>
        <w:tc>
          <w:tcPr>
            <w:tcW w:w="3736" w:type="dxa"/>
            <w:gridSpan w:val="4"/>
            <w:vAlign w:val="top"/>
          </w:tcPr>
          <w:p>
            <w:pPr>
              <w:spacing w:before="69" w:line="180" w:lineRule="auto"/>
              <w:ind w:firstLine="165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合计</w:t>
            </w:r>
          </w:p>
        </w:tc>
        <w:tc>
          <w:tcPr>
            <w:tcW w:w="1188" w:type="dxa"/>
            <w:vAlign w:val="top"/>
          </w:tcPr>
          <w:p>
            <w:pPr>
              <w:spacing w:line="352" w:lineRule="exact"/>
              <w:rPr>
                <w:rFonts w:ascii="Malgun Gothic"/>
                <w:sz w:val="20"/>
              </w:rPr>
            </w:pPr>
          </w:p>
        </w:tc>
        <w:tc>
          <w:tcPr>
            <w:tcW w:w="3019" w:type="dxa"/>
            <w:gridSpan w:val="2"/>
            <w:tcBorders>
              <w:right w:val="single" w:color="000000" w:sz="6" w:space="0"/>
            </w:tcBorders>
            <w:vAlign w:val="top"/>
          </w:tcPr>
          <w:p>
            <w:pPr>
              <w:spacing w:line="352"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restart"/>
            <w:tcBorders>
              <w:left w:val="single" w:color="000000" w:sz="6" w:space="0"/>
              <w:bottom w:val="nil"/>
            </w:tcBorders>
            <w:vAlign w:val="top"/>
          </w:tcPr>
          <w:p>
            <w:pPr>
              <w:spacing w:line="358" w:lineRule="auto"/>
              <w:rPr>
                <w:rFonts w:ascii="Malgun Gothic"/>
                <w:sz w:val="21"/>
              </w:rPr>
            </w:pPr>
          </w:p>
          <w:p>
            <w:pPr>
              <w:spacing w:before="75" w:line="318" w:lineRule="exact"/>
              <w:ind w:firstLine="1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竞赛</w:t>
            </w:r>
          </w:p>
          <w:p>
            <w:pPr>
              <w:spacing w:line="204" w:lineRule="auto"/>
              <w:ind w:firstLine="18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获奖</w:t>
            </w:r>
          </w:p>
          <w:p>
            <w:pPr>
              <w:spacing w:before="56" w:line="180" w:lineRule="auto"/>
              <w:ind w:firstLine="17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情况</w:t>
            </w:r>
          </w:p>
        </w:tc>
        <w:tc>
          <w:tcPr>
            <w:tcW w:w="3736" w:type="dxa"/>
            <w:gridSpan w:val="4"/>
            <w:vAlign w:val="top"/>
          </w:tcPr>
          <w:p>
            <w:pPr>
              <w:spacing w:before="59" w:line="180" w:lineRule="auto"/>
              <w:ind w:firstLine="14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获奖等级</w:t>
            </w:r>
          </w:p>
        </w:tc>
        <w:tc>
          <w:tcPr>
            <w:tcW w:w="1188" w:type="dxa"/>
            <w:vAlign w:val="top"/>
          </w:tcPr>
          <w:p>
            <w:pPr>
              <w:spacing w:before="60" w:line="180" w:lineRule="auto"/>
              <w:ind w:firstLine="17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获奖数目</w:t>
            </w:r>
          </w:p>
        </w:tc>
        <w:tc>
          <w:tcPr>
            <w:tcW w:w="3019" w:type="dxa"/>
            <w:gridSpan w:val="2"/>
            <w:tcBorders>
              <w:right w:val="single" w:color="000000" w:sz="6" w:space="0"/>
            </w:tcBorders>
            <w:vAlign w:val="top"/>
          </w:tcPr>
          <w:p>
            <w:pPr>
              <w:spacing w:before="61" w:line="180" w:lineRule="auto"/>
              <w:ind w:firstLine="129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3736" w:type="dxa"/>
            <w:gridSpan w:val="4"/>
            <w:vAlign w:val="top"/>
          </w:tcPr>
          <w:p>
            <w:pPr>
              <w:spacing w:before="61" w:line="180" w:lineRule="auto"/>
              <w:ind w:firstLine="155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特等奖</w:t>
            </w:r>
          </w:p>
        </w:tc>
        <w:tc>
          <w:tcPr>
            <w:tcW w:w="1188" w:type="dxa"/>
            <w:vAlign w:val="top"/>
          </w:tcPr>
          <w:p>
            <w:pPr>
              <w:spacing w:line="338" w:lineRule="exact"/>
              <w:rPr>
                <w:rFonts w:ascii="Malgun Gothic"/>
                <w:sz w:val="20"/>
              </w:rPr>
            </w:pPr>
          </w:p>
        </w:tc>
        <w:tc>
          <w:tcPr>
            <w:tcW w:w="3019" w:type="dxa"/>
            <w:gridSpan w:val="2"/>
            <w:tcBorders>
              <w:right w:val="single" w:color="000000" w:sz="6" w:space="0"/>
            </w:tcBorders>
            <w:vAlign w:val="top"/>
          </w:tcPr>
          <w:p>
            <w:pPr>
              <w:spacing w:line="338"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3736" w:type="dxa"/>
            <w:gridSpan w:val="4"/>
            <w:vAlign w:val="top"/>
          </w:tcPr>
          <w:p>
            <w:pPr>
              <w:spacing w:before="63" w:line="180" w:lineRule="auto"/>
              <w:ind w:firstLine="154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一等奖</w:t>
            </w:r>
          </w:p>
        </w:tc>
        <w:tc>
          <w:tcPr>
            <w:tcW w:w="1188" w:type="dxa"/>
            <w:vAlign w:val="top"/>
          </w:tcPr>
          <w:p>
            <w:pPr>
              <w:spacing w:line="341" w:lineRule="exact"/>
              <w:rPr>
                <w:rFonts w:ascii="Malgun Gothic"/>
                <w:sz w:val="20"/>
              </w:rPr>
            </w:pPr>
          </w:p>
        </w:tc>
        <w:tc>
          <w:tcPr>
            <w:tcW w:w="3019" w:type="dxa"/>
            <w:gridSpan w:val="2"/>
            <w:tcBorders>
              <w:right w:val="single" w:color="000000" w:sz="6" w:space="0"/>
            </w:tcBorders>
            <w:vAlign w:val="top"/>
          </w:tcPr>
          <w:p>
            <w:pPr>
              <w:spacing w:line="341"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791" w:type="dxa"/>
            <w:vMerge w:val="continue"/>
            <w:tcBorders>
              <w:top w:val="nil"/>
              <w:left w:val="single" w:color="000000" w:sz="6" w:space="0"/>
              <w:bottom w:val="nil"/>
            </w:tcBorders>
            <w:vAlign w:val="top"/>
          </w:tcPr>
          <w:p>
            <w:pPr>
              <w:rPr>
                <w:rFonts w:ascii="Malgun Gothic"/>
                <w:sz w:val="21"/>
              </w:rPr>
            </w:pPr>
          </w:p>
        </w:tc>
        <w:tc>
          <w:tcPr>
            <w:tcW w:w="3736" w:type="dxa"/>
            <w:gridSpan w:val="4"/>
            <w:vAlign w:val="top"/>
          </w:tcPr>
          <w:p>
            <w:pPr>
              <w:spacing w:before="65" w:line="180" w:lineRule="auto"/>
              <w:ind w:firstLine="154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二等奖</w:t>
            </w:r>
          </w:p>
        </w:tc>
        <w:tc>
          <w:tcPr>
            <w:tcW w:w="1188" w:type="dxa"/>
            <w:vAlign w:val="top"/>
          </w:tcPr>
          <w:p>
            <w:pPr>
              <w:spacing w:line="341" w:lineRule="exact"/>
              <w:rPr>
                <w:rFonts w:ascii="Malgun Gothic"/>
                <w:sz w:val="20"/>
              </w:rPr>
            </w:pPr>
          </w:p>
        </w:tc>
        <w:tc>
          <w:tcPr>
            <w:tcW w:w="3019" w:type="dxa"/>
            <w:gridSpan w:val="2"/>
            <w:tcBorders>
              <w:right w:val="single" w:color="000000" w:sz="6" w:space="0"/>
            </w:tcBorders>
            <w:vAlign w:val="top"/>
          </w:tcPr>
          <w:p>
            <w:pPr>
              <w:spacing w:line="341"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791" w:type="dxa"/>
            <w:vMerge w:val="continue"/>
            <w:tcBorders>
              <w:top w:val="nil"/>
              <w:left w:val="single" w:color="000000" w:sz="6" w:space="0"/>
              <w:bottom w:val="nil"/>
            </w:tcBorders>
            <w:vAlign w:val="top"/>
          </w:tcPr>
          <w:p>
            <w:pPr>
              <w:rPr>
                <w:rFonts w:ascii="Malgun Gothic"/>
                <w:sz w:val="21"/>
              </w:rPr>
            </w:pPr>
          </w:p>
        </w:tc>
        <w:tc>
          <w:tcPr>
            <w:tcW w:w="3736" w:type="dxa"/>
            <w:gridSpan w:val="4"/>
            <w:vAlign w:val="top"/>
          </w:tcPr>
          <w:p>
            <w:pPr>
              <w:spacing w:before="67" w:line="180" w:lineRule="auto"/>
              <w:ind w:firstLine="155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三等奖</w:t>
            </w:r>
          </w:p>
        </w:tc>
        <w:tc>
          <w:tcPr>
            <w:tcW w:w="1188" w:type="dxa"/>
            <w:vAlign w:val="top"/>
          </w:tcPr>
          <w:p>
            <w:pPr>
              <w:spacing w:line="338" w:lineRule="exact"/>
              <w:rPr>
                <w:rFonts w:ascii="Malgun Gothic"/>
                <w:sz w:val="20"/>
              </w:rPr>
            </w:pPr>
          </w:p>
        </w:tc>
        <w:tc>
          <w:tcPr>
            <w:tcW w:w="3019" w:type="dxa"/>
            <w:gridSpan w:val="2"/>
            <w:tcBorders>
              <w:right w:val="single" w:color="000000" w:sz="6" w:space="0"/>
            </w:tcBorders>
            <w:vAlign w:val="top"/>
          </w:tcPr>
          <w:p>
            <w:pPr>
              <w:spacing w:line="338"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91" w:type="dxa"/>
            <w:vMerge w:val="continue"/>
            <w:tcBorders>
              <w:top w:val="nil"/>
              <w:left w:val="single" w:color="000000" w:sz="6" w:space="0"/>
            </w:tcBorders>
            <w:vAlign w:val="top"/>
          </w:tcPr>
          <w:p>
            <w:pPr>
              <w:rPr>
                <w:rFonts w:ascii="Malgun Gothic"/>
                <w:sz w:val="21"/>
              </w:rPr>
            </w:pPr>
          </w:p>
        </w:tc>
        <w:tc>
          <w:tcPr>
            <w:tcW w:w="3736" w:type="dxa"/>
            <w:gridSpan w:val="4"/>
            <w:vAlign w:val="top"/>
          </w:tcPr>
          <w:p>
            <w:pPr>
              <w:spacing w:before="71" w:line="180" w:lineRule="auto"/>
              <w:ind w:firstLine="146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团队荣誉</w:t>
            </w:r>
          </w:p>
        </w:tc>
        <w:tc>
          <w:tcPr>
            <w:tcW w:w="4207" w:type="dxa"/>
            <w:gridSpan w:val="3"/>
            <w:tcBorders>
              <w:right w:val="single" w:color="000000" w:sz="6" w:space="0"/>
            </w:tcBorders>
            <w:vAlign w:val="top"/>
          </w:tcPr>
          <w:p>
            <w:pPr>
              <w:spacing w:line="345" w:lineRule="exact"/>
              <w:rPr>
                <w:rFonts w:ascii="Malgun Gothic"/>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2" w:hRule="atLeast"/>
        </w:trPr>
        <w:tc>
          <w:tcPr>
            <w:tcW w:w="1617" w:type="dxa"/>
            <w:gridSpan w:val="3"/>
            <w:tcBorders>
              <w:left w:val="single" w:color="000000" w:sz="6" w:space="0"/>
              <w:bottom w:val="single" w:color="000000" w:sz="6" w:space="0"/>
            </w:tcBorders>
            <w:vAlign w:val="top"/>
          </w:tcPr>
          <w:p>
            <w:pPr>
              <w:spacing w:before="70" w:line="324" w:lineRule="exact"/>
              <w:ind w:firstLine="38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9"/>
                <w:sz w:val="21"/>
                <w:szCs w:val="21"/>
              </w:rPr>
              <w:t>学院审核</w:t>
            </w:r>
          </w:p>
          <w:p>
            <w:pPr>
              <w:spacing w:before="1" w:line="204" w:lineRule="auto"/>
              <w:ind w:firstLine="59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意见</w:t>
            </w:r>
          </w:p>
        </w:tc>
        <w:tc>
          <w:tcPr>
            <w:tcW w:w="7117" w:type="dxa"/>
            <w:gridSpan w:val="5"/>
            <w:tcBorders>
              <w:bottom w:val="single" w:color="000000" w:sz="6" w:space="0"/>
              <w:right w:val="single" w:color="000000" w:sz="6" w:space="0"/>
            </w:tcBorders>
            <w:vAlign w:val="top"/>
          </w:tcPr>
          <w:p>
            <w:pPr>
              <w:spacing w:before="388" w:line="193" w:lineRule="auto"/>
              <w:ind w:firstLine="109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负责人</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7"/>
                <w:sz w:val="21"/>
                <w:szCs w:val="21"/>
              </w:rPr>
              <w:t>（公章）</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7"/>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7"/>
                <w:sz w:val="21"/>
                <w:szCs w:val="21"/>
              </w:rPr>
              <w:t>日</w:t>
            </w:r>
          </w:p>
        </w:tc>
      </w:tr>
    </w:tbl>
    <w:p>
      <w:pPr>
        <w:spacing w:before="38" w:line="180"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注：学科竞赛报账时请附此表</w:t>
      </w:r>
    </w:p>
    <w:p>
      <w:pPr>
        <w:sectPr>
          <w:footerReference r:id="rId247" w:type="default"/>
          <w:pgSz w:w="11905" w:h="16840"/>
          <w:pgMar w:top="1431" w:right="1577" w:bottom="1158" w:left="1578" w:header="0" w:footer="1035" w:gutter="0"/>
          <w:cols w:space="720" w:num="1"/>
        </w:sectPr>
      </w:pPr>
    </w:p>
    <w:p>
      <w:pPr>
        <w:spacing w:before="338" w:line="180" w:lineRule="auto"/>
        <w:ind w:firstLine="184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吉首大学学生学科竞赛安全管理办法</w:t>
      </w:r>
    </w:p>
    <w:p>
      <w:pPr>
        <w:spacing w:before="96" w:line="184" w:lineRule="auto"/>
        <w:ind w:firstLine="3464"/>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43"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21" w:line="259" w:lineRule="auto"/>
        <w:ind w:left="35" w:right="7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为加强学生学科竞赛安全管理，维护正常的教学和生活秩序，保障学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生人身和财产安全，促进学生身心健康发展，</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3"/>
          <w:sz w:val="24"/>
          <w:szCs w:val="24"/>
        </w:rPr>
        <w:t>依据国家教育部颁布的《普通高等学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校学生管理规定》、《普通高等学校学生安全教育及管理暂行规定》及国家有关安</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全法规，特制定本办法。</w:t>
      </w:r>
    </w:p>
    <w:p>
      <w:pPr>
        <w:spacing w:before="190" w:line="285" w:lineRule="auto"/>
        <w:ind w:left="34" w:right="7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对学生学科竞赛安全管理贯彻预防为主、教育先行、明确责任、实事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求是、方便操作的方针，努力把事故消除在萌芽状态，并妥善处理好学科竞赛活动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过程中发生的安全事故。</w:t>
      </w:r>
    </w:p>
    <w:p>
      <w:pPr>
        <w:spacing w:before="4" w:line="283" w:lineRule="auto"/>
        <w:ind w:left="36" w:right="75"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
          <w:sz w:val="24"/>
          <w:szCs w:val="24"/>
        </w:rPr>
        <w:t>依据我校学生在学科竞赛期间的特点，竞赛地点分布广泛，持续时间</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长，团队组成复杂，各学科竞赛指导小组要在学校、学院统一组织指挥下积极参与</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学生学科竞赛安全管理的工作。</w:t>
      </w:r>
    </w:p>
    <w:p>
      <w:pPr>
        <w:spacing w:before="8" w:line="199" w:lineRule="auto"/>
        <w:ind w:firstLine="368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安全教育</w:t>
      </w:r>
    </w:p>
    <w:p>
      <w:pPr>
        <w:spacing w:before="93" w:line="272" w:lineRule="auto"/>
        <w:ind w:left="37" w:right="93"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1"/>
          <w:sz w:val="24"/>
          <w:szCs w:val="24"/>
        </w:rPr>
        <w:t xml:space="preserve">安全意识是学校教育的重要组成部分，安全教育必须列入学科竞赛指 </w:t>
      </w:r>
      <w:r>
        <w:rPr>
          <w:rFonts w:ascii="方正书宋简体" w:hAnsi="方正书宋简体" w:eastAsia="方正书宋简体" w:cs="方正书宋简体"/>
          <w:spacing w:val="-2"/>
          <w:sz w:val="24"/>
          <w:szCs w:val="24"/>
        </w:rPr>
        <w:t>导小组工作的重要工作内容并认真组织实施。</w:t>
      </w:r>
    </w:p>
    <w:p>
      <w:pPr>
        <w:spacing w:before="12" w:line="273" w:lineRule="auto"/>
        <w:ind w:left="36" w:right="12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第五条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5"/>
          <w:sz w:val="24"/>
          <w:szCs w:val="24"/>
        </w:rPr>
        <w:t>安全教育要贯彻学科竞赛的全过程，</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5"/>
          <w:sz w:val="24"/>
          <w:szCs w:val="24"/>
        </w:rPr>
        <w:t>要做到学科竞赛前有集中培训，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学科竞赛过程中有注意事项提醒提示，学科竞赛结束后有安全总结。</w:t>
      </w:r>
    </w:p>
    <w:p>
      <w:pPr>
        <w:spacing w:before="11" w:line="272" w:lineRule="auto"/>
        <w:ind w:left="35" w:right="6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1"/>
          <w:sz w:val="24"/>
          <w:szCs w:val="24"/>
        </w:rPr>
        <w:t>第六条</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21"/>
          <w:sz w:val="24"/>
          <w:szCs w:val="24"/>
        </w:rPr>
        <w:t>强化学科竞赛过程中的安全教育，</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1"/>
          <w:sz w:val="24"/>
          <w:szCs w:val="24"/>
        </w:rPr>
        <w:t>学科竞赛团队要接受安全教育，</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1"/>
          <w:sz w:val="24"/>
          <w:szCs w:val="24"/>
        </w:rPr>
        <w:t>学习安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全法规，学科竞赛小组应指派专人对学科竞赛团队进行安全操作和技能的指导和培训。</w:t>
      </w:r>
    </w:p>
    <w:p>
      <w:pPr>
        <w:spacing w:before="13" w:line="195" w:lineRule="auto"/>
        <w:ind w:firstLine="344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组织管理</w:t>
      </w:r>
    </w:p>
    <w:p>
      <w:pPr>
        <w:spacing w:before="99" w:line="244" w:lineRule="auto"/>
        <w:ind w:left="3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学生学科竞赛安全管理工作实行学校、学院、学科竞赛指导小组三级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负责制。在学校教务处、学院院长和分管教学副院长领导下统一负责管理该项工作，</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各学科竞赛指导小组带队教师负责具体实施与管理。</w:t>
      </w:r>
    </w:p>
    <w:p>
      <w:pPr>
        <w:spacing w:before="187" w:line="268" w:lineRule="auto"/>
        <w:ind w:left="512" w:right="1035" w:firstLine="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第八条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3"/>
          <w:sz w:val="24"/>
          <w:szCs w:val="24"/>
        </w:rPr>
        <w:t>教务处职责</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1、研究制定学校学科竞赛安全管理的各项规章制度，并组织实施。</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
          <w:sz w:val="24"/>
          <w:szCs w:val="24"/>
        </w:rPr>
        <w:t>2、成立学校学生学科竞赛安全巡查组，代表学校负责安全巡查工作。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3、负责协调学生学科竞赛过程中重大突发事件的处理。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4、负责督查各学科竞赛组织过程中的安全管理规定落实情况。</w:t>
      </w:r>
    </w:p>
    <w:p>
      <w:pPr>
        <w:spacing w:before="190"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第九条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承办学院职责</w:t>
      </w:r>
    </w:p>
    <w:p>
      <w:pPr>
        <w:sectPr>
          <w:footerReference r:id="rId248" w:type="default"/>
          <w:pgSz w:w="11905" w:h="16840"/>
          <w:pgMar w:top="1431" w:right="1510" w:bottom="1158" w:left="1557" w:header="0" w:footer="1037" w:gutter="0"/>
          <w:cols w:space="720" w:num="1"/>
        </w:sectPr>
      </w:pPr>
    </w:p>
    <w:p>
      <w:pPr>
        <w:spacing w:before="415" w:line="235" w:lineRule="auto"/>
        <w:ind w:left="37" w:right="74"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1、各学科竞赛承办学院安全管理实行一把手工程，成立学生学科竞赛安全工作领</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9"/>
          <w:sz w:val="24"/>
          <w:szCs w:val="24"/>
        </w:rPr>
        <w:t>导小组，统一负责学科竞赛期间安全工作，确保学生学科竞赛的安全、有序、规范。</w:t>
      </w:r>
    </w:p>
    <w:p>
      <w:pPr>
        <w:spacing w:before="197" w:line="294" w:lineRule="auto"/>
        <w:ind w:left="42" w:right="74"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2、学科竞赛承办学院应依据学科竞赛的不同特点，制定相关学科竞赛的安全管理</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9"/>
          <w:sz w:val="24"/>
          <w:szCs w:val="24"/>
        </w:rPr>
        <w:t>细则、负责对学科竞赛指导教师进行安全管理培训及学科竞赛团队的安全教育工作。</w:t>
      </w:r>
    </w:p>
    <w:p>
      <w:pPr>
        <w:spacing w:before="37"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3、学科竞赛期间，负责督查安全管理规定的落实情况。</w:t>
      </w:r>
    </w:p>
    <w:p>
      <w:pPr>
        <w:spacing w:before="180" w:line="180"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4、负责安全事故的调查、取证和一般事故的协调处理。</w:t>
      </w:r>
    </w:p>
    <w:p>
      <w:pPr>
        <w:spacing w:before="166"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学科竞赛指导小组负责人职责</w:t>
      </w:r>
    </w:p>
    <w:p>
      <w:pPr>
        <w:spacing w:before="135" w:line="305" w:lineRule="auto"/>
        <w:ind w:left="31" w:right="84"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1、学科竞赛指导小组负责人是学科竞赛安全工作直接责任人，</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负责学生学科竞</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赛期间安全管理的日常工作。</w:t>
      </w:r>
    </w:p>
    <w:p>
      <w:pPr>
        <w:spacing w:before="2" w:line="270" w:lineRule="auto"/>
        <w:ind w:left="32" w:right="8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2、学科竞赛指导小组负责人代表承办学院负责学生学科竞赛期间的安全管理，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要严格按照有关规定进行管理，如遇违纪、安全事故等情况应及时处理，并及时向</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承办学院领导报告，报告应包括：事故事件性质、发生原因分析、现场处置措施或</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方法、事故事件责任等。</w:t>
      </w:r>
    </w:p>
    <w:p>
      <w:pPr>
        <w:spacing w:before="202"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3、学科竞赛指导小组负责人安全工作要求</w:t>
      </w:r>
    </w:p>
    <w:p>
      <w:pPr>
        <w:spacing w:before="180" w:line="234" w:lineRule="auto"/>
        <w:ind w:left="37" w:right="84"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（1）学科竞赛指导小组负责人必须接受安全管理培训，学习、理解和掌握安全</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管理、应急处理的基本方法、应变技能。</w:t>
      </w:r>
    </w:p>
    <w:p>
      <w:pPr>
        <w:spacing w:before="203" w:line="235" w:lineRule="auto"/>
        <w:ind w:left="35" w:right="8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（2）在学科竞赛培训之前，需首先进行安全教育，组织召开学科竞赛团队的安</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全会议，组织学习学校及学院制定的相关学科竞赛安全条例，强调安全问题。</w:t>
      </w:r>
    </w:p>
    <w:p>
      <w:pPr>
        <w:spacing w:before="200" w:line="293" w:lineRule="auto"/>
        <w:ind w:left="34" w:right="1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9"/>
          <w:sz w:val="24"/>
          <w:szCs w:val="24"/>
        </w:rPr>
        <w:t>必须本着“安全第一”</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9"/>
          <w:sz w:val="24"/>
          <w:szCs w:val="24"/>
        </w:rPr>
        <w:t>的原则，在学科竞赛期间，应组织学生签订安全管理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协议，明确各自安全责任，加强指导、监督、检查学生学科竞赛期间的日常安全工作。</w:t>
      </w:r>
    </w:p>
    <w:p>
      <w:pPr>
        <w:spacing w:before="26" w:line="187" w:lineRule="auto"/>
        <w:ind w:firstLine="344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组织实施</w:t>
      </w:r>
    </w:p>
    <w:p>
      <w:pPr>
        <w:spacing w:before="114"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学生安全纪律要求</w:t>
      </w:r>
    </w:p>
    <w:p>
      <w:pPr>
        <w:spacing w:before="137" w:line="303" w:lineRule="auto"/>
        <w:ind w:left="30"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1、自觉遵守操作规程和有关纪律及安全管理规定，</w:t>
      </w:r>
      <w:r>
        <w:rPr>
          <w:rFonts w:ascii="方正书宋简体" w:hAnsi="方正书宋简体" w:eastAsia="方正书宋简体" w:cs="方正书宋简体"/>
          <w:spacing w:val="87"/>
          <w:w w:val="101"/>
          <w:sz w:val="24"/>
          <w:szCs w:val="24"/>
        </w:rPr>
        <w:t xml:space="preserve"> </w:t>
      </w:r>
      <w:r>
        <w:rPr>
          <w:rFonts w:ascii="方正书宋简体" w:hAnsi="方正书宋简体" w:eastAsia="方正书宋简体" w:cs="方正书宋简体"/>
          <w:spacing w:val="-11"/>
          <w:w w:val="97"/>
          <w:sz w:val="24"/>
          <w:szCs w:val="24"/>
        </w:rPr>
        <w:t>增强安全防范意识和团队协作精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w w:val="98"/>
          <w:sz w:val="24"/>
          <w:szCs w:val="24"/>
        </w:rPr>
        <w:t>神，</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23"/>
          <w:w w:val="98"/>
          <w:sz w:val="24"/>
          <w:szCs w:val="24"/>
        </w:rPr>
        <w:t>提高自我防护能力；</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3"/>
          <w:w w:val="98"/>
          <w:sz w:val="24"/>
          <w:szCs w:val="24"/>
        </w:rPr>
        <w:t>积极主动接受安全教育，</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3"/>
          <w:w w:val="98"/>
          <w:sz w:val="24"/>
          <w:szCs w:val="24"/>
        </w:rPr>
        <w:t>自觉遵守国家的法律法规、校纪校规，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认真接受老师及用人单位的教育和管理，自觉学法、懂法、守法、用法，要有法制观念</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3"/>
          <w:sz w:val="24"/>
          <w:szCs w:val="24"/>
        </w:rPr>
        <w:t>和法律意识，学会自我保护、加强自我管理，不做违法违纪的事，确保竞赛安全进行。</w:t>
      </w:r>
    </w:p>
    <w:p>
      <w:pPr>
        <w:spacing w:before="14" w:line="270" w:lineRule="auto"/>
        <w:ind w:left="33" w:right="8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2、自觉遵守设备设施安全操作规程规范，</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在使用未操作过的设备前，</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应读懂其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使用说明书，并有指导教师在场，方能操作该设备，若发现仪器设备有损坏、出现</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故障等异常情况，应立即切断电源、保护现场，并报告指导老师处理。因违反操作</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规程而造成仪器设备损坏者，需按照有关规定酌情赔偿，并作违规处理。</w:t>
      </w:r>
    </w:p>
    <w:p>
      <w:pPr>
        <w:spacing w:before="203" w:line="180"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3、校内外竞赛期间，</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w w:val="98"/>
          <w:sz w:val="24"/>
          <w:szCs w:val="24"/>
        </w:rPr>
        <w:t>学生应由指导老师带队，</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不宜在有安全隐患处活动，</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w w:val="98"/>
          <w:sz w:val="24"/>
          <w:szCs w:val="24"/>
        </w:rPr>
        <w:t>听从</w:t>
      </w:r>
    </w:p>
    <w:p>
      <w:pPr>
        <w:sectPr>
          <w:footerReference r:id="rId249" w:type="default"/>
          <w:pgSz w:w="11905" w:h="16840"/>
          <w:pgMar w:top="1431" w:right="1503" w:bottom="1158" w:left="1557" w:header="0" w:footer="1035" w:gutter="0"/>
          <w:cols w:space="720" w:num="1"/>
        </w:sectPr>
      </w:pPr>
    </w:p>
    <w:p>
      <w:pPr>
        <w:spacing w:before="403" w:line="303" w:lineRule="auto"/>
        <w:ind w:left="32" w:right="26"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指挥，</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9"/>
          <w:sz w:val="24"/>
          <w:szCs w:val="24"/>
        </w:rPr>
        <w:t>服从安排，不得参与传销等违法乱纪活动，严禁参与非法的娱乐活动或从事与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1"/>
          <w:sz w:val="24"/>
          <w:szCs w:val="24"/>
        </w:rPr>
        <w:t>学科竞赛无关的危险性工作；</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1"/>
          <w:sz w:val="24"/>
          <w:szCs w:val="24"/>
        </w:rPr>
        <w:t>严禁酗酒、</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1"/>
          <w:sz w:val="24"/>
          <w:szCs w:val="24"/>
        </w:rPr>
        <w:t>寻衅滋事、打架斗殴；</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1"/>
          <w:sz w:val="24"/>
          <w:szCs w:val="24"/>
        </w:rPr>
        <w:t>严禁床上吸烟、不规范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用电；</w:t>
      </w:r>
      <w:r>
        <w:rPr>
          <w:rFonts w:ascii="方正书宋简体" w:hAnsi="方正书宋简体" w:eastAsia="方正书宋简体" w:cs="方正书宋简体"/>
          <w:spacing w:val="49"/>
          <w:w w:val="101"/>
          <w:sz w:val="24"/>
          <w:szCs w:val="24"/>
        </w:rPr>
        <w:t xml:space="preserve"> </w:t>
      </w:r>
      <w:r>
        <w:rPr>
          <w:rFonts w:ascii="方正书宋简体" w:hAnsi="方正书宋简体" w:eastAsia="方正书宋简体" w:cs="方正书宋简体"/>
          <w:spacing w:val="-16"/>
          <w:sz w:val="24"/>
          <w:szCs w:val="24"/>
        </w:rPr>
        <w:t>严禁到无安全设施或者无专业救护人员的场所游泳等；</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6"/>
          <w:sz w:val="24"/>
          <w:szCs w:val="24"/>
        </w:rPr>
        <w:t>在有车辆通行的道路上应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强调交通安全；严禁私自或单独进行活动，学生外出应报告指导教师，履行请假手续，</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9"/>
          <w:sz w:val="24"/>
          <w:szCs w:val="24"/>
        </w:rPr>
        <w:t>并按规定时间返回。若未经允许擅自外出者后果自负，学校不承担责任。</w:t>
      </w:r>
    </w:p>
    <w:p>
      <w:pPr>
        <w:spacing w:before="33" w:line="180" w:lineRule="auto"/>
        <w:ind w:firstLine="51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4、如发生重大事故，应及时向指导教师、学院领导报告。</w:t>
      </w:r>
    </w:p>
    <w:p>
      <w:pPr>
        <w:spacing w:before="177"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5、凡违反学科竞赛相关安全管理规定，</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2"/>
          <w:sz w:val="24"/>
          <w:szCs w:val="24"/>
        </w:rPr>
        <w:t>造成个人人身安全事故和损失的，由学生</w:t>
      </w:r>
    </w:p>
    <w:p>
      <w:pPr>
        <w:spacing w:before="177" w:line="220" w:lineRule="auto"/>
        <w:ind w:left="2965" w:right="12" w:hanging="2932"/>
        <w:rPr>
          <w:rFonts w:ascii="Microsoft JhengHei" w:hAnsi="Microsoft JhengHei" w:eastAsia="Microsoft JhengHei" w:cs="Microsoft JhengHei"/>
          <w:sz w:val="24"/>
          <w:szCs w:val="24"/>
        </w:rPr>
      </w:pPr>
      <w:r>
        <w:rPr>
          <w:rFonts w:ascii="方正书宋简体" w:hAnsi="方正书宋简体" w:eastAsia="方正书宋简体" w:cs="方正书宋简体"/>
          <w:spacing w:val="-9"/>
          <w:sz w:val="24"/>
          <w:szCs w:val="24"/>
        </w:rPr>
        <w:t>本人负责，学校不承担责任。造成集体和国家损失的，视情节轻重，按有关规定处理。</w:t>
      </w:r>
      <w:r>
        <w:rPr>
          <w:rFonts w:ascii="方正书宋简体" w:hAnsi="方正书宋简体" w:eastAsia="方正书宋简体" w:cs="方正书宋简体"/>
          <w:spacing w:val="14"/>
          <w:w w:val="101"/>
          <w:sz w:val="24"/>
          <w:szCs w:val="24"/>
        </w:rPr>
        <w:t xml:space="preserve"> </w:t>
      </w: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5"/>
          <w:w w:val="101"/>
          <w:sz w:val="24"/>
          <w:szCs w:val="24"/>
        </w:rPr>
        <w:t xml:space="preserve">    </w:t>
      </w:r>
      <w:r>
        <w:rPr>
          <w:rFonts w:ascii="Microsoft JhengHei" w:hAnsi="Microsoft JhengHei" w:eastAsia="Microsoft JhengHei" w:cs="Microsoft JhengHei"/>
          <w:spacing w:val="-3"/>
          <w:sz w:val="24"/>
          <w:szCs w:val="24"/>
        </w:rPr>
        <w:t>紧急事故处理预案</w:t>
      </w:r>
    </w:p>
    <w:p>
      <w:pPr>
        <w:shd w:val="clear" w:fill="FFFFFF"/>
        <w:spacing w:before="169" w:line="258" w:lineRule="auto"/>
        <w:ind w:left="33" w:right="7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当发生学生人身伤害、突发疾病等情况时，首先应联系医疗机构进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行紧急救治，并及时报告指导老师，指导老师需及时联系学院及学校领导，有关人</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员接到通知后应立即中断手里的一切事务（放弃休假）赶赴事故现场，配合救援和</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处理善后事宜。</w:t>
      </w:r>
    </w:p>
    <w:p>
      <w:pPr>
        <w:spacing w:before="191" w:line="272" w:lineRule="auto"/>
        <w:ind w:left="37" w:right="122"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当发生一般财产损害情况时，在场指导教师与学生应保护好现场，</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另外视情况报告学院及公安机关，请求调查处理。</w:t>
      </w:r>
    </w:p>
    <w:p>
      <w:pPr>
        <w:spacing w:before="12" w:line="244" w:lineRule="auto"/>
        <w:ind w:left="3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当竞赛环境发生灾难性事件时，学生及现场人员应迅速撤离事件现</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场，</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并迅速通知指导教师，</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指导老师需及时联系学院及学校领导。同时视情节轻重，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在确保自身安全的情况下，进行必要救灾应急处理。</w:t>
      </w:r>
    </w:p>
    <w:p>
      <w:pPr>
        <w:spacing w:before="190" w:line="273" w:lineRule="auto"/>
        <w:ind w:left="36" w:right="9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当发生重大事故后，学科竞赛小组、承办学院领导小组应及时向学 </w:t>
      </w:r>
      <w:r>
        <w:rPr>
          <w:rFonts w:ascii="方正书宋简体" w:hAnsi="方正书宋简体" w:eastAsia="方正书宋简体" w:cs="方正书宋简体"/>
          <w:spacing w:val="-2"/>
          <w:sz w:val="24"/>
          <w:szCs w:val="24"/>
        </w:rPr>
        <w:t>校领导报告、及时通知学生家长，并将事故发生过程以书面形式上报。</w:t>
      </w:r>
    </w:p>
    <w:p>
      <w:pPr>
        <w:spacing w:before="8" w:line="244" w:lineRule="auto"/>
        <w:ind w:left="35" w:right="1"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第十六条</w:t>
      </w:r>
      <w:r>
        <w:rPr>
          <w:rFonts w:ascii="Microsoft JhengHei" w:hAnsi="Microsoft JhengHei" w:eastAsia="Microsoft JhengHei" w:cs="Microsoft JhengHei"/>
          <w:spacing w:val="11"/>
          <w:w w:val="101"/>
          <w:sz w:val="24"/>
          <w:szCs w:val="24"/>
        </w:rPr>
        <w:t xml:space="preserve">    </w:t>
      </w:r>
      <w:r>
        <w:rPr>
          <w:rFonts w:ascii="方正书宋简体" w:hAnsi="方正书宋简体" w:eastAsia="方正书宋简体" w:cs="方正书宋简体"/>
          <w:spacing w:val="-8"/>
          <w:sz w:val="24"/>
          <w:szCs w:val="24"/>
        </w:rPr>
        <w:t>当发生与他人冲突事件时，</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8"/>
          <w:sz w:val="24"/>
          <w:szCs w:val="24"/>
        </w:rPr>
        <w:t>现场所有人员均应主动出面制止和劝解，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避免事态进一步恶化，指导教师应按有关规定对事件快速做出处理，并将情况反馈</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4"/>
          <w:sz w:val="24"/>
          <w:szCs w:val="24"/>
        </w:rPr>
        <w:t>给学生所在学院。</w:t>
      </w:r>
    </w:p>
    <w:p>
      <w:pPr>
        <w:spacing w:before="191" w:line="244" w:lineRule="auto"/>
        <w:ind w:left="36" w:right="77"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因管理不善、工作不负责任、徇私舞弊、忽视安全操作规程等造成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学生安全事故的，视情节严重，根据学校的有关规定，追究直接责任人和主要领导</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4"/>
          <w:sz w:val="24"/>
          <w:szCs w:val="24"/>
        </w:rPr>
        <w:t>责任人的相应责任。</w:t>
      </w:r>
    </w:p>
    <w:p>
      <w:pPr>
        <w:spacing w:before="191" w:line="180" w:lineRule="auto"/>
        <w:ind w:firstLine="3806"/>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26" w:line="272" w:lineRule="auto"/>
        <w:ind w:left="32" w:right="9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本规定未涉及的安全管理工作内容，参照有关管理部门和学校的相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关文件执行。</w:t>
      </w:r>
    </w:p>
    <w:p>
      <w:pPr>
        <w:spacing w:before="12" w:line="197"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第十九条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本管理办法自发布之日起试行。</w:t>
      </w:r>
    </w:p>
    <w:p>
      <w:pPr>
        <w:sectPr>
          <w:footerReference r:id="rId250" w:type="default"/>
          <w:pgSz w:w="11905" w:h="16840"/>
          <w:pgMar w:top="1431" w:right="1507" w:bottom="1158" w:left="1557" w:header="0" w:footer="1035" w:gutter="0"/>
          <w:cols w:space="720" w:num="1"/>
        </w:sectPr>
      </w:pPr>
    </w:p>
    <w:p>
      <w:pPr>
        <w:spacing w:before="349" w:line="180" w:lineRule="auto"/>
        <w:ind w:firstLine="168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吉首大学实习教学基地建设与管理办法</w:t>
      </w:r>
    </w:p>
    <w:p>
      <w:pPr>
        <w:spacing w:before="110" w:line="184" w:lineRule="auto"/>
        <w:ind w:firstLine="3164"/>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10</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61"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7" w:line="282" w:lineRule="auto"/>
        <w:ind w:left="33" w:right="3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9"/>
          <w:w w:val="101"/>
          <w:sz w:val="24"/>
          <w:szCs w:val="24"/>
        </w:rPr>
        <w:t xml:space="preserve">    </w:t>
      </w:r>
      <w:r>
        <w:rPr>
          <w:rFonts w:ascii="方正书宋简体" w:hAnsi="方正书宋简体" w:eastAsia="方正书宋简体" w:cs="方正书宋简体"/>
          <w:spacing w:val="1"/>
          <w:sz w:val="24"/>
          <w:szCs w:val="24"/>
        </w:rPr>
        <w:t>为规范我校实习教学基地建设与管理，提高实习教学基地建设与管理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水平，保障我校实习教学工作的正常运行，提高教学质量，特制定本办法。</w:t>
      </w:r>
    </w:p>
    <w:p>
      <w:pPr>
        <w:spacing w:before="12" w:line="294" w:lineRule="auto"/>
        <w:ind w:left="32" w:right="2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本办法中的实习教学基地（以下简称实习基地）是指承担我校学生各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类实习教学及其它实践教学任务、经学校正式批准建立的校内实习教学机构或经学</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校确认并与之建立协议关系的具有独立法人资格的校外行政、企事业单位。</w:t>
      </w:r>
    </w:p>
    <w:p>
      <w:pPr>
        <w:spacing w:before="1" w:line="290" w:lineRule="auto"/>
        <w:ind w:left="35" w:right="2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实习基地的建设与管理在主管校长统一领导下实行校、院二级管理，</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教务处是实习基地建设与管理的主管部门，负责实习基地的宏观管理；各学院是实</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习基地建设与管理的主体，负责实习基地的具体建设和日常运行等事务的管理。</w:t>
      </w:r>
    </w:p>
    <w:p>
      <w:pPr>
        <w:spacing w:before="22" w:line="294" w:lineRule="auto"/>
        <w:ind w:left="32" w:right="2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第四条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4"/>
          <w:sz w:val="24"/>
          <w:szCs w:val="24"/>
        </w:rPr>
        <w:t>实习基地是学校基本办学条件之一，</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4"/>
          <w:sz w:val="24"/>
          <w:szCs w:val="24"/>
        </w:rPr>
        <w:t>对于培养学生实践能力和创新创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业能力、实现人才培养目标有着重要的意义，</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学校各级领导和教学单位均应重视并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不断加强实习基地的建设与管理。</w:t>
      </w:r>
    </w:p>
    <w:p>
      <w:pPr>
        <w:spacing w:before="1" w:line="202" w:lineRule="auto"/>
        <w:ind w:firstLine="248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校内实习基地的建立与管理</w:t>
      </w:r>
    </w:p>
    <w:p>
      <w:pPr>
        <w:spacing w:before="101" w:line="265" w:lineRule="auto"/>
        <w:ind w:left="35" w:right="29"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校内实习基地是指承担我校学生各类实习教学及其它实践教学任务、 </w:t>
      </w:r>
      <w:r>
        <w:rPr>
          <w:rFonts w:ascii="方正书宋简体" w:hAnsi="方正书宋简体" w:eastAsia="方正书宋简体" w:cs="方正书宋简体"/>
          <w:spacing w:val="2"/>
          <w:sz w:val="24"/>
          <w:szCs w:val="24"/>
        </w:rPr>
        <w:t>经学校正式批准建立的校内实习教学机构。校内实习基地的范围包括校内综合性的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工程训练中心，经济管理类、法学类、应用文科类综合素质训练中心等实践教学中</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心以及附属医院。</w:t>
      </w:r>
    </w:p>
    <w:p>
      <w:pPr>
        <w:spacing w:before="208"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第六条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校内实习基地的建立必须满足以下基本条件：</w:t>
      </w:r>
    </w:p>
    <w:p>
      <w:pPr>
        <w:spacing w:before="147"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1、有明确的教学目的和年度教学计划；</w:t>
      </w:r>
    </w:p>
    <w:p>
      <w:pPr>
        <w:spacing w:before="175"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2、各项教学管理规章制度健全；</w:t>
      </w:r>
    </w:p>
    <w:p>
      <w:pPr>
        <w:spacing w:before="174"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3、有专职人员（或专门人员）负责基地的教学运行和日常管理；</w:t>
      </w:r>
    </w:p>
    <w:p>
      <w:pPr>
        <w:spacing w:before="178" w:line="253" w:lineRule="auto"/>
        <w:ind w:left="43" w:right="30" w:firstLine="46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4、有满足学生开展各类实践教学活动的场地、设备和劳动保护、卫生安全等方</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9"/>
          <w:sz w:val="24"/>
          <w:szCs w:val="24"/>
        </w:rPr>
        <w:t>面的条件；</w:t>
      </w:r>
    </w:p>
    <w:p>
      <w:pPr>
        <w:spacing w:before="178" w:line="180"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5、经学校正式批准建立。</w:t>
      </w:r>
    </w:p>
    <w:p>
      <w:pPr>
        <w:spacing w:before="182" w:line="180" w:lineRule="auto"/>
        <w:ind w:firstLine="522"/>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第七条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3"/>
          <w:sz w:val="24"/>
          <w:szCs w:val="24"/>
        </w:rPr>
        <w:t>校内实习基地的建立按以下程序进行：</w:t>
      </w:r>
    </w:p>
    <w:p>
      <w:pPr>
        <w:spacing w:before="147"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1、学院申请；</w:t>
      </w:r>
    </w:p>
    <w:p>
      <w:pPr>
        <w:spacing w:before="17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2、专家评审；</w:t>
      </w:r>
    </w:p>
    <w:p>
      <w:pPr>
        <w:sectPr>
          <w:footerReference r:id="rId251" w:type="default"/>
          <w:pgSz w:w="11905" w:h="16840"/>
          <w:pgMar w:top="1431" w:right="1556" w:bottom="1158" w:left="1557" w:header="0" w:footer="1034" w:gutter="0"/>
          <w:cols w:space="720" w:num="1"/>
        </w:sectPr>
      </w:pPr>
    </w:p>
    <w:p>
      <w:pPr>
        <w:spacing w:before="423"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3、学校批准；</w:t>
      </w:r>
    </w:p>
    <w:p>
      <w:pPr>
        <w:spacing w:before="183"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4、挂牌。</w:t>
      </w:r>
    </w:p>
    <w:p>
      <w:pPr>
        <w:spacing w:before="175"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校内实习基地应承担以下教学及相关工作任务：</w:t>
      </w:r>
    </w:p>
    <w:p>
      <w:pPr>
        <w:spacing w:before="147" w:line="315" w:lineRule="auto"/>
        <w:ind w:left="1" w:right="19"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1、根据相关专业培养计划和专业技术技能的要求，</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0"/>
          <w:sz w:val="24"/>
          <w:szCs w:val="24"/>
        </w:rPr>
        <w:t>组织编写实习（实训）教材，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制定专业技术技能实习（实训）教学大纲以及制定实习（实训）教学计划和方案；</w:t>
      </w:r>
    </w:p>
    <w:p>
      <w:pPr>
        <w:spacing w:before="4" w:line="253" w:lineRule="auto"/>
        <w:ind w:left="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2、承担全校各相关专业学生的技能训练、生产工艺训练、课程实习、生产实习、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毕业实习、毕业论文（设计）等实践性教学环节的教学任务；</w:t>
      </w:r>
    </w:p>
    <w:p>
      <w:pPr>
        <w:spacing w:before="182" w:line="238" w:lineRule="auto"/>
        <w:ind w:right="96"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3、举办各种学科活动，</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11"/>
          <w:sz w:val="24"/>
          <w:szCs w:val="24"/>
        </w:rPr>
        <w:t>开展学生科研训练和相关科学研究活动，</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sz w:val="24"/>
          <w:szCs w:val="24"/>
        </w:rPr>
        <w:t>为大学生科技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创新、勤工俭学和第二课堂活动提供场所和机会。</w:t>
      </w:r>
    </w:p>
    <w:p>
      <w:pPr>
        <w:spacing w:before="203" w:line="233" w:lineRule="auto"/>
        <w:ind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校内本科实习基地所承接的任务纳入整个教学计划，各学院应合理安</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排实习地点，能在校内实习基地内完成的，必须安排在校内实习基地内进行。</w:t>
      </w:r>
    </w:p>
    <w:p>
      <w:pPr>
        <w:spacing w:before="169" w:line="265" w:lineRule="auto"/>
        <w:ind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校内实习基地的组织领导依托相关学院，各学院要加强对校内实习基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地建设的领导和管理，建立定期检查工作制度，解决校内实习基地建设和管理工作</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中的实际问题，帮助实习基地做好建设、发展、培训等各项工作，以保证实习基地</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3"/>
          <w:sz w:val="24"/>
          <w:szCs w:val="24"/>
        </w:rPr>
        <w:t>各项任务的顺利完成。</w:t>
      </w:r>
    </w:p>
    <w:p>
      <w:pPr>
        <w:spacing w:before="206" w:line="275" w:lineRule="auto"/>
        <w:ind w:left="1" w:right="95"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校内实习基地应以教学为中心，建立科学、健全、严格的实践教学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制度，建立健全规范且能严格执行的实习（实训）教学计划、教学大纲、教学规程</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等教学文件，建立教学质量检查、监督、保障、监控体系，并具有规范的教学过程</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
          <w:sz w:val="24"/>
          <w:szCs w:val="24"/>
        </w:rPr>
        <w:t>运行管理制度，深化教学改革，不断开发新的实习（实训）项目，更新教学内容，</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2"/>
          <w:sz w:val="24"/>
          <w:szCs w:val="24"/>
        </w:rPr>
        <w:t>改进教学方法，以保证教学质量与教学水平的不断提高。</w:t>
      </w:r>
    </w:p>
    <w:p>
      <w:pPr>
        <w:spacing w:before="204" w:line="25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7"/>
          <w:sz w:val="24"/>
          <w:szCs w:val="24"/>
        </w:rPr>
        <w:t>校内实习基地应建立相应的领导机构和工作队伍，</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7"/>
          <w:sz w:val="24"/>
          <w:szCs w:val="24"/>
        </w:rPr>
        <w:t>同时应制定科学、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有效的人员管理制度，有明确的岗位职责及分工细则，有严格的考核办法和奖惩制</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度，有落实的培养师资计划和实施措施。</w:t>
      </w:r>
    </w:p>
    <w:p>
      <w:pPr>
        <w:spacing w:before="205" w:line="294" w:lineRule="auto"/>
        <w:ind w:right="9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第十三条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4"/>
          <w:sz w:val="24"/>
          <w:szCs w:val="24"/>
        </w:rPr>
        <w:t>校内实习基地的负责人原则上应具有高级职称（或硕士以上学历</w:t>
      </w:r>
      <w:r>
        <w:rPr>
          <w:rFonts w:ascii="方正书宋简体" w:hAnsi="方正书宋简体" w:eastAsia="方正书宋简体" w:cs="方正书宋简体"/>
          <w:spacing w:val="-20"/>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其主要职责全面负责实习基地建设、实习教学运行，并积极探讨实习教学内容、教</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学方法改革。</w:t>
      </w:r>
    </w:p>
    <w:p>
      <w:pPr>
        <w:spacing w:before="3" w:line="281" w:lineRule="auto"/>
        <w:ind w:left="2" w:right="97"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实习指导教师必须坚守岗位，按相应的规章制度进行管理，并按学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校有关规定核算工作量。</w:t>
      </w:r>
    </w:p>
    <w:p>
      <w:pPr>
        <w:spacing w:before="11" w:line="197" w:lineRule="auto"/>
        <w:ind w:firstLine="269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校外实习基地的建立与管理</w:t>
      </w:r>
    </w:p>
    <w:p>
      <w:pPr>
        <w:spacing w:before="110"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校外实习基地是指承担我校学生各类实习教学任务及其它实践教学</w:t>
      </w:r>
    </w:p>
    <w:p>
      <w:pPr>
        <w:sectPr>
          <w:footerReference r:id="rId252" w:type="default"/>
          <w:pgSz w:w="11905" w:h="16840"/>
          <w:pgMar w:top="1431" w:right="1490" w:bottom="1158" w:left="1591" w:header="0" w:footer="1035" w:gutter="0"/>
          <w:cols w:space="720" w:num="1"/>
        </w:sectPr>
      </w:pPr>
    </w:p>
    <w:p>
      <w:pPr>
        <w:spacing w:before="427" w:line="224" w:lineRule="auto"/>
        <w:ind w:left="490" w:hanging="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任务、经学校确认与之建立协议关系的具有独立法人资格的校外行政、企事业单位。</w:t>
      </w:r>
      <w:r>
        <w:rPr>
          <w:rFonts w:ascii="方正书宋简体" w:hAnsi="方正书宋简体" w:eastAsia="方正书宋简体" w:cs="方正书宋简体"/>
          <w:spacing w:val="9"/>
          <w:sz w:val="24"/>
          <w:szCs w:val="24"/>
        </w:rPr>
        <w:t xml:space="preserve"> </w:t>
      </w:r>
      <w:r>
        <w:rPr>
          <w:rFonts w:ascii="Microsoft JhengHei" w:hAnsi="Microsoft JhengHei" w:eastAsia="Microsoft JhengHei" w:cs="Microsoft JhengHei"/>
          <w:spacing w:val="-5"/>
          <w:sz w:val="24"/>
          <w:szCs w:val="24"/>
        </w:rPr>
        <w:t>第十六条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5"/>
          <w:sz w:val="24"/>
          <w:szCs w:val="24"/>
        </w:rPr>
        <w:t>我校校外实习基地分为：</w:t>
      </w:r>
    </w:p>
    <w:p>
      <w:pPr>
        <w:spacing w:before="192"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1、教育实习基地：供我校师范专业学生进行教育实习。</w:t>
      </w:r>
    </w:p>
    <w:p>
      <w:pPr>
        <w:spacing w:before="193"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2、专业实习基地：</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供我校学生进行除教育实习之外的其它需在校外进行的各类</w:t>
      </w:r>
    </w:p>
    <w:p>
      <w:pPr>
        <w:spacing w:before="193" w:line="239" w:lineRule="auto"/>
        <w:ind w:left="1" w:right="89" w:firstLine="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教学和生产实习，如野外实习、工厂实习、临床实习以及应用性文科专业学生的专</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业实习等。</w:t>
      </w:r>
    </w:p>
    <w:p>
      <w:pPr>
        <w:spacing w:before="205" w:line="295" w:lineRule="auto"/>
        <w:ind w:left="481" w:right="925" w:firstLine="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第十七条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教育实习基地应满足以下基本条件：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1、原则上是湘西自治州内及周边地区县级（含县级）以上重点中学；</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2、有素质良好的教育实习指导教师队伍；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3、能为实习生提供基本生活设施和安全、卫生条件；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4、每次能同时接受</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20-40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3"/>
          <w:sz w:val="24"/>
          <w:szCs w:val="24"/>
        </w:rPr>
        <w:t>人以上的学生实习，特殊专业不少于</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3"/>
          <w:sz w:val="24"/>
          <w:szCs w:val="24"/>
        </w:rPr>
        <w:t>10</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3"/>
          <w:sz w:val="24"/>
          <w:szCs w:val="24"/>
        </w:rPr>
        <w:t>人。</w:t>
      </w:r>
      <w:r>
        <w:rPr>
          <w:rFonts w:ascii="方正书宋简体" w:hAnsi="方正书宋简体" w:eastAsia="方正书宋简体" w:cs="方正书宋简体"/>
          <w:sz w:val="24"/>
          <w:szCs w:val="24"/>
        </w:rPr>
        <w:t xml:space="preserve"> </w:t>
      </w:r>
      <w:r>
        <w:rPr>
          <w:rFonts w:ascii="Microsoft JhengHei" w:hAnsi="Microsoft JhengHei" w:eastAsia="Microsoft JhengHei" w:cs="Microsoft JhengHei"/>
          <w:spacing w:val="-3"/>
          <w:sz w:val="24"/>
          <w:szCs w:val="24"/>
        </w:rPr>
        <w:t>第十八条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专业实习基地应满足以下基本条件：</w:t>
      </w:r>
    </w:p>
    <w:p>
      <w:pPr>
        <w:spacing w:before="9" w:line="196"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1、能满足相关专业教学计划规定的各实习环节的教学要求。</w:t>
      </w:r>
    </w:p>
    <w:p>
      <w:pPr>
        <w:spacing w:before="169"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2、具备学生实习所需的基本生活、学习条件，具有劳动保护、卫生安全保障，</w:t>
      </w:r>
    </w:p>
    <w:p>
      <w:pPr>
        <w:spacing w:before="197" w:line="315" w:lineRule="auto"/>
        <w:ind w:left="481" w:right="91" w:hanging="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场所与设施能满足教学需要。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3、具有对学生实习进行必要的组织、指导和管理的专业技术人员。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4、科学研究、生产经营及资源生态等方面在所在区域或行业具有代表性，</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具有</w:t>
      </w:r>
    </w:p>
    <w:p>
      <w:pPr>
        <w:spacing w:line="202"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较为先进的技术、管理水平。</w:t>
      </w:r>
    </w:p>
    <w:p>
      <w:pPr>
        <w:spacing w:before="160" w:line="224" w:lineRule="auto"/>
        <w:ind w:left="490" w:right="1282" w:hanging="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5、相对稳定，每年每次可按计划接受</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
          <w:sz w:val="24"/>
          <w:szCs w:val="24"/>
        </w:rPr>
        <w:t>20-40</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人以上学生开展实习。</w:t>
      </w:r>
      <w:r>
        <w:rPr>
          <w:rFonts w:ascii="方正书宋简体" w:hAnsi="方正书宋简体" w:eastAsia="方正书宋简体" w:cs="方正书宋简体"/>
          <w:sz w:val="24"/>
          <w:szCs w:val="24"/>
        </w:rPr>
        <w:t xml:space="preserve"> </w:t>
      </w:r>
      <w:r>
        <w:rPr>
          <w:rFonts w:ascii="Microsoft JhengHei" w:hAnsi="Microsoft JhengHei" w:eastAsia="Microsoft JhengHei" w:cs="Microsoft JhengHei"/>
          <w:spacing w:val="-3"/>
          <w:sz w:val="24"/>
          <w:szCs w:val="24"/>
        </w:rPr>
        <w:t>第十九条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校外实习基地的建立按以下程序进行：</w:t>
      </w:r>
    </w:p>
    <w:p>
      <w:pPr>
        <w:spacing w:before="193" w:line="315" w:lineRule="auto"/>
        <w:ind w:left="2" w:right="91"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1、学院申请。学院依据专业建设的需要对拟建基地先期进行考察论证，</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与依托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单位初步协商并达成共识，将考察论证情况书面报告教务处，提出建设申请。</w:t>
      </w:r>
    </w:p>
    <w:p>
      <w:pPr>
        <w:spacing w:before="1" w:line="201"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2、学校考察。教务处组织有关专家、领导进行实地考察，提出审批意见。</w:t>
      </w:r>
    </w:p>
    <w:p>
      <w:pPr>
        <w:spacing w:before="162" w:line="265" w:lineRule="auto"/>
        <w:ind w:left="4" w:right="8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3、签定协议。经学校批准后，</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委托相关学院与依托单位就双方共建教学实习基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地具体事宜进一步协商，并签署共建协议书，</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明确双方责任、权利及义务。协议书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一式三份，由教务处、校外实习基地单位、相关学院各执一份。</w:t>
      </w:r>
    </w:p>
    <w:p>
      <w:pPr>
        <w:spacing w:before="216" w:line="239" w:lineRule="auto"/>
        <w:ind w:left="2" w:right="91"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4、挂牌。根据教学需要和双方意愿，</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对符合挂牌条件的校外实习基地，</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sz w:val="24"/>
          <w:szCs w:val="24"/>
        </w:rPr>
        <w:t>在签定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合作协议后可申请挂牌。</w:t>
      </w:r>
    </w:p>
    <w:p>
      <w:pPr>
        <w:spacing w:before="205" w:line="288" w:lineRule="auto"/>
        <w:ind w:right="95"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4"/>
          <w:sz w:val="24"/>
          <w:szCs w:val="24"/>
        </w:rPr>
        <w:t>第二十条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4"/>
          <w:sz w:val="24"/>
          <w:szCs w:val="24"/>
        </w:rPr>
        <w:t>实习基地协议书应包括以下内容</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14"/>
          <w:sz w:val="24"/>
          <w:szCs w:val="24"/>
        </w:rPr>
        <w:t>1）双方合作目的</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14"/>
          <w:sz w:val="24"/>
          <w:szCs w:val="24"/>
        </w:rPr>
        <w:t>2）基地建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sz w:val="24"/>
          <w:szCs w:val="24"/>
        </w:rPr>
        <w:t>设目标与受益范围</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12"/>
          <w:sz w:val="24"/>
          <w:szCs w:val="24"/>
        </w:rPr>
        <w:t>3）双方权利和义务</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12"/>
          <w:sz w:val="24"/>
          <w:szCs w:val="24"/>
        </w:rPr>
        <w:t>4）实习师生的食宿、学习、交通等安</w:t>
      </w:r>
    </w:p>
    <w:p>
      <w:pPr>
        <w:sectPr>
          <w:footerReference r:id="rId253" w:type="default"/>
          <w:pgSz w:w="11905" w:h="16840"/>
          <w:pgMar w:top="1431" w:right="1496" w:bottom="1158" w:left="1588" w:header="0" w:footer="1034" w:gutter="0"/>
          <w:cols w:space="720" w:num="1"/>
        </w:sectPr>
      </w:pPr>
    </w:p>
    <w:p>
      <w:pPr>
        <w:spacing w:before="423" w:line="193"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排</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1"/>
          <w:sz w:val="24"/>
          <w:szCs w:val="24"/>
        </w:rPr>
        <w:t>5）协议合作年限</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1"/>
          <w:sz w:val="24"/>
          <w:szCs w:val="24"/>
        </w:rPr>
        <w:t>6）其它需说明的事项。</w:t>
      </w:r>
    </w:p>
    <w:p>
      <w:pPr>
        <w:spacing w:before="166" w:line="282" w:lineRule="auto"/>
        <w:ind w:left="3" w:right="29"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第二十一条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实习基地协议合作年限根据双方需要协商确定，一般为</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2"/>
          <w:sz w:val="24"/>
          <w:szCs w:val="24"/>
        </w:rPr>
        <w:t>3-5</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2"/>
          <w:sz w:val="24"/>
          <w:szCs w:val="24"/>
        </w:rPr>
        <w:t>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协议期满，根据双方合作成效及意向续签协议。</w:t>
      </w:r>
    </w:p>
    <w:p>
      <w:pPr>
        <w:spacing w:before="9" w:line="293" w:lineRule="auto"/>
        <w:ind w:lef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实习基地挂牌应统一规范，标牌内容、规格尺寸及用材由教务处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统一定制。未经学校批准，任何单位或个人不得擅自挂牌和使用吉首大学校外实习</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基地名称。</w:t>
      </w:r>
    </w:p>
    <w:p>
      <w:pPr>
        <w:spacing w:before="8" w:line="250" w:lineRule="auto"/>
        <w:ind w:left="2" w:righ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根据实习教学需要，各专业可聘请基地所在单位相关人员作为校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外指导教师，共同对学生实习进行指导和管理。校外指导教师须具有丰富的生产实</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
          <w:sz w:val="24"/>
          <w:szCs w:val="24"/>
        </w:rPr>
        <w:t>践经验和较强的指导能力，须具有本科以上学历或中级以上职称。</w:t>
      </w:r>
    </w:p>
    <w:p>
      <w:pPr>
        <w:spacing w:before="204" w:line="294" w:lineRule="auto"/>
        <w:ind w:left="1" w:right="2"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校外指导教师由基地所在单位推荐，学院审查通过，由相关学院</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进行聘任，报教务处备案。聘期根据基地合作协议约定期限确定，一般为</w:t>
      </w:r>
      <w:r>
        <w:rPr>
          <w:rFonts w:ascii="方正书宋简体" w:hAnsi="方正书宋简体" w:eastAsia="方正书宋简体" w:cs="方正书宋简体"/>
          <w:spacing w:val="69"/>
          <w:w w:val="101"/>
          <w:sz w:val="24"/>
          <w:szCs w:val="24"/>
        </w:rPr>
        <w:t xml:space="preserve"> </w:t>
      </w:r>
      <w:r>
        <w:rPr>
          <w:rFonts w:ascii="方正书宋简体" w:hAnsi="方正书宋简体" w:eastAsia="方正书宋简体" w:cs="方正书宋简体"/>
          <w:spacing w:val="-2"/>
          <w:sz w:val="24"/>
          <w:szCs w:val="24"/>
        </w:rPr>
        <w:t>3-5</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2"/>
          <w:sz w:val="24"/>
          <w:szCs w:val="24"/>
        </w:rPr>
        <w:t>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期满根据工作情况续聘。</w:t>
      </w:r>
    </w:p>
    <w:p>
      <w:pPr>
        <w:spacing w:before="2" w:line="250" w:lineRule="auto"/>
        <w:ind w:left="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各学院应加强校外实习基地的建设与管理，规范建立校外实习基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地档案，做好基地运行和实习情况记载。各学院经费投入原则上用于基地的基本生</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活、学习条件建设，以保证实习教学顺利开展。</w:t>
      </w:r>
    </w:p>
    <w:p>
      <w:pPr>
        <w:spacing w:before="200" w:line="298" w:lineRule="auto"/>
        <w:ind w:lef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学院和学校适时对校外实习基地建设及运行情况进行检查与动态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调整，对丧失了基本条件的单位，予以撤消；</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对校外实习基地建设与管理工作中取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得突出成绩的单位及个人，作为年度考核、职务评聘、教学成果奖评定中的重要业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5"/>
          <w:sz w:val="24"/>
          <w:szCs w:val="24"/>
        </w:rPr>
        <w:t>绩予以认定。</w:t>
      </w:r>
    </w:p>
    <w:p>
      <w:pPr>
        <w:spacing w:before="12" w:line="197" w:lineRule="auto"/>
        <w:ind w:firstLine="2455"/>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2"/>
          <w:sz w:val="24"/>
          <w:szCs w:val="24"/>
        </w:rPr>
        <w:t>实习基地的建设与经费管理</w:t>
      </w:r>
    </w:p>
    <w:p>
      <w:pPr>
        <w:spacing w:before="108" w:line="265"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校内实习基地的建设以承担教学任务为前提，以提高学生实践能</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力、创新创业能力和综合素质为目标，以学科建设和实验室建设为依托，与专业建</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设相适应，按照“整体规划、合理布局、分类建设、分步实施、资源共享”的原则</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进行。</w:t>
      </w:r>
    </w:p>
    <w:p>
      <w:pPr>
        <w:spacing w:before="207" w:line="295" w:lineRule="auto"/>
        <w:ind w:left="2" w:right="1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第二十八条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校外实习基地建设应立足专业人才培养需要，按照“整体规划、 </w:t>
      </w:r>
      <w:r>
        <w:rPr>
          <w:rFonts w:ascii="方正书宋简体" w:hAnsi="方正书宋简体" w:eastAsia="方正书宋简体" w:cs="方正书宋简体"/>
          <w:spacing w:val="2"/>
          <w:sz w:val="24"/>
          <w:szCs w:val="24"/>
        </w:rPr>
        <w:t>合理布局，合作共建，动态调整”的原则进行，积极与有关单位联系，鼓励多专业</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联合，建立满足教学需要、质量较高、相对稳定的校外实习基地。</w:t>
      </w:r>
    </w:p>
    <w:p>
      <w:pPr>
        <w:spacing w:before="1" w:line="201"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第二十九条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实习基地建设的主要内容包括：</w:t>
      </w:r>
    </w:p>
    <w:p>
      <w:pPr>
        <w:spacing w:before="114" w:line="327" w:lineRule="auto"/>
        <w:ind w:left="8"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1、软件建设</w:t>
      </w:r>
      <w:r>
        <w:rPr>
          <w:rFonts w:ascii="方正书宋简体" w:hAnsi="方正书宋简体" w:eastAsia="方正书宋简体" w:cs="方正书宋简体"/>
          <w:spacing w:val="34"/>
          <w:sz w:val="24"/>
          <w:szCs w:val="24"/>
        </w:rPr>
        <w:t>：</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34"/>
          <w:sz w:val="24"/>
          <w:szCs w:val="24"/>
        </w:rPr>
        <w:t>（</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1"/>
          <w:w w:val="96"/>
          <w:sz w:val="24"/>
          <w:szCs w:val="24"/>
        </w:rPr>
        <w:t>教学基本文件的建立，</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6"/>
          <w:sz w:val="24"/>
          <w:szCs w:val="24"/>
        </w:rPr>
        <w:t>包括实习（实训）</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11"/>
          <w:w w:val="96"/>
          <w:sz w:val="24"/>
          <w:szCs w:val="24"/>
        </w:rPr>
        <w:t>教学计划、教学大</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纲的制定和修订、实习（实训）教材的编写、实习和训练项目的开发等</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5"/>
          <w:sz w:val="24"/>
          <w:szCs w:val="24"/>
        </w:rPr>
        <w:t>2）实习</w:t>
      </w:r>
    </w:p>
    <w:p>
      <w:pPr>
        <w:sectPr>
          <w:footerReference r:id="rId254" w:type="default"/>
          <w:pgSz w:w="11905" w:h="16840"/>
          <w:pgMar w:top="1431" w:right="1585" w:bottom="1158" w:left="1588" w:header="0" w:footer="1035" w:gutter="0"/>
          <w:cols w:space="720" w:num="1"/>
        </w:sectPr>
      </w:pPr>
    </w:p>
    <w:p>
      <w:pPr>
        <w:spacing w:before="424" w:line="315" w:lineRule="auto"/>
        <w:ind w:left="2" w:hanging="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基地常规管理及教学组织运行的制度建设等</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1"/>
          <w:sz w:val="24"/>
          <w:szCs w:val="24"/>
        </w:rPr>
        <w:t>3）指导教师队伍建设和培训</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1"/>
          <w:sz w:val="24"/>
          <w:szCs w:val="24"/>
        </w:rPr>
        <w:t>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学校与基地共建单位开展教学研究、学术交流和科研协作活动；</w:t>
      </w:r>
    </w:p>
    <w:p>
      <w:pPr>
        <w:spacing w:before="3" w:line="253" w:lineRule="auto"/>
        <w:ind w:left="21" w:right="8" w:firstLine="46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2、硬件建设：</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主要包括为保证在实习基地进行的教学活动正常开展而提供相应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的场地、生活设施，购置仪器设备和配套的器材。</w:t>
      </w:r>
    </w:p>
    <w:p>
      <w:pPr>
        <w:spacing w:before="166" w:line="293" w:lineRule="auto"/>
        <w:ind w:right="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学校每年划拨专项经费，用于实习基地的建设和日常运行，校内实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习基地按照</w:t>
      </w:r>
      <w:r>
        <w:rPr>
          <w:rFonts w:ascii="方正书宋简体" w:hAnsi="方正书宋简体" w:eastAsia="方正书宋简体" w:cs="方正书宋简体"/>
          <w:spacing w:val="88"/>
          <w:w w:val="101"/>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2"/>
          <w:sz w:val="24"/>
          <w:szCs w:val="24"/>
        </w:rPr>
        <w:t>万元/个，校外实习基地中的教育实习基地与专业实习基地分别按照</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w w:val="97"/>
          <w:sz w:val="24"/>
          <w:szCs w:val="24"/>
        </w:rPr>
        <w:t>万元/个和</w:t>
      </w:r>
      <w:r>
        <w:rPr>
          <w:rFonts w:ascii="方正书宋简体" w:hAnsi="方正书宋简体" w:eastAsia="方正书宋简体" w:cs="方正书宋简体"/>
          <w:spacing w:val="110"/>
          <w:sz w:val="24"/>
          <w:szCs w:val="24"/>
        </w:rPr>
        <w:t xml:space="preserve"> </w:t>
      </w:r>
      <w:r>
        <w:rPr>
          <w:rFonts w:ascii="方正书宋简体" w:hAnsi="方正书宋简体" w:eastAsia="方正书宋简体" w:cs="方正书宋简体"/>
          <w:spacing w:val="-6"/>
          <w:w w:val="97"/>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w w:val="97"/>
          <w:sz w:val="24"/>
          <w:szCs w:val="24"/>
        </w:rPr>
        <w:t>万元/个的标准编制预算，</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w w:val="97"/>
          <w:sz w:val="24"/>
          <w:szCs w:val="24"/>
        </w:rPr>
        <w:t>国家级、省级基地按照相关规定执行，</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6"/>
          <w:w w:val="97"/>
          <w:sz w:val="24"/>
          <w:szCs w:val="24"/>
        </w:rPr>
        <w:t>其具体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使用范围为</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3"/>
          <w:sz w:val="24"/>
          <w:szCs w:val="24"/>
        </w:rPr>
        <w:t>1）支付实习教学基地单位管理费</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3"/>
          <w:sz w:val="24"/>
          <w:szCs w:val="24"/>
        </w:rPr>
        <w:t>2）实习基地建设项目必要的调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研费</w:t>
      </w:r>
      <w:r>
        <w:rPr>
          <w:rFonts w:ascii="方正书宋简体" w:hAnsi="方正书宋简体" w:eastAsia="方正书宋简体" w:cs="方正书宋简体"/>
          <w:spacing w:val="-21"/>
          <w:sz w:val="24"/>
          <w:szCs w:val="24"/>
        </w:rPr>
        <w:t>；</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1"/>
          <w:sz w:val="24"/>
          <w:szCs w:val="24"/>
        </w:rPr>
        <w:t>（</w:t>
      </w:r>
      <w:r>
        <w:rPr>
          <w:rFonts w:ascii="方正书宋简体" w:hAnsi="方正书宋简体" w:eastAsia="方正书宋简体" w:cs="方正书宋简体"/>
          <w:spacing w:val="-12"/>
          <w:sz w:val="24"/>
          <w:szCs w:val="24"/>
        </w:rPr>
        <w:t>3）实习基地指导教师教学指导费</w:t>
      </w:r>
      <w:r>
        <w:rPr>
          <w:rFonts w:ascii="方正书宋简体" w:hAnsi="方正书宋简体" w:eastAsia="方正书宋简体" w:cs="方正书宋简体"/>
          <w:spacing w:val="-21"/>
          <w:sz w:val="24"/>
          <w:szCs w:val="24"/>
        </w:rPr>
        <w:t>；</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1"/>
          <w:sz w:val="24"/>
          <w:szCs w:val="24"/>
        </w:rPr>
        <w:t>（</w:t>
      </w:r>
      <w:r>
        <w:rPr>
          <w:rFonts w:ascii="方正书宋简体" w:hAnsi="方正书宋简体" w:eastAsia="方正书宋简体" w:cs="方正书宋简体"/>
          <w:spacing w:val="-12"/>
          <w:sz w:val="24"/>
          <w:szCs w:val="24"/>
        </w:rPr>
        <w:t>4）开发学生实践潜能、创新实践项目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建设费；</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12"/>
          <w:sz w:val="24"/>
          <w:szCs w:val="24"/>
        </w:rPr>
        <w:t>（5）与实习基地项目相关的图书、教学软件、办公用品费等；</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2"/>
          <w:sz w:val="24"/>
          <w:szCs w:val="24"/>
        </w:rPr>
        <w:t>（6）教学研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究、科研协作、学术交流业务费</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6"/>
          <w:sz w:val="24"/>
          <w:szCs w:val="24"/>
        </w:rPr>
        <w:t>7）必要的实习教学用品、必需的实习生活设施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建设费</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8"/>
          <w:sz w:val="24"/>
          <w:szCs w:val="24"/>
        </w:rPr>
        <w:t>（</w:t>
      </w:r>
      <w:r>
        <w:rPr>
          <w:rFonts w:ascii="方正书宋简体" w:hAnsi="方正书宋简体" w:eastAsia="方正书宋简体" w:cs="方正书宋简体"/>
          <w:spacing w:val="-12"/>
          <w:sz w:val="24"/>
          <w:szCs w:val="24"/>
        </w:rPr>
        <w:t>8）实习基地共建协议明确的其他费用。</w:t>
      </w:r>
    </w:p>
    <w:p>
      <w:pPr>
        <w:spacing w:before="167" w:line="275" w:lineRule="auto"/>
        <w:ind w:left="1" w:right="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实习基地专项经费由教务处统一管理，使用时采用申请立项的方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式进行，报账要求及流程按学校财务管理的有关制度执行。各学院根据相关专业培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养计划需要，每学年结束前提出实习基地建设申请，填写《吉首大学实习基地建设</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项目申请书》，</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9"/>
          <w:sz w:val="24"/>
          <w:szCs w:val="24"/>
        </w:rPr>
        <w:t>同时将实习基地建设规划及相关的经费预算和配套项目建设资料交到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教务处实践科，由教务处组织有关专家进行评审后，报学校主管领导批准实施。</w:t>
      </w:r>
    </w:p>
    <w:p>
      <w:pPr>
        <w:spacing w:before="205" w:line="290" w:lineRule="auto"/>
        <w:ind w:left="1" w:right="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实习基地要严格按立项内容进行建设，如需要变更内容，须向教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务处提交相应的申请报告和论证材料，变更项目的建设资金必须控制在专项经费范</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围内，并由学校主管领导批准后实施。</w:t>
      </w:r>
    </w:p>
    <w:p>
      <w:pPr>
        <w:spacing w:before="19" w:line="192"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第五章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18"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第三十三条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本规定自下发之日起执行，教务处负责解释。</w:t>
      </w:r>
    </w:p>
    <w:p>
      <w:pPr>
        <w:spacing w:before="13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第三十四条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原《吉首大学实践教学基地建设与管理规定》自行废止。</w:t>
      </w:r>
    </w:p>
    <w:p>
      <w:pPr>
        <w:sectPr>
          <w:footerReference r:id="rId255" w:type="default"/>
          <w:pgSz w:w="11905" w:h="16840"/>
          <w:pgMar w:top="1431" w:right="1578" w:bottom="1158" w:left="1590" w:header="0" w:footer="1035" w:gutter="0"/>
          <w:cols w:space="720" w:num="1"/>
        </w:sectPr>
      </w:pPr>
    </w:p>
    <w:p>
      <w:pPr>
        <w:spacing w:before="317" w:line="179" w:lineRule="auto"/>
        <w:ind w:left="2804" w:right="1574" w:hanging="127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吉首大学国家级、省级实践教学基地项目</w:t>
      </w:r>
      <w:r>
        <w:rPr>
          <w:rFonts w:ascii="Microsoft JhengHei" w:hAnsi="Microsoft JhengHei" w:eastAsia="Microsoft JhengHei" w:cs="Microsoft JhengHei"/>
          <w:spacing w:val="8"/>
          <w:sz w:val="32"/>
          <w:szCs w:val="32"/>
        </w:rPr>
        <w:t xml:space="preserve"> </w:t>
      </w:r>
      <w:r>
        <w:rPr>
          <w:rFonts w:ascii="Microsoft JhengHei" w:hAnsi="Microsoft JhengHei" w:eastAsia="Microsoft JhengHei" w:cs="Microsoft JhengHei"/>
          <w:sz w:val="32"/>
          <w:szCs w:val="32"/>
        </w:rPr>
        <w:t>建设管理办法（试行）</w:t>
      </w:r>
    </w:p>
    <w:p>
      <w:pPr>
        <w:spacing w:before="69" w:line="184" w:lineRule="auto"/>
        <w:ind w:firstLine="3164"/>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10</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08" w:lineRule="auto"/>
        <w:rPr>
          <w:rFonts w:ascii="Malgun Gothic"/>
          <w:sz w:val="21"/>
        </w:rPr>
      </w:pPr>
    </w:p>
    <w:p>
      <w:pPr>
        <w:spacing w:before="104" w:line="180" w:lineRule="auto"/>
        <w:ind w:firstLine="356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00" w:line="275" w:lineRule="auto"/>
        <w:ind w:left="33" w:right="7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根据《关于申报教育部“本科教学工程”大学生校外实践教育基地的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通知》</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5"/>
          <w:sz w:val="24"/>
          <w:szCs w:val="24"/>
        </w:rPr>
        <w:t>（湘教通〔2012〕633</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5"/>
          <w:sz w:val="24"/>
          <w:szCs w:val="24"/>
        </w:rPr>
        <w:t>号）、</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15"/>
          <w:sz w:val="24"/>
          <w:szCs w:val="24"/>
        </w:rPr>
        <w:t>《关于开展普通高校全面深化校地校企合作试点工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作的通知》（湘教通〔2016〕247</w:t>
      </w:r>
      <w:r>
        <w:rPr>
          <w:rFonts w:ascii="方正书宋简体" w:hAnsi="方正书宋简体" w:eastAsia="方正书宋简体" w:cs="方正书宋简体"/>
          <w:spacing w:val="93"/>
          <w:sz w:val="24"/>
          <w:szCs w:val="24"/>
        </w:rPr>
        <w:t xml:space="preserve"> </w:t>
      </w:r>
      <w:r>
        <w:rPr>
          <w:rFonts w:ascii="方正书宋简体" w:hAnsi="方正书宋简体" w:eastAsia="方正书宋简体" w:cs="方正书宋简体"/>
          <w:spacing w:val="-4"/>
          <w:sz w:val="24"/>
          <w:szCs w:val="24"/>
        </w:rPr>
        <w:t>号）和《吉首大学实习教学基地建设与管理办法》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等文件精神，为加强我校国家级、省级实践教学基地项目的建设与管理，确保实践</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教学的有序进行和基地的长期稳定发展，结合学校实际，特制定本办法。</w:t>
      </w:r>
    </w:p>
    <w:p>
      <w:pPr>
        <w:spacing w:before="3" w:line="256" w:lineRule="auto"/>
        <w:ind w:left="36" w:right="92"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本办法中的省级、国家级实践教学基地（以下简称基地）是指获得省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级及以上教育主管部门立项的各类校外实践教学基地。</w:t>
      </w:r>
    </w:p>
    <w:p>
      <w:pPr>
        <w:spacing w:before="11" w:line="268" w:lineRule="auto"/>
        <w:ind w:left="32" w:right="8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实践教学基地是学校基本办学条件之一，对于培养学生实践能力、创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新创业能力和实现人才培养目标有着重要的意义，学校各级领导和教学单位均应重</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视并不断加强基地的建设与管理。</w:t>
      </w:r>
    </w:p>
    <w:p>
      <w:pPr>
        <w:spacing w:before="2" w:line="202" w:lineRule="auto"/>
        <w:ind w:firstLine="344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建设内容</w:t>
      </w:r>
    </w:p>
    <w:p>
      <w:pPr>
        <w:spacing w:before="63" w:line="245" w:lineRule="auto"/>
        <w:ind w:left="32" w:right="8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健全组织管理体系。依托基地所在单位与相关学院共同建设，并由相</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关学院和基地双方主要领导担任实践教学基地的负责人。基地应根据相关专业的人</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才培养目标，结合双方实际情况探索建立可持续发展的管理模式和运行机制，建立</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有关教学运行、学生管理、安全保障等方面的规章制度。</w:t>
      </w:r>
    </w:p>
    <w:p>
      <w:pPr>
        <w:spacing w:before="163" w:line="246" w:lineRule="auto"/>
        <w:ind w:left="33"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深化实践教学改革。遵照教育规律和人才成长规律，学院和基地单位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共同制定实践教学的教学目标和培养方案，共同建设实践教学的课程体系和教学内</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容，共同组织实施实践教学的培养过程，共同评价实践教学的培养质量，积极开展</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6"/>
          <w:sz w:val="24"/>
          <w:szCs w:val="24"/>
        </w:rPr>
        <w:t>专业实践教学和创新创业能力训练，</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6"/>
          <w:sz w:val="24"/>
          <w:szCs w:val="24"/>
        </w:rPr>
        <w:t>推动校企合作、协同育人的实践教学模式改革。</w:t>
      </w:r>
    </w:p>
    <w:p>
      <w:pPr>
        <w:spacing w:before="167" w:line="245" w:lineRule="auto"/>
        <w:ind w:left="33" w:right="89"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建设专职与兼职相结合的指导教师队伍。基地的指导教师队伍应由高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校教师和基地单位的专业技术人员、管理人员共同组成，实践教学基地应采取有效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措施，调动指导教师的积极性，加强“双师型”教师队伍建设，不断提高指导教师</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队伍的整体水平。</w:t>
      </w:r>
    </w:p>
    <w:p>
      <w:pPr>
        <w:spacing w:before="163" w:line="257" w:lineRule="auto"/>
        <w:ind w:left="33" w:right="9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建立开放共享机制。基地除承担共建高校的学生实践教学任务外，还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应主动发布实践教学基地有关信息，可向其他高校开放。</w:t>
      </w:r>
    </w:p>
    <w:p>
      <w:pPr>
        <w:spacing w:before="12" w:line="268" w:lineRule="auto"/>
        <w:ind w:left="32" w:right="8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第八条    </w:t>
      </w:r>
      <w:r>
        <w:rPr>
          <w:rFonts w:ascii="方正书宋简体" w:hAnsi="方正书宋简体" w:eastAsia="方正书宋简体" w:cs="方正书宋简体"/>
          <w:spacing w:val="2"/>
          <w:sz w:val="24"/>
          <w:szCs w:val="24"/>
        </w:rPr>
        <w:t>保护学生的合法权益。基地应加强对高校学生安全、保密、知识产权 保护等的教育，做好相关的管理工作。要提供充分的安全保护设备，保护学生的身</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心健康与安全。</w:t>
      </w:r>
    </w:p>
    <w:p>
      <w:pPr>
        <w:sectPr>
          <w:footerReference r:id="rId256" w:type="default"/>
          <w:pgSz w:w="11905" w:h="16840"/>
          <w:pgMar w:top="1431" w:right="1496" w:bottom="1158" w:left="1557" w:header="0" w:footer="1035" w:gutter="0"/>
          <w:cols w:space="720" w:num="1"/>
        </w:sectPr>
      </w:pPr>
    </w:p>
    <w:p>
      <w:pPr>
        <w:spacing w:before="382" w:line="180" w:lineRule="auto"/>
        <w:ind w:firstLine="3415"/>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工作要求</w:t>
      </w:r>
    </w:p>
    <w:p>
      <w:pPr>
        <w:spacing w:before="95" w:line="262" w:lineRule="auto"/>
        <w:ind w:right="94"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基地负责人年初上交年度建设计划和建设方案，详细具体列出年度建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设任务、责任人、完成时间和经费安排，年末上交年度建设总结材料。基地年度建</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设方案和经费安排通过教务处审核后方可实施。</w:t>
      </w:r>
    </w:p>
    <w:p>
      <w:pPr>
        <w:spacing w:before="32" w:line="267" w:lineRule="auto"/>
        <w:ind w:left="2" w:right="9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第十条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实行项目化建设与管理。基地根据建设要求和建设计划，科学论证，</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合理安排开放项目，面向基地的相关人员（含校内外）进行招标。学校将组织专家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对开放项目的立项、结题进行评审和发布，并对项目建设情况进行定期检查。</w:t>
      </w:r>
    </w:p>
    <w:p>
      <w:pPr>
        <w:spacing w:before="4" w:line="268" w:lineRule="auto"/>
        <w:ind w:left="2" w:right="9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5"/>
          <w:sz w:val="24"/>
          <w:szCs w:val="24"/>
        </w:rPr>
        <w:t>学院应成立基地建设指导委员会，</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5"/>
          <w:sz w:val="24"/>
          <w:szCs w:val="24"/>
        </w:rPr>
        <w:t>并制定基地建设经费管理办法，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定期向全院公布经费使用情况，在学院网站建立基地网站链接，基地网站上及时公</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布项目建设进展情况。</w:t>
      </w:r>
    </w:p>
    <w:p>
      <w:pPr>
        <w:spacing w:before="2" w:line="220" w:lineRule="auto"/>
        <w:ind w:left="2" w:right="9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学校在每年底听取基地建设年度报告，对完成建设任务的基地，下</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拨下年度建设经费；未完成相关建设任务的基地，必须按要求及时进行整改。</w:t>
      </w:r>
    </w:p>
    <w:p>
      <w:pPr>
        <w:spacing w:before="127" w:line="180" w:lineRule="auto"/>
        <w:ind w:firstLine="329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经费使用与管理</w:t>
      </w:r>
    </w:p>
    <w:p>
      <w:pPr>
        <w:spacing w:before="96" w:line="233" w:lineRule="auto"/>
        <w:ind w:left="10" w:right="85"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第十三条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10"/>
          <w:sz w:val="24"/>
          <w:szCs w:val="24"/>
        </w:rPr>
        <w:t>基地建设专项经费下拨相关学院，</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0"/>
          <w:sz w:val="24"/>
          <w:szCs w:val="24"/>
        </w:rPr>
        <w:t>建设经费须用于基地建设，不得用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于与基地建设无关的项目。基地建设开支的发票必须有项目负责人、院长、教务处主管</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9"/>
          <w:sz w:val="24"/>
          <w:szCs w:val="24"/>
        </w:rPr>
        <w:t>副处长、处长审核签字方可报账。报账要求及流程按学校财务管理的有关制度执行。</w:t>
      </w:r>
    </w:p>
    <w:p>
      <w:pPr>
        <w:spacing w:before="162" w:line="259" w:lineRule="auto"/>
        <w:ind w:left="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1"/>
          <w:sz w:val="24"/>
          <w:szCs w:val="24"/>
        </w:rPr>
        <w:t>第十四条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1"/>
          <w:sz w:val="24"/>
          <w:szCs w:val="24"/>
        </w:rPr>
        <w:t>经费的支付内容：</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1"/>
          <w:sz w:val="24"/>
          <w:szCs w:val="24"/>
        </w:rPr>
        <w:t>1、基地单位管理费；</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21"/>
          <w:sz w:val="24"/>
          <w:szCs w:val="24"/>
        </w:rPr>
        <w:t>2、差旅费；</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1"/>
          <w:sz w:val="24"/>
          <w:szCs w:val="24"/>
        </w:rPr>
        <w:t>3、会议费；</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1"/>
          <w:sz w:val="24"/>
          <w:szCs w:val="24"/>
        </w:rPr>
        <w:t>4、</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人员经费；5、资料费；6、办公费；7、基地教学改革研究项目（包括课程、教材、</w:t>
      </w:r>
      <w:r>
        <w:rPr>
          <w:rFonts w:ascii="方正书宋简体" w:hAnsi="方正书宋简体" w:eastAsia="方正书宋简体" w:cs="方正书宋简体"/>
          <w:spacing w:val="4"/>
          <w:w w:val="102"/>
          <w:sz w:val="24"/>
          <w:szCs w:val="24"/>
        </w:rPr>
        <w:t xml:space="preserve">  </w:t>
      </w:r>
      <w:r>
        <w:rPr>
          <w:rFonts w:ascii="方正书宋简体" w:hAnsi="方正书宋简体" w:eastAsia="方正书宋简体" w:cs="方正书宋简体"/>
          <w:spacing w:val="-13"/>
          <w:sz w:val="24"/>
          <w:szCs w:val="24"/>
        </w:rPr>
        <w:t>教改立项等）、开放项目建设费；</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13"/>
          <w:sz w:val="24"/>
          <w:szCs w:val="24"/>
        </w:rPr>
        <w:t>8、科研协作、学术交流业务费；</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3"/>
          <w:sz w:val="24"/>
          <w:szCs w:val="24"/>
        </w:rPr>
        <w:t>9、必要的实践教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学用品、生活设施建设费；10、技能训练、学科竞赛费用；11、基地网络信息与学</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11"/>
          <w:sz w:val="24"/>
          <w:szCs w:val="24"/>
        </w:rPr>
        <w:t>习平台建设费、数字资源制作费；</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sz w:val="24"/>
          <w:szCs w:val="24"/>
        </w:rPr>
        <w:t>12、成果费；</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sz w:val="24"/>
          <w:szCs w:val="24"/>
        </w:rPr>
        <w:t>13、基地共建协议明确的其他费用。</w:t>
      </w:r>
    </w:p>
    <w:p>
      <w:pPr>
        <w:spacing w:before="127" w:line="180" w:lineRule="auto"/>
        <w:ind w:firstLine="329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3"/>
          <w:sz w:val="24"/>
          <w:szCs w:val="24"/>
        </w:rPr>
        <w:t xml:space="preserve">    </w:t>
      </w:r>
      <w:r>
        <w:rPr>
          <w:rFonts w:ascii="Microsoft JhengHei" w:hAnsi="Microsoft JhengHei" w:eastAsia="Microsoft JhengHei" w:cs="Microsoft JhengHei"/>
          <w:spacing w:val="-3"/>
          <w:sz w:val="24"/>
          <w:szCs w:val="24"/>
        </w:rPr>
        <w:t>检查和验收</w:t>
      </w:r>
    </w:p>
    <w:p>
      <w:pPr>
        <w:spacing w:before="99" w:line="232" w:lineRule="auto"/>
        <w:ind w:right="94"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
          <w:sz w:val="24"/>
          <w:szCs w:val="24"/>
        </w:rPr>
        <w:t>根据项目建设规划和年度建设计划，教务处组织专家定期对项目建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设情况进行检查。检查的主要内容是项目进展情况、资金的使用情况、项目建设中</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存在的主要问题和改进措施等。</w:t>
      </w:r>
    </w:p>
    <w:p>
      <w:pPr>
        <w:spacing w:before="163" w:line="233" w:lineRule="auto"/>
        <w:ind w:left="4"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项目建设期满，项目负责人需报送项目建设总结报告，学校组织专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家进行验收。验收的主要内容包括建设任务完成情况、取得的标志性成果以及经验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分析、下一步建设方案、资金使用情况等。</w:t>
      </w:r>
    </w:p>
    <w:p>
      <w:pPr>
        <w:spacing w:before="164" w:line="220" w:lineRule="auto"/>
        <w:ind w:left="3" w:right="97"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验收结束后，由教务处出具验收意见、公示与发文，并向上级主管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部门提交验收材料，提请上级主管部门验收。</w:t>
      </w:r>
    </w:p>
    <w:p>
      <w:pPr>
        <w:spacing w:before="127" w:line="180" w:lineRule="auto"/>
        <w:ind w:firstLine="3535"/>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98" w:line="180"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第十八条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本办法自发布之日起实施，由教务处负责解释和修订。</w:t>
      </w:r>
    </w:p>
    <w:p>
      <w:pPr>
        <w:sectPr>
          <w:footerReference r:id="rId257" w:type="default"/>
          <w:pgSz w:w="11905" w:h="16840"/>
          <w:pgMar w:top="1431" w:right="1491" w:bottom="1158" w:left="1588" w:header="0" w:footer="1035" w:gutter="0"/>
          <w:cols w:space="720" w:num="1"/>
        </w:sectPr>
      </w:pPr>
    </w:p>
    <w:p>
      <w:pPr>
        <w:spacing w:before="349" w:line="180" w:lineRule="auto"/>
        <w:ind w:firstLine="133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吉首大学大学生创新创业孵化基地管理办法</w:t>
      </w:r>
    </w:p>
    <w:p>
      <w:pPr>
        <w:spacing w:before="35" w:line="187" w:lineRule="auto"/>
        <w:ind w:firstLine="3628"/>
        <w:rPr>
          <w:rFonts w:ascii="Microsoft JhengHei" w:hAnsi="Microsoft JhengHei" w:eastAsia="Microsoft JhengHei" w:cs="Microsoft JhengHei"/>
          <w:sz w:val="32"/>
          <w:szCs w:val="32"/>
        </w:rPr>
      </w:pPr>
      <w:r>
        <w:rPr>
          <w:rFonts w:ascii="Microsoft JhengHei" w:hAnsi="Microsoft JhengHei" w:eastAsia="Microsoft JhengHei" w:cs="Microsoft JhengHei"/>
          <w:spacing w:val="8"/>
          <w:sz w:val="32"/>
          <w:szCs w:val="32"/>
        </w:rPr>
        <w:t>（试行）</w:t>
      </w:r>
    </w:p>
    <w:p>
      <w:pPr>
        <w:spacing w:line="284" w:lineRule="auto"/>
        <w:rPr>
          <w:rFonts w:ascii="Malgun Gothic"/>
          <w:sz w:val="21"/>
        </w:rPr>
      </w:pPr>
    </w:p>
    <w:p>
      <w:pPr>
        <w:spacing w:before="104" w:line="180" w:lineRule="auto"/>
        <w:ind w:firstLine="3536"/>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41" w:line="286"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6"/>
          <w:sz w:val="24"/>
          <w:szCs w:val="24"/>
        </w:rPr>
        <w:t>为加强吉首大学大学生创新创业孵化基地（以下简称“基地”）管理，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培养具有较强学习能力、实践能力和创新能力的创新人才，积极引导在校大学生和</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
          <w:sz w:val="24"/>
          <w:szCs w:val="24"/>
        </w:rPr>
        <w:t>大学毕业生自主创业，培育大学生的创业意识和实践能力，创建真实的创业环境，</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sz w:val="24"/>
          <w:szCs w:val="24"/>
        </w:rPr>
        <w:t>营造良好的创业氛围，</w:t>
      </w:r>
      <w:r>
        <w:rPr>
          <w:rFonts w:ascii="方正书宋简体" w:hAnsi="方正书宋简体" w:eastAsia="方正书宋简体" w:cs="方正书宋简体"/>
          <w:spacing w:val="37"/>
          <w:w w:val="101"/>
          <w:sz w:val="24"/>
          <w:szCs w:val="24"/>
        </w:rPr>
        <w:t xml:space="preserve">  </w:t>
      </w:r>
      <w:r>
        <w:rPr>
          <w:rFonts w:ascii="方正书宋简体" w:hAnsi="方正书宋简体" w:eastAsia="方正书宋简体" w:cs="方正书宋简体"/>
          <w:spacing w:val="-11"/>
          <w:sz w:val="24"/>
          <w:szCs w:val="24"/>
        </w:rPr>
        <w:t>扶持大学生开展新型创业、科技创业，</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实现创业实践项目化、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创业管理制度化、创业平台基地化、创业指导全程化，打造创业实践——创业孵化</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6"/>
          <w:sz w:val="24"/>
          <w:szCs w:val="24"/>
        </w:rPr>
        <w:t>——创业产业化发展的绿色通道，</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6"/>
          <w:sz w:val="24"/>
          <w:szCs w:val="24"/>
        </w:rPr>
        <w:t>为入驻基地的大学生企业或创业工作室提供服务，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保证基地各项工作的顺利进行，特制定本办法。</w:t>
      </w:r>
    </w:p>
    <w:p>
      <w:pPr>
        <w:spacing w:before="205" w:line="294" w:lineRule="auto"/>
        <w:ind w:left="2"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基地以扶持学生创业为宗旨，以公益性、示范性、专业性、创新性为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主要特征，致力于开展大学生创新创业政策理论研究、创业指导培训和创业实训等</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综合服务。</w:t>
      </w:r>
    </w:p>
    <w:p>
      <w:pPr>
        <w:spacing w:before="10" w:line="289" w:lineRule="auto"/>
        <w:ind w:left="2" w:right="96"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学校大学生企业和创业工作室可申请入驻基地。其中，大学生企业是</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学校普通全日制本专科以上学历的大学生在校期间或毕业两年择业期内自主创业，</w:t>
      </w:r>
      <w:r>
        <w:rPr>
          <w:rFonts w:ascii="方正书宋简体" w:hAnsi="方正书宋简体" w:eastAsia="方正书宋简体" w:cs="方正书宋简体"/>
          <w:spacing w:val="4"/>
          <w:w w:val="103"/>
          <w:sz w:val="24"/>
          <w:szCs w:val="24"/>
        </w:rPr>
        <w:t xml:space="preserve">  </w:t>
      </w:r>
      <w:r>
        <w:rPr>
          <w:rFonts w:ascii="方正书宋简体" w:hAnsi="方正书宋简体" w:eastAsia="方正书宋简体" w:cs="方正书宋简体"/>
          <w:spacing w:val="2"/>
          <w:sz w:val="24"/>
          <w:szCs w:val="24"/>
        </w:rPr>
        <w:t>并且办理了工商营业执照的初创项目。大学生创业工作室是指学校普通全日制本专</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3"/>
          <w:sz w:val="24"/>
          <w:szCs w:val="24"/>
        </w:rPr>
        <w:t>科以上学历的大学生以完整的项目创业计划，</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并且进行了生产经营等创业活动，收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到了良好经济效益和社会效益、发展前景良好、尚未办理工商营业执照但是在吉首</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大学团委办理了注册登记的初创项目；或者学生以创新创业大赛奖励项目（创新创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业大赛界定为校级及其以上大学生创业计划大赛、大学生科技创新大赛、大学生创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业团队大赛等）和湖南省大学生创新实验项目为基础，进行创业实践活动的项目。</w:t>
      </w:r>
    </w:p>
    <w:p>
      <w:pPr>
        <w:spacing w:before="204" w:line="180" w:lineRule="auto"/>
        <w:ind w:firstLine="341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管理机构</w:t>
      </w:r>
    </w:p>
    <w:p>
      <w:pPr>
        <w:spacing w:before="142" w:line="304" w:lineRule="auto"/>
        <w:ind w:left="1" w:right="96"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学校成立大学生创新创业孵化基地管理委员会，委员会主任由分管就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业工作的学校领导担任，副主任由招生就业处、教务处、共青团吉首大学委员会、</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张家界校区党政办公室、财务处、资产管理与基建处、后勤管理处、保卫处各部门</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负责人担任。管理委员办公室设在招生就业处，办公室下设秘书处，秘书处成员可</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从具有创业热情的学生中产生。张家界校区大学生创新创业孵化基地由张家界校区</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学生工作办公室参照此办法负责管理。管理委员会的基本职责包括：</w:t>
      </w:r>
    </w:p>
    <w:p>
      <w:pPr>
        <w:spacing w:before="14" w:line="192" w:lineRule="auto"/>
        <w:ind w:firstLine="3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（一）免费为学生开展创业培训，</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帮助其提高创业意识，</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2"/>
          <w:sz w:val="24"/>
          <w:szCs w:val="24"/>
        </w:rPr>
        <w:t>提升创业经营管理知识，</w:t>
      </w:r>
    </w:p>
    <w:p>
      <w:pPr>
        <w:sectPr>
          <w:footerReference r:id="rId258" w:type="default"/>
          <w:pgSz w:w="11905" w:h="16840"/>
          <w:pgMar w:top="1431" w:right="1489" w:bottom="1158" w:left="1587" w:header="0" w:footer="1035" w:gutter="0"/>
          <w:cols w:space="720" w:num="1"/>
        </w:sectPr>
      </w:pPr>
    </w:p>
    <w:p>
      <w:pPr>
        <w:spacing w:before="429" w:line="180" w:lineRule="auto"/>
        <w:ind w:firstLine="4"/>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推介创业项目。</w:t>
      </w:r>
    </w:p>
    <w:p>
      <w:pPr>
        <w:spacing w:before="189" w:line="253" w:lineRule="auto"/>
        <w:ind w:left="3" w:right="94"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（二）</w:t>
      </w:r>
      <w:r>
        <w:rPr>
          <w:rFonts w:ascii="方正书宋简体" w:hAnsi="方正书宋简体" w:eastAsia="方正书宋简体" w:cs="方正书宋简体"/>
          <w:spacing w:val="87"/>
          <w:sz w:val="24"/>
          <w:szCs w:val="24"/>
        </w:rPr>
        <w:t xml:space="preserve"> </w:t>
      </w:r>
      <w:r>
        <w:rPr>
          <w:rFonts w:ascii="方正书宋简体" w:hAnsi="方正书宋简体" w:eastAsia="方正书宋简体" w:cs="方正书宋简体"/>
          <w:spacing w:val="-14"/>
          <w:sz w:val="24"/>
          <w:szCs w:val="24"/>
        </w:rPr>
        <w:t>为入驻项目提供全程化的创业指导，</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4"/>
          <w:sz w:val="24"/>
          <w:szCs w:val="24"/>
        </w:rPr>
        <w:t>帮助其聘请指导老师、法律顾问，</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4"/>
          <w:sz w:val="24"/>
          <w:szCs w:val="24"/>
        </w:rPr>
        <w:t>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学生进行创业指导，帮助熟悉政府相关优惠政策，提高创业实践能力。</w:t>
      </w:r>
    </w:p>
    <w:p>
      <w:pPr>
        <w:spacing w:before="174" w:line="303" w:lineRule="auto"/>
        <w:ind w:left="8" w:right="94" w:firstLine="33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（三）</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4"/>
          <w:sz w:val="24"/>
          <w:szCs w:val="24"/>
        </w:rPr>
        <w:t>为孵化成熟的项目办理工商注册、税务登记等事宜提供快捷、便利的指导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与服务。</w:t>
      </w:r>
    </w:p>
    <w:p>
      <w:pPr>
        <w:spacing w:before="38" w:line="315" w:lineRule="auto"/>
        <w:ind w:left="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（四）免费为入驻项目提供人员招聘服务，</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8"/>
          <w:sz w:val="24"/>
          <w:szCs w:val="24"/>
        </w:rPr>
        <w:t>为创业学生协调项目申报、档案托管、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户口挂靠、党组织关系接转等相关工作。</w:t>
      </w:r>
    </w:p>
    <w:p>
      <w:pPr>
        <w:spacing w:before="2" w:line="202"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（五）为入驻项目提供办公场所和桌椅、入户网线端口。</w:t>
      </w:r>
    </w:p>
    <w:p>
      <w:pPr>
        <w:spacing w:before="162" w:line="314" w:lineRule="auto"/>
        <w:ind w:left="7" w:right="94"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（六）</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3"/>
          <w:sz w:val="24"/>
          <w:szCs w:val="24"/>
        </w:rPr>
        <w:t>立足自身职能，</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拓展有利于促进大学生自主创业的公共技术服务平台，</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大学生提供全方位、立体化的服务。</w:t>
      </w:r>
    </w:p>
    <w:p>
      <w:pPr>
        <w:spacing w:before="7" w:line="197"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（七）组织入驻项目的大学生开展创业实践和交流。</w:t>
      </w:r>
    </w:p>
    <w:p>
      <w:pPr>
        <w:spacing w:before="153" w:line="450" w:lineRule="exact"/>
        <w:ind w:firstLine="305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position w:val="12"/>
          <w:sz w:val="24"/>
          <w:szCs w:val="24"/>
        </w:rPr>
        <w:t>第三章</w:t>
      </w:r>
      <w:r>
        <w:rPr>
          <w:rFonts w:ascii="Microsoft JhengHei" w:hAnsi="Microsoft JhengHei" w:eastAsia="Microsoft JhengHei" w:cs="Microsoft JhengHei"/>
          <w:spacing w:val="2"/>
          <w:position w:val="12"/>
          <w:sz w:val="24"/>
          <w:szCs w:val="24"/>
        </w:rPr>
        <w:t xml:space="preserve">    </w:t>
      </w:r>
      <w:r>
        <w:rPr>
          <w:rFonts w:ascii="Microsoft JhengHei" w:hAnsi="Microsoft JhengHei" w:eastAsia="Microsoft JhengHei" w:cs="Microsoft JhengHei"/>
          <w:spacing w:val="-2"/>
          <w:position w:val="12"/>
          <w:sz w:val="24"/>
          <w:szCs w:val="24"/>
        </w:rPr>
        <w:t>入驻条件和程序</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入驻基地的创业项目应当具备的基本条件：</w:t>
      </w:r>
    </w:p>
    <w:p>
      <w:pPr>
        <w:spacing w:before="109" w:line="315" w:lineRule="auto"/>
        <w:ind w:left="2" w:right="9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（一）项目负责人必须是我校普通全日制本专科以上学历学生和两年择业期内的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毕业生，项目所有成员必须品行端正，诚实守信，遵纪守法，能吃苦耐劳，遵守学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校相关管理制度和规定。</w:t>
      </w:r>
    </w:p>
    <w:p>
      <w:pPr>
        <w:spacing w:before="5" w:line="315" w:lineRule="auto"/>
        <w:ind w:left="4" w:right="94"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80"/>
          <w:sz w:val="24"/>
          <w:szCs w:val="24"/>
        </w:rPr>
        <w:t xml:space="preserve"> </w:t>
      </w:r>
      <w:r>
        <w:rPr>
          <w:rFonts w:ascii="方正书宋简体" w:hAnsi="方正书宋简体" w:eastAsia="方正书宋简体" w:cs="方正书宋简体"/>
          <w:spacing w:val="-9"/>
          <w:sz w:val="24"/>
          <w:szCs w:val="24"/>
        </w:rPr>
        <w:t>创业项目必须符合国家产业、技术政策，</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9"/>
          <w:sz w:val="24"/>
          <w:szCs w:val="24"/>
        </w:rPr>
        <w:t>技术创新性或商业模式创新性较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强，投资小、见效快，有较好的经济和社会效益，有较好的开发前景。</w:t>
      </w:r>
    </w:p>
    <w:p>
      <w:pPr>
        <w:spacing w:line="204"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（三）创业项目须有详细、操作性较强的计划书。</w:t>
      </w:r>
    </w:p>
    <w:p>
      <w:pPr>
        <w:spacing w:before="160" w:line="273" w:lineRule="auto"/>
        <w:ind w:right="94"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（四）</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无知识产权纠纷。学生主持承担的项目如果采用他人知识产权的科技创新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成果的，必须经知识产权所有人同意并签署同意意见方可申报；属学生自主知识产</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权的，要有相应证明材料。</w:t>
      </w:r>
    </w:p>
    <w:p>
      <w:pPr>
        <w:spacing w:before="179" w:line="310" w:lineRule="auto"/>
        <w:ind w:left="7" w:right="95"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（五）</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3"/>
          <w:sz w:val="24"/>
          <w:szCs w:val="24"/>
        </w:rPr>
        <w:t>科技类或科技服务类大学生企业，</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3"/>
          <w:sz w:val="24"/>
          <w:szCs w:val="24"/>
        </w:rPr>
        <w:t>学生必须占企业总股份的</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3"/>
          <w:sz w:val="24"/>
          <w:szCs w:val="24"/>
        </w:rPr>
        <w:t>30%以上，</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3"/>
          <w:sz w:val="24"/>
          <w:szCs w:val="24"/>
        </w:rPr>
        <w:t>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出资额不低于</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
          <w:sz w:val="24"/>
          <w:szCs w:val="24"/>
        </w:rPr>
        <w:t>万元；非科技类大学生企业，学生必须占总股份的</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
          <w:sz w:val="24"/>
          <w:szCs w:val="24"/>
        </w:rPr>
        <w:t>60%以上，或出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资额不低于</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5"/>
          <w:sz w:val="24"/>
          <w:szCs w:val="24"/>
        </w:rPr>
        <w:t>3</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5"/>
          <w:sz w:val="24"/>
          <w:szCs w:val="24"/>
        </w:rPr>
        <w:t>万元。</w:t>
      </w:r>
    </w:p>
    <w:p>
      <w:pPr>
        <w:spacing w:before="23" w:line="315" w:lineRule="auto"/>
        <w:ind w:right="9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（六）</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4"/>
          <w:sz w:val="24"/>
          <w:szCs w:val="24"/>
        </w:rPr>
        <w:t>从事国家规定的特殊行业（如医药、医疗器械、邮电、通信、电力、农作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物新品种及生物制品、公安及安全等）的项目，申报时须有行业主管部门出具的相</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关批准证明和有关测试报告。</w:t>
      </w:r>
    </w:p>
    <w:p>
      <w:pPr>
        <w:spacing w:before="1" w:line="315" w:lineRule="auto"/>
        <w:ind w:left="2" w:right="9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（七）</w:t>
      </w:r>
      <w:r>
        <w:rPr>
          <w:rFonts w:ascii="方正书宋简体" w:hAnsi="方正书宋简体" w:eastAsia="方正书宋简体" w:cs="方正书宋简体"/>
          <w:spacing w:val="61"/>
          <w:sz w:val="24"/>
          <w:szCs w:val="24"/>
        </w:rPr>
        <w:t xml:space="preserve"> </w:t>
      </w:r>
      <w:r>
        <w:rPr>
          <w:rFonts w:ascii="方正书宋简体" w:hAnsi="方正书宋简体" w:eastAsia="方正书宋简体" w:cs="方正书宋简体"/>
          <w:spacing w:val="-4"/>
          <w:sz w:val="24"/>
          <w:szCs w:val="24"/>
        </w:rPr>
        <w:t>非国家限制扶持的行业（包括建筑业、娱乐业、销售不动产、转让土地使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用权、广告业、房屋中介、典当、桑拿、按摩、网吧、氧吧等）、暴利行业和加盟连</w:t>
      </w:r>
    </w:p>
    <w:p>
      <w:pPr>
        <w:sectPr>
          <w:footerReference r:id="rId259" w:type="default"/>
          <w:pgSz w:w="11905" w:h="16840"/>
          <w:pgMar w:top="1431" w:right="1491" w:bottom="1158" w:left="1590" w:header="0" w:footer="1035" w:gutter="0"/>
          <w:cols w:space="720" w:num="1"/>
        </w:sectPr>
      </w:pPr>
    </w:p>
    <w:p>
      <w:pPr>
        <w:spacing w:before="430" w:line="180" w:lineRule="auto"/>
        <w:ind w:firstLine="1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锁校外社会公司企业的学生项目。</w:t>
      </w:r>
    </w:p>
    <w:p>
      <w:pPr>
        <w:spacing w:before="190" w:line="224" w:lineRule="auto"/>
        <w:ind w:left="631" w:right="3432" w:hanging="1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（八）对大学生创业具有典型示范和推动作用。</w:t>
      </w:r>
      <w:r>
        <w:rPr>
          <w:rFonts w:ascii="方正书宋简体" w:hAnsi="方正书宋简体" w:eastAsia="方正书宋简体" w:cs="方正书宋简体"/>
          <w:spacing w:val="3"/>
          <w:sz w:val="24"/>
          <w:szCs w:val="24"/>
        </w:rPr>
        <w:t xml:space="preserve"> </w:t>
      </w:r>
      <w:r>
        <w:rPr>
          <w:rFonts w:ascii="Microsoft JhengHei" w:hAnsi="Microsoft JhengHei" w:eastAsia="Microsoft JhengHei" w:cs="Microsoft JhengHei"/>
          <w:spacing w:val="-2"/>
          <w:sz w:val="24"/>
          <w:szCs w:val="24"/>
        </w:rPr>
        <w:t>第六条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优先入驻基地的项目</w:t>
      </w:r>
    </w:p>
    <w:p>
      <w:pPr>
        <w:spacing w:before="193" w:line="238" w:lineRule="auto"/>
        <w:ind w:left="144" w:right="7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（一）</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7"/>
          <w:sz w:val="24"/>
          <w:szCs w:val="24"/>
        </w:rPr>
        <w:t>获得校级以上（含校级）</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7"/>
          <w:sz w:val="24"/>
          <w:szCs w:val="24"/>
        </w:rPr>
        <w:t>创新创业大赛奖励或列入湖南省大学生创新实验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项目进行创业实践活动的。</w:t>
      </w:r>
    </w:p>
    <w:p>
      <w:pPr>
        <w:spacing w:before="216" w:line="304" w:lineRule="auto"/>
        <w:ind w:left="148" w:right="86"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（二）</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10"/>
          <w:sz w:val="24"/>
          <w:szCs w:val="24"/>
        </w:rPr>
        <w:t>有较成熟的科技创新性创业项目（如获得国家专利等）、且有明确的项目负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责人、有运营项目的资金和人员，能保证项目的正常运行和有较完善的管理制度的。</w:t>
      </w:r>
    </w:p>
    <w:p>
      <w:pPr>
        <w:spacing w:before="23" w:line="19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入驻流程</w:t>
      </w:r>
    </w:p>
    <w:p>
      <w:pPr>
        <w:spacing w:before="131" w:line="313" w:lineRule="auto"/>
        <w:ind w:right="24"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（一）符合申报条件的项目负责人填写好《吉首大学优秀创新创业项目申报表》</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
          <w:sz w:val="24"/>
          <w:szCs w:val="24"/>
        </w:rPr>
        <w:t>《创业计划书》，连同所附证明材料送交所在学院学生工作办公室，经学院学生工作</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办公室认定审核盖章后，统一报送基地管理委员会办公室。基地管理委员会办公室</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不接受学生个人直接申报。</w:t>
      </w:r>
    </w:p>
    <w:p>
      <w:pPr>
        <w:spacing w:before="13" w:line="194"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（二）申报入驻基地时须提交以下纸质和电子文本材料，</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8"/>
          <w:sz w:val="24"/>
          <w:szCs w:val="24"/>
        </w:rPr>
        <w:t>并对材料的真实性负责：</w:t>
      </w:r>
    </w:p>
    <w:p>
      <w:pPr>
        <w:spacing w:before="172" w:line="193" w:lineRule="auto"/>
        <w:ind w:firstLine="6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w:t>
      </w:r>
      <w:r>
        <w:rPr>
          <w:rFonts w:ascii="方正书宋简体" w:hAnsi="方正书宋简体" w:eastAsia="方正书宋简体" w:cs="方正书宋简体"/>
          <w:spacing w:val="90"/>
          <w:w w:val="101"/>
          <w:sz w:val="24"/>
          <w:szCs w:val="24"/>
        </w:rPr>
        <w:t xml:space="preserve"> </w:t>
      </w:r>
      <w:r>
        <w:rPr>
          <w:rFonts w:ascii="方正书宋简体" w:hAnsi="方正书宋简体" w:eastAsia="方正书宋简体" w:cs="方正书宋简体"/>
          <w:spacing w:val="-11"/>
          <w:w w:val="97"/>
          <w:sz w:val="24"/>
          <w:szCs w:val="24"/>
        </w:rPr>
        <w:t>《吉首大学学生优秀创新创业项目申报表》；</w:t>
      </w:r>
    </w:p>
    <w:p>
      <w:pPr>
        <w:spacing w:before="178" w:line="253" w:lineRule="auto"/>
        <w:ind w:left="142" w:right="2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2、</w:t>
      </w:r>
      <w:r>
        <w:rPr>
          <w:rFonts w:ascii="方正书宋简体" w:hAnsi="方正书宋简体" w:eastAsia="方正书宋简体" w:cs="方正书宋简体"/>
          <w:spacing w:val="73"/>
          <w:w w:val="101"/>
          <w:sz w:val="24"/>
          <w:szCs w:val="24"/>
        </w:rPr>
        <w:t xml:space="preserve"> </w:t>
      </w:r>
      <w:r>
        <w:rPr>
          <w:rFonts w:ascii="方正书宋简体" w:hAnsi="方正书宋简体" w:eastAsia="方正书宋简体" w:cs="方正书宋简体"/>
          <w:spacing w:val="-10"/>
          <w:sz w:val="24"/>
          <w:szCs w:val="24"/>
        </w:rPr>
        <w:t>《创业计划书》（按《吉首大学大学生创新创业项目计划书编制说明及提纲》</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3"/>
          <w:sz w:val="24"/>
          <w:szCs w:val="24"/>
        </w:rPr>
        <w:t>要求编制</w:t>
      </w:r>
      <w:r>
        <w:rPr>
          <w:rFonts w:ascii="方正书宋简体" w:hAnsi="方正书宋简体" w:eastAsia="方正书宋简体" w:cs="方正书宋简体"/>
          <w:spacing w:val="-11"/>
          <w:sz w:val="24"/>
          <w:szCs w:val="24"/>
        </w:rPr>
        <w:t>）；</w:t>
      </w:r>
    </w:p>
    <w:p>
      <w:pPr>
        <w:spacing w:before="181" w:line="252" w:lineRule="auto"/>
        <w:ind w:left="150" w:right="7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3、项目负责人及合伙人的学生证复印件（已毕业学生提交毕业证书、学位证书</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3"/>
          <w:w w:val="96"/>
          <w:sz w:val="24"/>
          <w:szCs w:val="24"/>
        </w:rPr>
        <w:t>复印件</w:t>
      </w:r>
      <w:r>
        <w:rPr>
          <w:rFonts w:ascii="方正书宋简体" w:hAnsi="方正书宋简体" w:eastAsia="方正书宋简体" w:cs="方正书宋简体"/>
          <w:spacing w:val="-12"/>
          <w:sz w:val="24"/>
          <w:szCs w:val="24"/>
        </w:rPr>
        <w:t>）；</w:t>
      </w:r>
    </w:p>
    <w:p>
      <w:pPr>
        <w:spacing w:before="175" w:line="193" w:lineRule="auto"/>
        <w:ind w:firstLine="622"/>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4、身份证复印件；</w:t>
      </w:r>
    </w:p>
    <w:p>
      <w:pPr>
        <w:spacing w:before="177" w:line="313" w:lineRule="auto"/>
        <w:ind w:left="144" w:right="7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5、可以说明项目技术情况的证明文件及与项目有关的其他有效参考材料（如参</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
          <w:sz w:val="24"/>
          <w:szCs w:val="24"/>
        </w:rPr>
        <w:t>加大学生创新创业计划大赛获奖证书，有关部门出具的技术鉴定报告、检测报告、</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专利证书、用户使用报告等，涉及国家专卖、</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专控及特殊行业产品须附相关主管机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构出具的批准证明复印件）。</w:t>
      </w:r>
    </w:p>
    <w:p>
      <w:pPr>
        <w:spacing w:before="16" w:line="315" w:lineRule="auto"/>
        <w:ind w:right="75"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（三）</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8"/>
          <w:sz w:val="24"/>
          <w:szCs w:val="24"/>
        </w:rPr>
        <w:t>基地管理委员会办公室对申报项目进行资格审查，</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8"/>
          <w:sz w:val="24"/>
          <w:szCs w:val="24"/>
        </w:rPr>
        <w:t>并组织专家对申报项目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《创业计划书》进行初选和实地考察。</w:t>
      </w:r>
    </w:p>
    <w:p>
      <w:pPr>
        <w:spacing w:before="2" w:line="315" w:lineRule="auto"/>
        <w:ind w:left="145" w:right="7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8"/>
          <w:sz w:val="24"/>
          <w:szCs w:val="24"/>
        </w:rPr>
        <w:t>对于初选合格的项目，</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基地管理委员会办公室每年组织专家对学生进行一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次答辩评审，提出评审意见，评选出学生优秀创业项目，公布评选结果，予以相关</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扶持，并选择符合条件的优秀项目入驻基地。</w:t>
      </w:r>
    </w:p>
    <w:p>
      <w:pPr>
        <w:spacing w:before="2" w:line="315" w:lineRule="auto"/>
        <w:ind w:right="76"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（五）批准入驻基地的大学生企业和创业工作室与基地管理委员会办公室签订</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9"/>
          <w:sz w:val="24"/>
          <w:szCs w:val="24"/>
        </w:rPr>
        <w:t>《吉首大学大学生创业孵化基地入驻协议》</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9"/>
          <w:sz w:val="24"/>
          <w:szCs w:val="24"/>
        </w:rPr>
        <w:t>（一年一签），办理相关手续。</w:t>
      </w:r>
    </w:p>
    <w:p>
      <w:pPr>
        <w:sectPr>
          <w:footerReference r:id="rId260" w:type="default"/>
          <w:pgSz w:w="11905" w:h="16840"/>
          <w:pgMar w:top="1431" w:right="1512" w:bottom="1158" w:left="1447" w:header="0" w:footer="1035" w:gutter="0"/>
          <w:cols w:space="720" w:num="1"/>
        </w:sectPr>
      </w:pPr>
    </w:p>
    <w:p>
      <w:pPr>
        <w:spacing w:before="414" w:line="180" w:lineRule="auto"/>
        <w:ind w:firstLine="341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运行模式</w:t>
      </w:r>
    </w:p>
    <w:p>
      <w:pPr>
        <w:spacing w:before="139" w:line="282" w:lineRule="auto"/>
        <w:ind w:left="3" w:right="97"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 xml:space="preserve">第八条    </w:t>
      </w:r>
      <w:r>
        <w:rPr>
          <w:rFonts w:ascii="方正书宋简体" w:hAnsi="方正书宋简体" w:eastAsia="方正书宋简体" w:cs="方正书宋简体"/>
          <w:spacing w:val="2"/>
          <w:sz w:val="24"/>
          <w:szCs w:val="24"/>
        </w:rPr>
        <w:t xml:space="preserve">设立基地专项资金。专项资金由政府支持、社会赞助和学校自筹三部 </w:t>
      </w:r>
      <w:r>
        <w:rPr>
          <w:rFonts w:ascii="方正书宋简体" w:hAnsi="方正书宋简体" w:eastAsia="方正书宋简体" w:cs="方正书宋简体"/>
          <w:spacing w:val="-7"/>
          <w:sz w:val="24"/>
          <w:szCs w:val="24"/>
        </w:rPr>
        <w:t>分组成。</w:t>
      </w:r>
    </w:p>
    <w:p>
      <w:pPr>
        <w:spacing w:before="8"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专项资金由基地管理委员会负责管理和审批，财务处核发。主要用于</w:t>
      </w:r>
    </w:p>
    <w:p>
      <w:pPr>
        <w:spacing w:before="119" w:line="265" w:lineRule="auto"/>
        <w:ind w:right="9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基地建设、优势入驻项目无偿资助、创业奖励开支、创业指导服务补贴、大学生创</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业信息网络平台建设和创业指导课题建设、创业指导专家库建设开支等。资金使用</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情况接受财务处、纪检监察室、审计处、政府出资部门或出资人的监督。</w:t>
      </w:r>
    </w:p>
    <w:p>
      <w:pPr>
        <w:spacing w:before="208" w:line="249" w:lineRule="auto"/>
        <w:ind w:left="2" w:right="3"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7"/>
          <w:sz w:val="24"/>
          <w:szCs w:val="24"/>
        </w:rPr>
        <w:t>经基地管理委员会评定为大学生优秀创业项目的，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7"/>
          <w:sz w:val="24"/>
          <w:szCs w:val="24"/>
        </w:rPr>
        <w:t>给予项目扶持资金。</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项目负责人凭票据、本人身份证，经基地管理委员会办公室审批，财务处审核后予</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7"/>
          <w:sz w:val="24"/>
          <w:szCs w:val="24"/>
        </w:rPr>
        <w:t>以报销。</w:t>
      </w:r>
    </w:p>
    <w:p>
      <w:pPr>
        <w:spacing w:before="207" w:line="180" w:lineRule="auto"/>
        <w:ind w:firstLine="3414"/>
        <w:rPr>
          <w:rFonts w:ascii="Microsoft JhengHei" w:hAnsi="Microsoft JhengHei" w:eastAsia="Microsoft JhengHei" w:cs="Microsoft JhengHei"/>
          <w:sz w:val="24"/>
          <w:szCs w:val="24"/>
        </w:rPr>
      </w:pPr>
      <w:r>
        <w:rPr>
          <w:rFonts w:ascii="Microsoft JhengHei" w:hAnsi="Microsoft JhengHei" w:eastAsia="Microsoft JhengHei" w:cs="Microsoft JhengHei"/>
          <w:spacing w:val="-7"/>
          <w:sz w:val="24"/>
          <w:szCs w:val="24"/>
        </w:rPr>
        <w:t>第五章</w:t>
      </w:r>
      <w:r>
        <w:rPr>
          <w:rFonts w:ascii="Microsoft JhengHei" w:hAnsi="Microsoft JhengHei" w:eastAsia="Microsoft JhengHei" w:cs="Microsoft JhengHei"/>
          <w:spacing w:val="12"/>
          <w:sz w:val="24"/>
          <w:szCs w:val="24"/>
        </w:rPr>
        <w:t xml:space="preserve">    </w:t>
      </w:r>
      <w:r>
        <w:rPr>
          <w:rFonts w:ascii="Microsoft JhengHei" w:hAnsi="Microsoft JhengHei" w:eastAsia="Microsoft JhengHei" w:cs="Microsoft JhengHei"/>
          <w:spacing w:val="-7"/>
          <w:sz w:val="24"/>
          <w:szCs w:val="24"/>
        </w:rPr>
        <w:t>日常管理</w:t>
      </w:r>
    </w:p>
    <w:p>
      <w:pPr>
        <w:spacing w:before="140" w:line="281" w:lineRule="auto"/>
        <w:ind w:right="3"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第十一条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8"/>
          <w:sz w:val="24"/>
          <w:szCs w:val="24"/>
        </w:rPr>
        <w:t>原则上大学生创业工作室在基地孵化期为</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8"/>
          <w:sz w:val="24"/>
          <w:szCs w:val="24"/>
        </w:rPr>
        <w:t>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8"/>
          <w:sz w:val="24"/>
          <w:szCs w:val="24"/>
        </w:rPr>
        <w:t>年，</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8"/>
          <w:sz w:val="24"/>
          <w:szCs w:val="24"/>
        </w:rPr>
        <w:t>大学生企业为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8"/>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8"/>
          <w:sz w:val="24"/>
          <w:szCs w:val="24"/>
        </w:rPr>
        <w:t>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若有特殊情况，经项目负责人书面申请，基地管理委员会批准后方可延期。</w:t>
      </w:r>
    </w:p>
    <w:p>
      <w:pPr>
        <w:spacing w:before="12"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第十二条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3"/>
          <w:sz w:val="24"/>
          <w:szCs w:val="24"/>
        </w:rPr>
        <w:t>入驻大学生企业和创业工作室必须遵守以下规定：</w:t>
      </w:r>
    </w:p>
    <w:p>
      <w:pPr>
        <w:spacing w:before="121"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（一）严格执行本办法和《吉首大学大学生创业孵化基地入驻协议》。</w:t>
      </w:r>
    </w:p>
    <w:p>
      <w:pPr>
        <w:spacing w:before="192"/>
        <w:ind w:left="1" w:right="10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（二）遵守学校和基地物业管理的有关规定，保证用水用电、财产和人身安全，</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对出现安全事故的学生，按学校有关规定给予严肃处理。</w:t>
      </w:r>
    </w:p>
    <w:p>
      <w:pPr>
        <w:spacing w:before="212" w:line="304" w:lineRule="auto"/>
        <w:ind w:left="5" w:right="37"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9"/>
          <w:sz w:val="24"/>
          <w:szCs w:val="24"/>
        </w:rPr>
        <w:t>入驻大学生企业和创业工作室按规定及时缴纳保证金、水电费、物管费、卫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6"/>
          <w:sz w:val="24"/>
          <w:szCs w:val="24"/>
        </w:rPr>
        <w:t>生费等各项费用。其中，</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6"/>
          <w:sz w:val="24"/>
          <w:szCs w:val="24"/>
        </w:rPr>
        <w:t>大学生企业保证金为</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6"/>
          <w:sz w:val="24"/>
          <w:szCs w:val="24"/>
        </w:rPr>
        <w:t>2000</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6"/>
          <w:sz w:val="24"/>
          <w:szCs w:val="24"/>
        </w:rPr>
        <w:t>元，</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6"/>
          <w:sz w:val="24"/>
          <w:szCs w:val="24"/>
        </w:rPr>
        <w:t>创业工作室保证金为</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6"/>
          <w:sz w:val="24"/>
          <w:szCs w:val="24"/>
        </w:rPr>
        <w:t>2000</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元。</w:t>
      </w:r>
    </w:p>
    <w:p>
      <w:pPr>
        <w:spacing w:before="26" w:line="258" w:lineRule="auto"/>
        <w:ind w:left="5"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基地每年对入驻项目进行考核评估，凡评估优秀的大学生企业，在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自愿的情况下，</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6"/>
          <w:sz w:val="24"/>
          <w:szCs w:val="24"/>
        </w:rPr>
        <w:t>基地优先推介进入国家或地方高科技园区独立经营。对于经营不善、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管理混乱的企业和创业工作室进行清退；对于评估不合格的项目，劝其撤出基地。</w:t>
      </w:r>
    </w:p>
    <w:p>
      <w:pPr>
        <w:spacing w:before="165" w:line="282" w:lineRule="auto"/>
        <w:ind w:left="20" w:right="104" w:firstLine="469"/>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第十四条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8"/>
          <w:sz w:val="24"/>
          <w:szCs w:val="24"/>
        </w:rPr>
        <w:t>基地认定入驻大学生企业和创业工作室有下列情况之一者，</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8"/>
          <w:sz w:val="24"/>
          <w:szCs w:val="24"/>
        </w:rPr>
        <w:t>发放《退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出基地通知书》，要求其退出基地：</w:t>
      </w:r>
    </w:p>
    <w:p>
      <w:pPr>
        <w:spacing w:before="28" w:line="183"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（一）项目中止。</w:t>
      </w:r>
    </w:p>
    <w:p>
      <w:pPr>
        <w:spacing w:before="185" w:line="315" w:lineRule="auto"/>
        <w:ind w:left="1" w:right="96"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8"/>
          <w:sz w:val="24"/>
          <w:szCs w:val="24"/>
        </w:rPr>
        <w:t>入驻大学生企业和创业工作室不再需要使用基地提供的场所，</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8"/>
          <w:sz w:val="24"/>
          <w:szCs w:val="24"/>
        </w:rPr>
        <w:t>或对基地提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供的场所利用率较低的。</w:t>
      </w:r>
    </w:p>
    <w:p>
      <w:pPr>
        <w:spacing w:before="3" w:line="202"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（三）严重或屡次违反学校有关管理规定的。</w:t>
      </w:r>
    </w:p>
    <w:p>
      <w:pPr>
        <w:spacing w:before="164"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（四）不适宜在基地继续进行实训孵化的。</w:t>
      </w:r>
    </w:p>
    <w:p>
      <w:pPr>
        <w:spacing w:before="190"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（五）有将基地房屋或财产转租行为的。</w:t>
      </w:r>
    </w:p>
    <w:p>
      <w:pPr>
        <w:sectPr>
          <w:footerReference r:id="rId261" w:type="default"/>
          <w:pgSz w:w="11905" w:h="16840"/>
          <w:pgMar w:top="1431" w:right="1491" w:bottom="1158" w:left="1589" w:header="0" w:footer="1034" w:gutter="0"/>
          <w:cols w:space="720" w:num="1"/>
        </w:sectPr>
      </w:pPr>
    </w:p>
    <w:p>
      <w:pPr>
        <w:spacing w:before="427"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（六）其它必须退出基地的情况。</w:t>
      </w:r>
    </w:p>
    <w:p>
      <w:pPr>
        <w:spacing w:before="193" w:line="264" w:lineRule="auto"/>
        <w:ind w:left="5" w:right="90"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入驻企业和创业工作室在收到《退出基地通知书》后的</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6"/>
          <w:sz w:val="24"/>
          <w:szCs w:val="24"/>
        </w:rPr>
        <w:t>30</w:t>
      </w:r>
      <w:r>
        <w:rPr>
          <w:rFonts w:ascii="方正书宋简体" w:hAnsi="方正书宋简体" w:eastAsia="方正书宋简体" w:cs="方正书宋简体"/>
          <w:spacing w:val="57"/>
          <w:sz w:val="24"/>
          <w:szCs w:val="24"/>
        </w:rPr>
        <w:t xml:space="preserve"> </w:t>
      </w:r>
      <w:r>
        <w:rPr>
          <w:rFonts w:ascii="方正书宋简体" w:hAnsi="方正书宋简体" w:eastAsia="方正书宋简体" w:cs="方正书宋简体"/>
          <w:spacing w:val="-6"/>
          <w:sz w:val="24"/>
          <w:szCs w:val="24"/>
        </w:rPr>
        <w:t>日内，</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6"/>
          <w:sz w:val="24"/>
          <w:szCs w:val="24"/>
        </w:rPr>
        <w:t>必须结清应缴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费用，撤出自备设备，清理场地，并办理有关手续。逾期不退出者，学校将从逾期</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之日起没收保证金或处以相应罚金。</w:t>
      </w:r>
    </w:p>
    <w:p>
      <w:pPr>
        <w:spacing w:before="207" w:line="282" w:lineRule="auto"/>
        <w:ind w:left="1" w:right="92"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第十五条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7"/>
          <w:sz w:val="24"/>
          <w:szCs w:val="24"/>
        </w:rPr>
        <w:t>实训期间，</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7"/>
          <w:sz w:val="24"/>
          <w:szCs w:val="24"/>
        </w:rPr>
        <w:t>项目及其法人单位每年</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7"/>
          <w:sz w:val="24"/>
          <w:szCs w:val="24"/>
        </w:rPr>
        <w:t>11</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7"/>
          <w:sz w:val="24"/>
          <w:szCs w:val="24"/>
        </w:rPr>
        <w:t>月下旬须以书面形式向基地报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告财务经营状况。连续两年不报告的，基地可以告知该项目撤出基地。</w:t>
      </w:r>
    </w:p>
    <w:p>
      <w:pPr>
        <w:spacing w:before="8" w:line="283" w:lineRule="auto"/>
        <w:ind w:left="2" w:right="106"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1"/>
          <w:sz w:val="24"/>
          <w:szCs w:val="24"/>
        </w:rPr>
        <w:t>孵化期满，基地终止提供扶持服务。入驻大学生企业和创业工作室</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退出基地，办理退出手续，交还基地财物。</w:t>
      </w:r>
    </w:p>
    <w:p>
      <w:pPr>
        <w:spacing w:before="9" w:line="30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入驻大学生企业和创业工作室均不得以学校或基地名义对外签订合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同。入驻大学生创业工作室原则上以项目负责人自然人的身份对外签订合同；入驻</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大学生企业已注册登记成为法人单位的，</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6"/>
          <w:sz w:val="24"/>
          <w:szCs w:val="24"/>
        </w:rPr>
        <w:t>原则上以自身法人单位名义对外签订合同。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若签订合同确须基地提供证明材料的，须经基地法律顾问进行合法性审查，由基地</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3"/>
          <w:sz w:val="24"/>
          <w:szCs w:val="24"/>
        </w:rPr>
        <w:t>管理委员会严格审批。</w:t>
      </w:r>
    </w:p>
    <w:p>
      <w:pPr>
        <w:spacing w:before="18" w:line="282" w:lineRule="auto"/>
        <w:ind w:left="8" w:right="93"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作为大学生创业工作室入驻的创业项目，在基地孵化期内进行工商</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注册登记的，申报注册登记前须报告基地。</w:t>
      </w:r>
    </w:p>
    <w:p>
      <w:pPr>
        <w:spacing w:before="9" w:line="250" w:lineRule="auto"/>
        <w:ind w:left="3" w:right="93"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入驻项目的学生在基地的行为一律由基地管理委员会按《吉首大学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大学生创新创业孵化基地入驻协议》合同管理，在基地以外的行为遵从学校学生管</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2"/>
          <w:sz w:val="24"/>
          <w:szCs w:val="24"/>
        </w:rPr>
        <w:t>理规定，由各学院学生工作办公室管理。</w:t>
      </w:r>
    </w:p>
    <w:p>
      <w:pPr>
        <w:spacing w:before="206" w:line="281" w:lineRule="auto"/>
        <w:ind w:left="2" w:right="93"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入驻项目办公室的使用、分配、调换、清退，基地室内各类设施维</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修以及相关资料归档由基地负责。</w:t>
      </w:r>
    </w:p>
    <w:p>
      <w:pPr>
        <w:spacing w:before="11" w:line="197"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基地物业归口基地管理委员会统一管理，学校保卫处协助做好安</w:t>
      </w:r>
    </w:p>
    <w:p>
      <w:pPr>
        <w:spacing w:before="124" w:line="180" w:lineRule="auto"/>
        <w:ind w:firstLine="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全保卫工作。</w:t>
      </w:r>
    </w:p>
    <w:p>
      <w:pPr>
        <w:spacing w:before="179" w:line="180" w:lineRule="auto"/>
        <w:ind w:firstLine="3534"/>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9"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学校普通全日制本专科学生对于基地管理委员会违反管理办法的</w:t>
      </w:r>
    </w:p>
    <w:p>
      <w:pPr>
        <w:spacing w:before="151"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行为，可以向学校异议、申诉，直至依法提起诉讼。</w:t>
      </w:r>
    </w:p>
    <w:p>
      <w:pPr>
        <w:spacing w:before="181"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第二十三条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本办法自发布之日起施行，由基地管理委员会负责解释。</w:t>
      </w:r>
    </w:p>
    <w:p>
      <w:pPr>
        <w:spacing w:line="342" w:lineRule="auto"/>
        <w:rPr>
          <w:rFonts w:ascii="Malgun Gothic"/>
          <w:sz w:val="21"/>
        </w:rPr>
      </w:pPr>
    </w:p>
    <w:p>
      <w:pPr>
        <w:spacing w:before="86" w:line="315" w:lineRule="auto"/>
        <w:ind w:left="1196" w:right="310" w:hanging="6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附件：1、吉首大学大学生创新创业孵化基地项目申报表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2、吉首大学大学生创新创业孵化基地项目商业计划书编制说明及提纲</w:t>
      </w:r>
    </w:p>
    <w:p>
      <w:pPr>
        <w:spacing w:line="204" w:lineRule="auto"/>
        <w:ind w:firstLine="120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3、吉首大学大学生创新创业孵化基地入驻协议</w:t>
      </w:r>
    </w:p>
    <w:p>
      <w:pPr>
        <w:sectPr>
          <w:footerReference r:id="rId262" w:type="default"/>
          <w:pgSz w:w="11905" w:h="16840"/>
          <w:pgMar w:top="1431" w:right="1494" w:bottom="1158" w:left="1589" w:header="0" w:footer="1035" w:gutter="0"/>
          <w:cols w:space="720" w:num="1"/>
        </w:sectPr>
      </w:pPr>
    </w:p>
    <w:p>
      <w:pPr>
        <w:spacing w:line="252" w:lineRule="auto"/>
        <w:rPr>
          <w:rFonts w:ascii="Malgun Gothic"/>
          <w:sz w:val="21"/>
        </w:rPr>
      </w:pPr>
    </w:p>
    <w:p>
      <w:pPr>
        <w:spacing w:line="252" w:lineRule="auto"/>
        <w:rPr>
          <w:rFonts w:ascii="Malgun Gothic"/>
          <w:sz w:val="21"/>
        </w:rPr>
      </w:pPr>
    </w:p>
    <w:p>
      <w:pPr>
        <w:spacing w:before="86"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1</w:t>
      </w:r>
    </w:p>
    <w:p>
      <w:pPr>
        <w:spacing w:before="112" w:line="161" w:lineRule="auto"/>
        <w:ind w:firstLine="3623"/>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吉首大学大学生创新创业孵化基地项目申报表</w:t>
      </w: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130"/>
        <w:gridCol w:w="596"/>
        <w:gridCol w:w="995"/>
        <w:gridCol w:w="268"/>
        <w:gridCol w:w="1139"/>
        <w:gridCol w:w="971"/>
        <w:gridCol w:w="354"/>
        <w:gridCol w:w="815"/>
        <w:gridCol w:w="696"/>
        <w:gridCol w:w="337"/>
        <w:gridCol w:w="678"/>
        <w:gridCol w:w="493"/>
        <w:gridCol w:w="240"/>
        <w:gridCol w:w="1050"/>
        <w:gridCol w:w="381"/>
        <w:gridCol w:w="324"/>
        <w:gridCol w:w="1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871" w:type="dxa"/>
            <w:tcBorders>
              <w:top w:val="single" w:color="000000" w:sz="6" w:space="0"/>
              <w:left w:val="single" w:color="000000" w:sz="6" w:space="0"/>
            </w:tcBorders>
            <w:vAlign w:val="top"/>
          </w:tcPr>
          <w:p>
            <w:pPr>
              <w:spacing w:before="132" w:line="180" w:lineRule="auto"/>
              <w:ind w:firstLine="5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项目名称</w:t>
            </w:r>
          </w:p>
        </w:tc>
        <w:tc>
          <w:tcPr>
            <w:tcW w:w="11741" w:type="dxa"/>
            <w:gridSpan w:val="17"/>
            <w:tcBorders>
              <w:top w:val="single" w:color="000000" w:sz="6" w:space="0"/>
              <w:right w:val="single" w:color="000000" w:sz="6" w:space="0"/>
            </w:tcBorders>
            <w:vAlign w:val="top"/>
          </w:tcPr>
          <w:p>
            <w:pPr>
              <w:spacing w:before="131" w:line="180" w:lineRule="auto"/>
              <w:ind w:firstLine="5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tcBorders>
              <w:left w:val="single" w:color="000000" w:sz="6" w:space="0"/>
            </w:tcBorders>
            <w:vAlign w:val="top"/>
          </w:tcPr>
          <w:p>
            <w:pPr>
              <w:spacing w:before="126" w:line="180" w:lineRule="auto"/>
              <w:ind w:firstLine="5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公司名称</w:t>
            </w:r>
          </w:p>
        </w:tc>
        <w:tc>
          <w:tcPr>
            <w:tcW w:w="6964" w:type="dxa"/>
            <w:gridSpan w:val="9"/>
            <w:vAlign w:val="top"/>
          </w:tcPr>
          <w:p>
            <w:pPr>
              <w:spacing w:before="124" w:line="180" w:lineRule="auto"/>
              <w:ind w:firstLine="225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（如公司未成立不用填）</w:t>
            </w:r>
          </w:p>
        </w:tc>
        <w:tc>
          <w:tcPr>
            <w:tcW w:w="1748" w:type="dxa"/>
            <w:gridSpan w:val="4"/>
            <w:vAlign w:val="top"/>
          </w:tcPr>
          <w:p>
            <w:pPr>
              <w:spacing w:before="124" w:line="180" w:lineRule="auto"/>
              <w:ind w:firstLine="4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注册资本</w:t>
            </w:r>
          </w:p>
        </w:tc>
        <w:tc>
          <w:tcPr>
            <w:tcW w:w="3029" w:type="dxa"/>
            <w:gridSpan w:val="4"/>
            <w:tcBorders>
              <w:right w:val="single" w:color="000000" w:sz="6" w:space="0"/>
            </w:tcBorders>
            <w:vAlign w:val="top"/>
          </w:tcPr>
          <w:p>
            <w:pPr>
              <w:spacing w:before="124"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（如公司未成立不用填）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vMerge w:val="restart"/>
            <w:tcBorders>
              <w:left w:val="single" w:color="000000" w:sz="6" w:space="0"/>
              <w:bottom w:val="nil"/>
            </w:tcBorders>
            <w:vAlign w:val="top"/>
          </w:tcPr>
          <w:p>
            <w:pPr>
              <w:spacing w:line="328" w:lineRule="auto"/>
              <w:rPr>
                <w:rFonts w:ascii="Malgun Gothic"/>
                <w:sz w:val="21"/>
              </w:rPr>
            </w:pPr>
          </w:p>
          <w:p>
            <w:pPr>
              <w:spacing w:before="75" w:line="318" w:lineRule="auto"/>
              <w:ind w:left="235" w:right="346" w:firstLine="16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项目负责人</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（企业法人）</w:t>
            </w:r>
          </w:p>
        </w:tc>
        <w:tc>
          <w:tcPr>
            <w:tcW w:w="1130" w:type="dxa"/>
            <w:vAlign w:val="top"/>
          </w:tcPr>
          <w:p>
            <w:pPr>
              <w:spacing w:before="127" w:line="180" w:lineRule="auto"/>
              <w:ind w:firstLine="34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591" w:type="dxa"/>
            <w:gridSpan w:val="2"/>
            <w:vAlign w:val="top"/>
          </w:tcPr>
          <w:p>
            <w:pPr>
              <w:spacing w:before="125" w:line="180" w:lineRule="auto"/>
              <w:ind w:firstLine="20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407" w:type="dxa"/>
            <w:gridSpan w:val="2"/>
            <w:vAlign w:val="top"/>
          </w:tcPr>
          <w:p>
            <w:pPr>
              <w:spacing w:before="124" w:line="180" w:lineRule="auto"/>
              <w:ind w:firstLine="4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性别</w:t>
            </w:r>
          </w:p>
        </w:tc>
        <w:tc>
          <w:tcPr>
            <w:tcW w:w="1325" w:type="dxa"/>
            <w:gridSpan w:val="2"/>
            <w:vAlign w:val="top"/>
          </w:tcPr>
          <w:p>
            <w:pPr>
              <w:spacing w:before="125" w:line="180" w:lineRule="auto"/>
              <w:ind w:firstLine="7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511" w:type="dxa"/>
            <w:gridSpan w:val="2"/>
            <w:vAlign w:val="top"/>
          </w:tcPr>
          <w:p>
            <w:pPr>
              <w:spacing w:before="125" w:line="180" w:lineRule="auto"/>
              <w:ind w:firstLine="351"/>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出生年月</w:t>
            </w:r>
          </w:p>
        </w:tc>
        <w:tc>
          <w:tcPr>
            <w:tcW w:w="1748" w:type="dxa"/>
            <w:gridSpan w:val="4"/>
            <w:vAlign w:val="top"/>
          </w:tcPr>
          <w:p>
            <w:pPr>
              <w:spacing w:before="125" w:line="180" w:lineRule="auto"/>
              <w:ind w:firstLine="2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431" w:type="dxa"/>
            <w:gridSpan w:val="2"/>
            <w:vAlign w:val="top"/>
          </w:tcPr>
          <w:p>
            <w:pPr>
              <w:spacing w:before="128" w:line="180" w:lineRule="auto"/>
              <w:ind w:firstLine="51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学历</w:t>
            </w:r>
          </w:p>
        </w:tc>
        <w:tc>
          <w:tcPr>
            <w:tcW w:w="1598" w:type="dxa"/>
            <w:gridSpan w:val="2"/>
            <w:tcBorders>
              <w:right w:val="single" w:color="000000" w:sz="6" w:space="0"/>
            </w:tcBorders>
            <w:vAlign w:val="top"/>
          </w:tcPr>
          <w:p>
            <w:pPr>
              <w:spacing w:before="125" w:line="180" w:lineRule="auto"/>
              <w:ind w:firstLine="20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7" w:hRule="atLeast"/>
        </w:trPr>
        <w:tc>
          <w:tcPr>
            <w:tcW w:w="1871" w:type="dxa"/>
            <w:vMerge w:val="continue"/>
            <w:tcBorders>
              <w:top w:val="nil"/>
              <w:left w:val="single" w:color="000000" w:sz="6" w:space="0"/>
              <w:bottom w:val="nil"/>
            </w:tcBorders>
            <w:vAlign w:val="top"/>
          </w:tcPr>
          <w:p>
            <w:pPr>
              <w:rPr>
                <w:rFonts w:ascii="Malgun Gothic"/>
                <w:sz w:val="21"/>
              </w:rPr>
            </w:pPr>
          </w:p>
        </w:tc>
        <w:tc>
          <w:tcPr>
            <w:tcW w:w="1130" w:type="dxa"/>
            <w:vAlign w:val="top"/>
          </w:tcPr>
          <w:p>
            <w:pPr>
              <w:spacing w:before="279" w:line="180" w:lineRule="auto"/>
              <w:ind w:firstLine="34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4323" w:type="dxa"/>
            <w:gridSpan w:val="6"/>
            <w:vAlign w:val="top"/>
          </w:tcPr>
          <w:p>
            <w:pPr>
              <w:spacing w:before="282" w:line="180" w:lineRule="auto"/>
              <w:ind w:firstLine="1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511" w:type="dxa"/>
            <w:gridSpan w:val="2"/>
            <w:vAlign w:val="top"/>
          </w:tcPr>
          <w:p>
            <w:pPr>
              <w:spacing w:before="120" w:line="239" w:lineRule="auto"/>
              <w:ind w:left="666" w:right="42" w:hanging="6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在读（毕业）学</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z w:val="21"/>
                <w:szCs w:val="21"/>
              </w:rPr>
              <w:t>院</w:t>
            </w:r>
          </w:p>
        </w:tc>
        <w:tc>
          <w:tcPr>
            <w:tcW w:w="1748" w:type="dxa"/>
            <w:gridSpan w:val="4"/>
            <w:vAlign w:val="top"/>
          </w:tcPr>
          <w:p>
            <w:pPr>
              <w:spacing w:before="282" w:line="180" w:lineRule="auto"/>
              <w:ind w:firstLine="28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431" w:type="dxa"/>
            <w:gridSpan w:val="2"/>
            <w:vAlign w:val="top"/>
          </w:tcPr>
          <w:p>
            <w:pPr>
              <w:spacing w:before="282" w:line="180" w:lineRule="auto"/>
              <w:ind w:firstLine="2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毕业时间</w:t>
            </w:r>
          </w:p>
        </w:tc>
        <w:tc>
          <w:tcPr>
            <w:tcW w:w="1598" w:type="dxa"/>
            <w:gridSpan w:val="2"/>
            <w:tcBorders>
              <w:right w:val="single" w:color="000000" w:sz="6" w:space="0"/>
            </w:tcBorders>
            <w:vAlign w:val="top"/>
          </w:tcPr>
          <w:p>
            <w:pPr>
              <w:spacing w:before="282" w:line="180" w:lineRule="auto"/>
              <w:ind w:firstLine="20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vMerge w:val="continue"/>
            <w:tcBorders>
              <w:top w:val="nil"/>
              <w:left w:val="single" w:color="000000" w:sz="6" w:space="0"/>
            </w:tcBorders>
            <w:vAlign w:val="top"/>
          </w:tcPr>
          <w:p>
            <w:pPr>
              <w:rPr>
                <w:rFonts w:ascii="Malgun Gothic"/>
                <w:sz w:val="21"/>
              </w:rPr>
            </w:pPr>
          </w:p>
        </w:tc>
        <w:tc>
          <w:tcPr>
            <w:tcW w:w="1130" w:type="dxa"/>
            <w:vAlign w:val="top"/>
          </w:tcPr>
          <w:p>
            <w:pPr>
              <w:spacing w:before="134" w:line="180" w:lineRule="auto"/>
              <w:ind w:firstLine="24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生源地</w:t>
            </w:r>
          </w:p>
        </w:tc>
        <w:tc>
          <w:tcPr>
            <w:tcW w:w="4323" w:type="dxa"/>
            <w:gridSpan w:val="6"/>
            <w:vAlign w:val="top"/>
          </w:tcPr>
          <w:p>
            <w:pPr>
              <w:spacing w:before="128" w:line="180" w:lineRule="auto"/>
              <w:ind w:firstLine="1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511" w:type="dxa"/>
            <w:gridSpan w:val="2"/>
            <w:vAlign w:val="top"/>
          </w:tcPr>
          <w:p>
            <w:pPr>
              <w:spacing w:before="130" w:line="180" w:lineRule="auto"/>
              <w:ind w:firstLine="3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联系电话</w:t>
            </w:r>
          </w:p>
        </w:tc>
        <w:tc>
          <w:tcPr>
            <w:tcW w:w="1748" w:type="dxa"/>
            <w:gridSpan w:val="4"/>
            <w:vAlign w:val="top"/>
          </w:tcPr>
          <w:p>
            <w:pPr>
              <w:spacing w:before="128" w:line="180" w:lineRule="auto"/>
              <w:ind w:firstLine="2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431" w:type="dxa"/>
            <w:gridSpan w:val="2"/>
            <w:vAlign w:val="top"/>
          </w:tcPr>
          <w:p>
            <w:pPr>
              <w:spacing w:before="127" w:line="180" w:lineRule="auto"/>
              <w:ind w:firstLine="31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电子邮箱</w:t>
            </w:r>
          </w:p>
        </w:tc>
        <w:tc>
          <w:tcPr>
            <w:tcW w:w="1598" w:type="dxa"/>
            <w:gridSpan w:val="2"/>
            <w:tcBorders>
              <w:right w:val="single" w:color="000000" w:sz="6" w:space="0"/>
            </w:tcBorders>
            <w:vAlign w:val="top"/>
          </w:tcPr>
          <w:p>
            <w:pPr>
              <w:spacing w:before="128" w:line="180" w:lineRule="auto"/>
              <w:ind w:firstLine="20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871" w:type="dxa"/>
            <w:tcBorders>
              <w:left w:val="single" w:color="000000" w:sz="6" w:space="0"/>
            </w:tcBorders>
            <w:vAlign w:val="top"/>
          </w:tcPr>
          <w:p>
            <w:pPr>
              <w:spacing w:before="287" w:line="180" w:lineRule="auto"/>
              <w:ind w:firstLine="2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项目所属行业</w:t>
            </w:r>
          </w:p>
        </w:tc>
        <w:tc>
          <w:tcPr>
            <w:tcW w:w="5453" w:type="dxa"/>
            <w:gridSpan w:val="7"/>
            <w:tcBorders>
              <w:bottom w:val="single" w:color="000000" w:sz="2" w:space="0"/>
            </w:tcBorders>
            <w:vAlign w:val="top"/>
          </w:tcPr>
          <w:p>
            <w:pPr>
              <w:spacing w:before="284" w:line="180" w:lineRule="auto"/>
              <w:ind w:firstLine="2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1511" w:type="dxa"/>
            <w:gridSpan w:val="2"/>
            <w:vAlign w:val="top"/>
          </w:tcPr>
          <w:p>
            <w:pPr>
              <w:spacing w:before="131" w:line="312" w:lineRule="exact"/>
              <w:ind w:firstLine="33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项目所处</w:t>
            </w:r>
          </w:p>
          <w:p>
            <w:pPr>
              <w:spacing w:line="204" w:lineRule="auto"/>
              <w:ind w:firstLine="56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阶段</w:t>
            </w:r>
          </w:p>
        </w:tc>
        <w:tc>
          <w:tcPr>
            <w:tcW w:w="4777" w:type="dxa"/>
            <w:gridSpan w:val="8"/>
            <w:tcBorders>
              <w:right w:val="single" w:color="000000" w:sz="6" w:space="0"/>
            </w:tcBorders>
            <w:vAlign w:val="top"/>
          </w:tcPr>
          <w:p>
            <w:pPr>
              <w:spacing w:before="279" w:line="193" w:lineRule="auto"/>
              <w:ind w:firstLine="3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种子期□</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成长期□</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
                <w:sz w:val="21"/>
                <w:szCs w:val="21"/>
              </w:rPr>
              <w:t>扩张期□</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成熟期□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4592" w:type="dxa"/>
            <w:gridSpan w:val="4"/>
            <w:tcBorders>
              <w:left w:val="single" w:color="000000" w:sz="6" w:space="0"/>
            </w:tcBorders>
            <w:vAlign w:val="top"/>
          </w:tcPr>
          <w:p>
            <w:pPr>
              <w:spacing w:before="126" w:line="252" w:lineRule="auto"/>
              <w:ind w:left="819" w:right="87" w:hanging="7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项目是否参加过校级（含校级）以上大学生创新</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1"/>
                <w:sz w:val="21"/>
                <w:szCs w:val="21"/>
              </w:rPr>
              <w:t>创业大赛或科技创新评选并获奖</w:t>
            </w:r>
          </w:p>
        </w:tc>
        <w:tc>
          <w:tcPr>
            <w:tcW w:w="3547" w:type="dxa"/>
            <w:gridSpan w:val="5"/>
            <w:vAlign w:val="top"/>
          </w:tcPr>
          <w:p>
            <w:pPr>
              <w:spacing w:before="291" w:line="180" w:lineRule="auto"/>
              <w:ind w:firstLine="1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是□</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否□</w:t>
            </w:r>
          </w:p>
        </w:tc>
        <w:tc>
          <w:tcPr>
            <w:tcW w:w="1711" w:type="dxa"/>
            <w:gridSpan w:val="3"/>
            <w:vAlign w:val="top"/>
          </w:tcPr>
          <w:p>
            <w:pPr>
              <w:spacing w:before="127" w:line="251" w:lineRule="auto"/>
              <w:ind w:left="648" w:right="112" w:hanging="52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大赛名称及获奖</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等级</w:t>
            </w:r>
          </w:p>
        </w:tc>
        <w:tc>
          <w:tcPr>
            <w:tcW w:w="3762" w:type="dxa"/>
            <w:gridSpan w:val="6"/>
            <w:tcBorders>
              <w:right w:val="single" w:color="000000" w:sz="6" w:space="0"/>
            </w:tcBorders>
            <w:vAlign w:val="top"/>
          </w:tcPr>
          <w:p>
            <w:pPr>
              <w:spacing w:before="286" w:line="180" w:lineRule="auto"/>
              <w:ind w:firstLine="7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（附获奖证书复印件）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tcBorders>
              <w:left w:val="single" w:color="000000" w:sz="6" w:space="0"/>
            </w:tcBorders>
            <w:vAlign w:val="top"/>
          </w:tcPr>
          <w:p>
            <w:pPr>
              <w:spacing w:before="134" w:line="180" w:lineRule="auto"/>
              <w:ind w:firstLine="5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融资金额</w:t>
            </w:r>
          </w:p>
        </w:tc>
        <w:tc>
          <w:tcPr>
            <w:tcW w:w="2721" w:type="dxa"/>
            <w:gridSpan w:val="3"/>
            <w:vAlign w:val="top"/>
          </w:tcPr>
          <w:p>
            <w:pPr>
              <w:spacing w:before="134" w:line="180" w:lineRule="auto"/>
              <w:ind w:firstLine="76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（必填项）</w:t>
            </w:r>
          </w:p>
        </w:tc>
        <w:tc>
          <w:tcPr>
            <w:tcW w:w="2378" w:type="dxa"/>
            <w:gridSpan w:val="3"/>
            <w:vAlign w:val="top"/>
          </w:tcPr>
          <w:p>
            <w:pPr>
              <w:spacing w:before="134" w:line="180" w:lineRule="auto"/>
              <w:ind w:firstLine="7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融资方式</w:t>
            </w:r>
          </w:p>
        </w:tc>
        <w:tc>
          <w:tcPr>
            <w:tcW w:w="6642" w:type="dxa"/>
            <w:gridSpan w:val="11"/>
            <w:tcBorders>
              <w:right w:val="single" w:color="000000" w:sz="6" w:space="0"/>
            </w:tcBorders>
            <w:vAlign w:val="top"/>
          </w:tcPr>
          <w:p>
            <w:pPr>
              <w:spacing w:before="129" w:line="193" w:lineRule="auto"/>
              <w:ind w:firstLine="94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自有资金□</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4"/>
                <w:sz w:val="21"/>
                <w:szCs w:val="21"/>
              </w:rPr>
              <w:t>民间借贷□</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rPr>
              <w:t>风险投资□</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4"/>
                <w:sz w:val="21"/>
                <w:szCs w:val="21"/>
              </w:rPr>
              <w:t>银行借贷□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vMerge w:val="restart"/>
            <w:tcBorders>
              <w:left w:val="single" w:color="000000" w:sz="6" w:space="0"/>
              <w:bottom w:val="nil"/>
            </w:tcBorders>
            <w:vAlign w:val="top"/>
          </w:tcPr>
          <w:p>
            <w:pPr>
              <w:spacing w:line="345" w:lineRule="auto"/>
              <w:rPr>
                <w:rFonts w:ascii="Malgun Gothic"/>
                <w:sz w:val="21"/>
              </w:rPr>
            </w:pPr>
          </w:p>
          <w:p>
            <w:pPr>
              <w:spacing w:line="345" w:lineRule="auto"/>
              <w:rPr>
                <w:rFonts w:ascii="Malgun Gothic"/>
                <w:sz w:val="21"/>
              </w:rPr>
            </w:pPr>
          </w:p>
          <w:p>
            <w:pPr>
              <w:spacing w:before="75"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其他合伙人情况</w:t>
            </w:r>
          </w:p>
        </w:tc>
        <w:tc>
          <w:tcPr>
            <w:tcW w:w="1726" w:type="dxa"/>
            <w:gridSpan w:val="2"/>
            <w:vAlign w:val="top"/>
          </w:tcPr>
          <w:p>
            <w:pPr>
              <w:spacing w:before="137" w:line="180" w:lineRule="auto"/>
              <w:ind w:firstLine="64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263" w:type="dxa"/>
            <w:gridSpan w:val="2"/>
            <w:vAlign w:val="top"/>
          </w:tcPr>
          <w:p>
            <w:pPr>
              <w:spacing w:before="134" w:line="180" w:lineRule="auto"/>
              <w:ind w:firstLine="41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性别</w:t>
            </w:r>
          </w:p>
        </w:tc>
        <w:tc>
          <w:tcPr>
            <w:tcW w:w="2110" w:type="dxa"/>
            <w:gridSpan w:val="2"/>
            <w:vAlign w:val="top"/>
          </w:tcPr>
          <w:p>
            <w:pPr>
              <w:spacing w:before="135" w:line="180" w:lineRule="auto"/>
              <w:ind w:firstLine="64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出生年月</w:t>
            </w:r>
          </w:p>
        </w:tc>
        <w:tc>
          <w:tcPr>
            <w:tcW w:w="2202" w:type="dxa"/>
            <w:gridSpan w:val="4"/>
            <w:vAlign w:val="top"/>
          </w:tcPr>
          <w:p>
            <w:pPr>
              <w:spacing w:before="135" w:line="180" w:lineRule="auto"/>
              <w:ind w:firstLine="2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在读（毕业）学院</w:t>
            </w:r>
          </w:p>
        </w:tc>
        <w:tc>
          <w:tcPr>
            <w:tcW w:w="1171" w:type="dxa"/>
            <w:gridSpan w:val="2"/>
            <w:vAlign w:val="top"/>
          </w:tcPr>
          <w:p>
            <w:pPr>
              <w:spacing w:before="135" w:line="180" w:lineRule="auto"/>
              <w:ind w:firstLine="1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毕业时间</w:t>
            </w:r>
          </w:p>
        </w:tc>
        <w:tc>
          <w:tcPr>
            <w:tcW w:w="1290" w:type="dxa"/>
            <w:gridSpan w:val="2"/>
            <w:vAlign w:val="top"/>
          </w:tcPr>
          <w:p>
            <w:pPr>
              <w:spacing w:before="133" w:line="180" w:lineRule="auto"/>
              <w:ind w:firstLine="4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专业</w:t>
            </w:r>
          </w:p>
        </w:tc>
        <w:tc>
          <w:tcPr>
            <w:tcW w:w="705" w:type="dxa"/>
            <w:gridSpan w:val="2"/>
            <w:vAlign w:val="top"/>
          </w:tcPr>
          <w:p>
            <w:pPr>
              <w:spacing w:before="138" w:line="180" w:lineRule="auto"/>
              <w:ind w:firstLine="14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学历</w:t>
            </w:r>
          </w:p>
        </w:tc>
        <w:tc>
          <w:tcPr>
            <w:tcW w:w="1274" w:type="dxa"/>
            <w:tcBorders>
              <w:right w:val="single" w:color="000000" w:sz="6" w:space="0"/>
            </w:tcBorders>
            <w:vAlign w:val="top"/>
          </w:tcPr>
          <w:p>
            <w:pPr>
              <w:spacing w:before="137"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871" w:type="dxa"/>
            <w:vMerge w:val="continue"/>
            <w:tcBorders>
              <w:top w:val="nil"/>
              <w:left w:val="single" w:color="000000" w:sz="6" w:space="0"/>
              <w:bottom w:val="nil"/>
            </w:tcBorders>
            <w:vAlign w:val="top"/>
          </w:tcPr>
          <w:p>
            <w:pPr>
              <w:rPr>
                <w:rFonts w:ascii="Malgun Gothic"/>
                <w:sz w:val="21"/>
              </w:rPr>
            </w:pPr>
          </w:p>
        </w:tc>
        <w:tc>
          <w:tcPr>
            <w:tcW w:w="1726" w:type="dxa"/>
            <w:gridSpan w:val="2"/>
            <w:vAlign w:val="top"/>
          </w:tcPr>
          <w:p>
            <w:pPr>
              <w:rPr>
                <w:rFonts w:ascii="Malgun Gothic"/>
                <w:sz w:val="21"/>
              </w:rPr>
            </w:pPr>
          </w:p>
        </w:tc>
        <w:tc>
          <w:tcPr>
            <w:tcW w:w="1263" w:type="dxa"/>
            <w:gridSpan w:val="2"/>
            <w:vAlign w:val="top"/>
          </w:tcPr>
          <w:p>
            <w:pPr>
              <w:rPr>
                <w:rFonts w:ascii="Malgun Gothic"/>
                <w:sz w:val="21"/>
              </w:rPr>
            </w:pPr>
          </w:p>
        </w:tc>
        <w:tc>
          <w:tcPr>
            <w:tcW w:w="2110" w:type="dxa"/>
            <w:gridSpan w:val="2"/>
            <w:vAlign w:val="top"/>
          </w:tcPr>
          <w:p>
            <w:pPr>
              <w:rPr>
                <w:rFonts w:ascii="Malgun Gothic"/>
                <w:sz w:val="21"/>
              </w:rPr>
            </w:pPr>
          </w:p>
        </w:tc>
        <w:tc>
          <w:tcPr>
            <w:tcW w:w="2202" w:type="dxa"/>
            <w:gridSpan w:val="4"/>
            <w:vAlign w:val="top"/>
          </w:tcPr>
          <w:p>
            <w:pPr>
              <w:rPr>
                <w:rFonts w:ascii="Malgun Gothic"/>
                <w:sz w:val="21"/>
              </w:rPr>
            </w:pPr>
          </w:p>
        </w:tc>
        <w:tc>
          <w:tcPr>
            <w:tcW w:w="1171" w:type="dxa"/>
            <w:gridSpan w:val="2"/>
            <w:vAlign w:val="top"/>
          </w:tcPr>
          <w:p>
            <w:pPr>
              <w:rPr>
                <w:rFonts w:ascii="Malgun Gothic"/>
                <w:sz w:val="21"/>
              </w:rPr>
            </w:pPr>
          </w:p>
        </w:tc>
        <w:tc>
          <w:tcPr>
            <w:tcW w:w="1290" w:type="dxa"/>
            <w:gridSpan w:val="2"/>
            <w:vAlign w:val="top"/>
          </w:tcPr>
          <w:p>
            <w:pPr>
              <w:rPr>
                <w:rFonts w:ascii="Malgun Gothic"/>
                <w:sz w:val="21"/>
              </w:rPr>
            </w:pPr>
          </w:p>
        </w:tc>
        <w:tc>
          <w:tcPr>
            <w:tcW w:w="705" w:type="dxa"/>
            <w:gridSpan w:val="2"/>
            <w:vAlign w:val="top"/>
          </w:tcPr>
          <w:p>
            <w:pPr>
              <w:rPr>
                <w:rFonts w:ascii="Malgun Gothic"/>
                <w:sz w:val="21"/>
              </w:rPr>
            </w:pPr>
          </w:p>
        </w:tc>
        <w:tc>
          <w:tcPr>
            <w:tcW w:w="127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vMerge w:val="continue"/>
            <w:tcBorders>
              <w:top w:val="nil"/>
              <w:left w:val="single" w:color="000000" w:sz="6" w:space="0"/>
              <w:bottom w:val="nil"/>
            </w:tcBorders>
            <w:vAlign w:val="top"/>
          </w:tcPr>
          <w:p>
            <w:pPr>
              <w:rPr>
                <w:rFonts w:ascii="Malgun Gothic"/>
                <w:sz w:val="21"/>
              </w:rPr>
            </w:pPr>
          </w:p>
        </w:tc>
        <w:tc>
          <w:tcPr>
            <w:tcW w:w="1726" w:type="dxa"/>
            <w:gridSpan w:val="2"/>
            <w:vAlign w:val="top"/>
          </w:tcPr>
          <w:p>
            <w:pPr>
              <w:rPr>
                <w:rFonts w:ascii="Malgun Gothic"/>
                <w:sz w:val="21"/>
              </w:rPr>
            </w:pPr>
          </w:p>
        </w:tc>
        <w:tc>
          <w:tcPr>
            <w:tcW w:w="1263" w:type="dxa"/>
            <w:gridSpan w:val="2"/>
            <w:vAlign w:val="top"/>
          </w:tcPr>
          <w:p>
            <w:pPr>
              <w:rPr>
                <w:rFonts w:ascii="Malgun Gothic"/>
                <w:sz w:val="21"/>
              </w:rPr>
            </w:pPr>
          </w:p>
        </w:tc>
        <w:tc>
          <w:tcPr>
            <w:tcW w:w="2110" w:type="dxa"/>
            <w:gridSpan w:val="2"/>
            <w:vAlign w:val="top"/>
          </w:tcPr>
          <w:p>
            <w:pPr>
              <w:rPr>
                <w:rFonts w:ascii="Malgun Gothic"/>
                <w:sz w:val="21"/>
              </w:rPr>
            </w:pPr>
          </w:p>
        </w:tc>
        <w:tc>
          <w:tcPr>
            <w:tcW w:w="2202" w:type="dxa"/>
            <w:gridSpan w:val="4"/>
            <w:vAlign w:val="top"/>
          </w:tcPr>
          <w:p>
            <w:pPr>
              <w:rPr>
                <w:rFonts w:ascii="Malgun Gothic"/>
                <w:sz w:val="21"/>
              </w:rPr>
            </w:pPr>
          </w:p>
        </w:tc>
        <w:tc>
          <w:tcPr>
            <w:tcW w:w="1171" w:type="dxa"/>
            <w:gridSpan w:val="2"/>
            <w:vAlign w:val="top"/>
          </w:tcPr>
          <w:p>
            <w:pPr>
              <w:rPr>
                <w:rFonts w:ascii="Malgun Gothic"/>
                <w:sz w:val="21"/>
              </w:rPr>
            </w:pPr>
          </w:p>
        </w:tc>
        <w:tc>
          <w:tcPr>
            <w:tcW w:w="1290" w:type="dxa"/>
            <w:gridSpan w:val="2"/>
            <w:vAlign w:val="top"/>
          </w:tcPr>
          <w:p>
            <w:pPr>
              <w:rPr>
                <w:rFonts w:ascii="Malgun Gothic"/>
                <w:sz w:val="21"/>
              </w:rPr>
            </w:pPr>
          </w:p>
        </w:tc>
        <w:tc>
          <w:tcPr>
            <w:tcW w:w="705" w:type="dxa"/>
            <w:gridSpan w:val="2"/>
            <w:vAlign w:val="top"/>
          </w:tcPr>
          <w:p>
            <w:pPr>
              <w:rPr>
                <w:rFonts w:ascii="Malgun Gothic"/>
                <w:sz w:val="21"/>
              </w:rPr>
            </w:pPr>
          </w:p>
        </w:tc>
        <w:tc>
          <w:tcPr>
            <w:tcW w:w="127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1871" w:type="dxa"/>
            <w:vMerge w:val="continue"/>
            <w:tcBorders>
              <w:top w:val="nil"/>
              <w:left w:val="single" w:color="000000" w:sz="6" w:space="0"/>
              <w:bottom w:val="nil"/>
            </w:tcBorders>
            <w:vAlign w:val="top"/>
          </w:tcPr>
          <w:p>
            <w:pPr>
              <w:rPr>
                <w:rFonts w:ascii="Malgun Gothic"/>
                <w:sz w:val="21"/>
              </w:rPr>
            </w:pPr>
          </w:p>
        </w:tc>
        <w:tc>
          <w:tcPr>
            <w:tcW w:w="1726" w:type="dxa"/>
            <w:gridSpan w:val="2"/>
            <w:vAlign w:val="top"/>
          </w:tcPr>
          <w:p>
            <w:pPr>
              <w:rPr>
                <w:rFonts w:ascii="Malgun Gothic"/>
                <w:sz w:val="21"/>
              </w:rPr>
            </w:pPr>
          </w:p>
        </w:tc>
        <w:tc>
          <w:tcPr>
            <w:tcW w:w="1263" w:type="dxa"/>
            <w:gridSpan w:val="2"/>
            <w:vAlign w:val="top"/>
          </w:tcPr>
          <w:p>
            <w:pPr>
              <w:rPr>
                <w:rFonts w:ascii="Malgun Gothic"/>
                <w:sz w:val="21"/>
              </w:rPr>
            </w:pPr>
          </w:p>
        </w:tc>
        <w:tc>
          <w:tcPr>
            <w:tcW w:w="2110" w:type="dxa"/>
            <w:gridSpan w:val="2"/>
            <w:vAlign w:val="top"/>
          </w:tcPr>
          <w:p>
            <w:pPr>
              <w:rPr>
                <w:rFonts w:ascii="Malgun Gothic"/>
                <w:sz w:val="21"/>
              </w:rPr>
            </w:pPr>
          </w:p>
        </w:tc>
        <w:tc>
          <w:tcPr>
            <w:tcW w:w="2202" w:type="dxa"/>
            <w:gridSpan w:val="4"/>
            <w:vAlign w:val="top"/>
          </w:tcPr>
          <w:p>
            <w:pPr>
              <w:rPr>
                <w:rFonts w:ascii="Malgun Gothic"/>
                <w:sz w:val="21"/>
              </w:rPr>
            </w:pPr>
          </w:p>
        </w:tc>
        <w:tc>
          <w:tcPr>
            <w:tcW w:w="1171" w:type="dxa"/>
            <w:gridSpan w:val="2"/>
            <w:vAlign w:val="top"/>
          </w:tcPr>
          <w:p>
            <w:pPr>
              <w:rPr>
                <w:rFonts w:ascii="Malgun Gothic"/>
                <w:sz w:val="21"/>
              </w:rPr>
            </w:pPr>
          </w:p>
        </w:tc>
        <w:tc>
          <w:tcPr>
            <w:tcW w:w="1290" w:type="dxa"/>
            <w:gridSpan w:val="2"/>
            <w:vAlign w:val="top"/>
          </w:tcPr>
          <w:p>
            <w:pPr>
              <w:rPr>
                <w:rFonts w:ascii="Malgun Gothic"/>
                <w:sz w:val="21"/>
              </w:rPr>
            </w:pPr>
          </w:p>
        </w:tc>
        <w:tc>
          <w:tcPr>
            <w:tcW w:w="705" w:type="dxa"/>
            <w:gridSpan w:val="2"/>
            <w:vAlign w:val="top"/>
          </w:tcPr>
          <w:p>
            <w:pPr>
              <w:rPr>
                <w:rFonts w:ascii="Malgun Gothic"/>
                <w:sz w:val="21"/>
              </w:rPr>
            </w:pPr>
          </w:p>
        </w:tc>
        <w:tc>
          <w:tcPr>
            <w:tcW w:w="127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1871" w:type="dxa"/>
            <w:vMerge w:val="continue"/>
            <w:tcBorders>
              <w:top w:val="nil"/>
              <w:left w:val="single" w:color="000000" w:sz="6" w:space="0"/>
              <w:bottom w:val="single" w:color="000000" w:sz="6" w:space="0"/>
            </w:tcBorders>
            <w:vAlign w:val="top"/>
          </w:tcPr>
          <w:p>
            <w:pPr>
              <w:rPr>
                <w:rFonts w:ascii="Malgun Gothic"/>
                <w:sz w:val="21"/>
              </w:rPr>
            </w:pPr>
          </w:p>
        </w:tc>
        <w:tc>
          <w:tcPr>
            <w:tcW w:w="1726" w:type="dxa"/>
            <w:gridSpan w:val="2"/>
            <w:tcBorders>
              <w:bottom w:val="single" w:color="000000" w:sz="6" w:space="0"/>
            </w:tcBorders>
            <w:vAlign w:val="top"/>
          </w:tcPr>
          <w:p>
            <w:pPr>
              <w:rPr>
                <w:rFonts w:ascii="Malgun Gothic"/>
                <w:sz w:val="21"/>
              </w:rPr>
            </w:pPr>
          </w:p>
        </w:tc>
        <w:tc>
          <w:tcPr>
            <w:tcW w:w="1263" w:type="dxa"/>
            <w:gridSpan w:val="2"/>
            <w:tcBorders>
              <w:bottom w:val="single" w:color="000000" w:sz="6" w:space="0"/>
            </w:tcBorders>
            <w:vAlign w:val="top"/>
          </w:tcPr>
          <w:p>
            <w:pPr>
              <w:rPr>
                <w:rFonts w:ascii="Malgun Gothic"/>
                <w:sz w:val="21"/>
              </w:rPr>
            </w:pPr>
          </w:p>
        </w:tc>
        <w:tc>
          <w:tcPr>
            <w:tcW w:w="2110" w:type="dxa"/>
            <w:gridSpan w:val="2"/>
            <w:tcBorders>
              <w:bottom w:val="single" w:color="000000" w:sz="6" w:space="0"/>
            </w:tcBorders>
            <w:vAlign w:val="top"/>
          </w:tcPr>
          <w:p>
            <w:pPr>
              <w:rPr>
                <w:rFonts w:ascii="Malgun Gothic"/>
                <w:sz w:val="21"/>
              </w:rPr>
            </w:pPr>
          </w:p>
        </w:tc>
        <w:tc>
          <w:tcPr>
            <w:tcW w:w="2202" w:type="dxa"/>
            <w:gridSpan w:val="4"/>
            <w:tcBorders>
              <w:bottom w:val="single" w:color="000000" w:sz="6" w:space="0"/>
            </w:tcBorders>
            <w:vAlign w:val="top"/>
          </w:tcPr>
          <w:p>
            <w:pPr>
              <w:rPr>
                <w:rFonts w:ascii="Malgun Gothic"/>
                <w:sz w:val="21"/>
              </w:rPr>
            </w:pPr>
          </w:p>
        </w:tc>
        <w:tc>
          <w:tcPr>
            <w:tcW w:w="1171" w:type="dxa"/>
            <w:gridSpan w:val="2"/>
            <w:tcBorders>
              <w:bottom w:val="single" w:color="000000" w:sz="6" w:space="0"/>
            </w:tcBorders>
            <w:vAlign w:val="top"/>
          </w:tcPr>
          <w:p>
            <w:pPr>
              <w:rPr>
                <w:rFonts w:ascii="Malgun Gothic"/>
                <w:sz w:val="21"/>
              </w:rPr>
            </w:pPr>
          </w:p>
        </w:tc>
        <w:tc>
          <w:tcPr>
            <w:tcW w:w="1290" w:type="dxa"/>
            <w:gridSpan w:val="2"/>
            <w:tcBorders>
              <w:bottom w:val="single" w:color="000000" w:sz="6" w:space="0"/>
            </w:tcBorders>
            <w:vAlign w:val="top"/>
          </w:tcPr>
          <w:p>
            <w:pPr>
              <w:rPr>
                <w:rFonts w:ascii="Malgun Gothic"/>
                <w:sz w:val="21"/>
              </w:rPr>
            </w:pPr>
          </w:p>
        </w:tc>
        <w:tc>
          <w:tcPr>
            <w:tcW w:w="705" w:type="dxa"/>
            <w:gridSpan w:val="2"/>
            <w:tcBorders>
              <w:bottom w:val="single" w:color="000000" w:sz="6" w:space="0"/>
            </w:tcBorders>
            <w:vAlign w:val="top"/>
          </w:tcPr>
          <w:p>
            <w:pPr>
              <w:rPr>
                <w:rFonts w:ascii="Malgun Gothic"/>
                <w:sz w:val="21"/>
              </w:rPr>
            </w:pPr>
          </w:p>
        </w:tc>
        <w:tc>
          <w:tcPr>
            <w:tcW w:w="1274" w:type="dxa"/>
            <w:tcBorders>
              <w:bottom w:val="single" w:color="000000" w:sz="6" w:space="0"/>
              <w:right w:val="single" w:color="000000" w:sz="6" w:space="0"/>
            </w:tcBorders>
            <w:vAlign w:val="top"/>
          </w:tcPr>
          <w:p>
            <w:pPr>
              <w:rPr>
                <w:rFonts w:ascii="Malgun Gothic"/>
                <w:sz w:val="21"/>
              </w:rPr>
            </w:pPr>
          </w:p>
        </w:tc>
      </w:tr>
    </w:tbl>
    <w:p>
      <w:pPr>
        <w:rPr>
          <w:rFonts w:ascii="Malgun Gothic"/>
          <w:sz w:val="21"/>
        </w:rPr>
      </w:pPr>
    </w:p>
    <w:p>
      <w:pPr>
        <w:sectPr>
          <w:footerReference r:id="rId263" w:type="default"/>
          <w:pgSz w:w="16840" w:h="11905"/>
          <w:pgMar w:top="1011" w:right="1607" w:bottom="1265" w:left="1605" w:header="0" w:footer="1141" w:gutter="0"/>
          <w:cols w:space="720" w:num="1"/>
        </w:sectPr>
      </w:pPr>
    </w:p>
    <w:p/>
    <w:p/>
    <w:p>
      <w:pPr>
        <w:spacing w:line="206" w:lineRule="exact"/>
      </w:pPr>
    </w:p>
    <w:tbl>
      <w:tblPr>
        <w:tblStyle w:val="4"/>
        <w:tblW w:w="13612" w:type="dxa"/>
        <w:tblInd w:w="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6608"/>
        <w:gridCol w:w="944"/>
        <w:gridCol w:w="524"/>
        <w:gridCol w:w="5536"/>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033" w:hRule="atLeast"/>
        </w:trPr>
        <w:tc>
          <w:tcPr>
            <w:tcW w:w="7552" w:type="dxa"/>
            <w:gridSpan w:val="2"/>
            <w:tcBorders>
              <w:top w:val="single" w:color="000000" w:sz="6" w:space="0"/>
              <w:left w:val="single" w:color="000000" w:sz="6" w:space="0"/>
            </w:tcBorders>
            <w:vAlign w:val="top"/>
          </w:tcPr>
          <w:p>
            <w:pPr>
              <w:spacing w:before="89" w:line="193" w:lineRule="auto"/>
              <w:ind w:firstLine="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项目简要介绍</w:t>
            </w:r>
            <w:r>
              <w:rPr>
                <w:rFonts w:ascii="方正书宋简体" w:hAnsi="方正书宋简体" w:eastAsia="方正书宋简体" w:cs="方正书宋简体"/>
                <w:spacing w:val="-19"/>
                <w:sz w:val="21"/>
                <w:szCs w:val="21"/>
              </w:rPr>
              <w:t>：</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19"/>
                <w:sz w:val="21"/>
                <w:szCs w:val="21"/>
              </w:rPr>
              <w:t>（</w:t>
            </w:r>
            <w:r>
              <w:rPr>
                <w:rFonts w:ascii="方正书宋简体" w:hAnsi="方正书宋简体" w:eastAsia="方正书宋简体" w:cs="方正书宋简体"/>
                <w:spacing w:val="-10"/>
                <w:sz w:val="21"/>
                <w:szCs w:val="21"/>
              </w:rPr>
              <w:t>产品及服务描述、用途和特点）</w:t>
            </w:r>
          </w:p>
        </w:tc>
        <w:tc>
          <w:tcPr>
            <w:tcW w:w="524" w:type="dxa"/>
            <w:tcBorders>
              <w:top w:val="single" w:color="000000" w:sz="6" w:space="0"/>
            </w:tcBorders>
            <w:vAlign w:val="top"/>
          </w:tcPr>
          <w:p>
            <w:pPr>
              <w:rPr>
                <w:rFonts w:ascii="Malgun Gothic"/>
                <w:sz w:val="21"/>
              </w:rPr>
            </w:pPr>
          </w:p>
        </w:tc>
        <w:tc>
          <w:tcPr>
            <w:tcW w:w="5536" w:type="dxa"/>
            <w:tcBorders>
              <w:top w:val="single" w:color="000000" w:sz="6" w:space="0"/>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191" w:hRule="atLeast"/>
        </w:trPr>
        <w:tc>
          <w:tcPr>
            <w:tcW w:w="7552" w:type="dxa"/>
            <w:gridSpan w:val="2"/>
            <w:tcBorders>
              <w:left w:val="single" w:color="000000" w:sz="6" w:space="0"/>
              <w:bottom w:val="single" w:color="000000" w:sz="4" w:space="0"/>
            </w:tcBorders>
            <w:vAlign w:val="top"/>
          </w:tcPr>
          <w:p>
            <w:pPr>
              <w:spacing w:line="263" w:lineRule="auto"/>
              <w:rPr>
                <w:rFonts w:ascii="Malgun Gothic"/>
                <w:sz w:val="21"/>
              </w:rPr>
            </w:pPr>
          </w:p>
          <w:p>
            <w:pPr>
              <w:spacing w:line="263" w:lineRule="auto"/>
              <w:rPr>
                <w:rFonts w:ascii="Malgun Gothic"/>
                <w:sz w:val="21"/>
              </w:rPr>
            </w:pPr>
          </w:p>
          <w:p>
            <w:pPr>
              <w:spacing w:before="72" w:line="180" w:lineRule="auto"/>
              <w:rPr>
                <w:rFonts w:ascii="方正书宋简体" w:hAnsi="方正书宋简体" w:eastAsia="方正书宋简体" w:cs="方正书宋简体"/>
                <w:sz w:val="20"/>
                <w:szCs w:val="20"/>
              </w:rPr>
            </w:pPr>
            <w:r>
              <w:rPr>
                <w:rFonts w:ascii="方正书宋简体" w:hAnsi="方正书宋简体" w:eastAsia="方正书宋简体" w:cs="方正书宋简体"/>
                <w:spacing w:val="1"/>
                <w:sz w:val="20"/>
                <w:szCs w:val="20"/>
              </w:rPr>
              <w:t>（可另附页）</w:t>
            </w:r>
          </w:p>
        </w:tc>
        <w:tc>
          <w:tcPr>
            <w:tcW w:w="524" w:type="dxa"/>
            <w:tcBorders>
              <w:bottom w:val="single" w:color="000000" w:sz="4" w:space="0"/>
            </w:tcBorders>
            <w:vAlign w:val="top"/>
          </w:tcPr>
          <w:p>
            <w:pPr>
              <w:rPr>
                <w:rFonts w:ascii="Malgun Gothic"/>
                <w:sz w:val="21"/>
              </w:rPr>
            </w:pPr>
          </w:p>
        </w:tc>
        <w:tc>
          <w:tcPr>
            <w:tcW w:w="5536" w:type="dxa"/>
            <w:tcBorders>
              <w:bottom w:val="single" w:color="000000" w:sz="4" w:space="0"/>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420" w:hRule="atLeast"/>
        </w:trPr>
        <w:tc>
          <w:tcPr>
            <w:tcW w:w="7552" w:type="dxa"/>
            <w:gridSpan w:val="2"/>
            <w:tcBorders>
              <w:top w:val="single" w:color="000000" w:sz="4" w:space="0"/>
              <w:left w:val="single" w:color="000000" w:sz="6" w:space="0"/>
            </w:tcBorders>
            <w:vAlign w:val="top"/>
          </w:tcPr>
          <w:p>
            <w:pPr>
              <w:spacing w:before="89" w:line="180" w:lineRule="auto"/>
              <w:ind w:firstLine="7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申请人关于有关问题的声明：</w:t>
            </w:r>
          </w:p>
          <w:p>
            <w:pPr>
              <w:spacing w:before="136" w:line="180" w:lineRule="auto"/>
              <w:ind w:firstLine="6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1、申请入驻吉首大学大学生创新创业孵化基地，服从基地管理，接受基地评估。</w:t>
            </w:r>
          </w:p>
          <w:p>
            <w:pPr>
              <w:spacing w:before="136" w:line="180" w:lineRule="auto"/>
              <w:ind w:firstLine="5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2、项目无任何产权纠纷，申报表所填信息真实准确。</w:t>
            </w:r>
          </w:p>
        </w:tc>
        <w:tc>
          <w:tcPr>
            <w:tcW w:w="524" w:type="dxa"/>
            <w:tcBorders>
              <w:top w:val="single" w:color="000000" w:sz="4" w:space="0"/>
            </w:tcBorders>
            <w:vAlign w:val="top"/>
          </w:tcPr>
          <w:p>
            <w:pPr>
              <w:rPr>
                <w:rFonts w:ascii="Malgun Gothic"/>
                <w:sz w:val="21"/>
              </w:rPr>
            </w:pPr>
          </w:p>
        </w:tc>
        <w:tc>
          <w:tcPr>
            <w:tcW w:w="5536" w:type="dxa"/>
            <w:tcBorders>
              <w:top w:val="single" w:color="000000" w:sz="4" w:space="0"/>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8" w:hRule="atLeast"/>
        </w:trPr>
        <w:tc>
          <w:tcPr>
            <w:tcW w:w="6608" w:type="dxa"/>
            <w:tcBorders>
              <w:left w:val="single" w:color="000000" w:sz="6" w:space="0"/>
            </w:tcBorders>
            <w:vAlign w:val="top"/>
          </w:tcPr>
          <w:p>
            <w:pPr>
              <w:spacing w:line="268" w:lineRule="auto"/>
              <w:rPr>
                <w:rFonts w:ascii="Malgun Gothic"/>
                <w:sz w:val="21"/>
              </w:rPr>
            </w:pPr>
          </w:p>
          <w:p>
            <w:pPr>
              <w:spacing w:before="75" w:line="180" w:lineRule="auto"/>
              <w:ind w:firstLine="56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签字：</w:t>
            </w:r>
          </w:p>
        </w:tc>
        <w:tc>
          <w:tcPr>
            <w:tcW w:w="944" w:type="dxa"/>
            <w:vAlign w:val="top"/>
          </w:tcPr>
          <w:p>
            <w:pPr>
              <w:rPr>
                <w:rFonts w:ascii="Malgun Gothic"/>
                <w:sz w:val="21"/>
              </w:rPr>
            </w:pPr>
          </w:p>
        </w:tc>
        <w:tc>
          <w:tcPr>
            <w:tcW w:w="524" w:type="dxa"/>
            <w:vMerge w:val="restart"/>
            <w:tcBorders>
              <w:bottom w:val="nil"/>
            </w:tcBorders>
            <w:vAlign w:val="top"/>
          </w:tcPr>
          <w:p>
            <w:pPr>
              <w:spacing w:line="249" w:lineRule="auto"/>
              <w:rPr>
                <w:rFonts w:ascii="Malgun Gothic"/>
                <w:sz w:val="21"/>
              </w:rPr>
            </w:pPr>
          </w:p>
          <w:p>
            <w:pPr>
              <w:spacing w:line="249" w:lineRule="auto"/>
              <w:rPr>
                <w:rFonts w:ascii="Malgun Gothic"/>
                <w:sz w:val="21"/>
              </w:rPr>
            </w:pPr>
          </w:p>
          <w:p>
            <w:pPr>
              <w:spacing w:line="250" w:lineRule="auto"/>
              <w:rPr>
                <w:rFonts w:ascii="Malgun Gothic"/>
                <w:sz w:val="21"/>
              </w:rPr>
            </w:pPr>
          </w:p>
          <w:p>
            <w:pPr>
              <w:spacing w:before="75" w:line="180" w:lineRule="auto"/>
              <w:ind w:firstLine="17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月</w:t>
            </w:r>
          </w:p>
        </w:tc>
        <w:tc>
          <w:tcPr>
            <w:tcW w:w="5536" w:type="dxa"/>
            <w:vMerge w:val="restart"/>
            <w:tcBorders>
              <w:bottom w:val="nil"/>
              <w:right w:val="single" w:color="000000" w:sz="6" w:space="0"/>
            </w:tcBorders>
            <w:vAlign w:val="top"/>
          </w:tcPr>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75" w:line="180" w:lineRule="auto"/>
              <w:ind w:firstLine="2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日</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81" w:hRule="atLeast"/>
        </w:trPr>
        <w:tc>
          <w:tcPr>
            <w:tcW w:w="6608" w:type="dxa"/>
            <w:tcBorders>
              <w:left w:val="single" w:color="000000" w:sz="6" w:space="0"/>
              <w:bottom w:val="single" w:color="000000" w:sz="4" w:space="0"/>
            </w:tcBorders>
            <w:vAlign w:val="top"/>
          </w:tcPr>
          <w:p>
            <w:pPr>
              <w:rPr>
                <w:rFonts w:ascii="Malgun Gothic"/>
                <w:sz w:val="21"/>
              </w:rPr>
            </w:pPr>
          </w:p>
        </w:tc>
        <w:tc>
          <w:tcPr>
            <w:tcW w:w="944" w:type="dxa"/>
            <w:tcBorders>
              <w:bottom w:val="single" w:color="000000" w:sz="4" w:space="0"/>
            </w:tcBorders>
            <w:vAlign w:val="top"/>
          </w:tcPr>
          <w:p>
            <w:pPr>
              <w:spacing w:before="363" w:line="180" w:lineRule="auto"/>
              <w:ind w:firstLine="59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年</w:t>
            </w:r>
          </w:p>
        </w:tc>
        <w:tc>
          <w:tcPr>
            <w:tcW w:w="524" w:type="dxa"/>
            <w:vMerge w:val="continue"/>
            <w:tcBorders>
              <w:top w:val="nil"/>
              <w:bottom w:val="single" w:color="000000" w:sz="4" w:space="0"/>
            </w:tcBorders>
            <w:vAlign w:val="top"/>
          </w:tcPr>
          <w:p>
            <w:pPr>
              <w:rPr>
                <w:rFonts w:ascii="Malgun Gothic"/>
                <w:sz w:val="21"/>
              </w:rPr>
            </w:pPr>
          </w:p>
        </w:tc>
        <w:tc>
          <w:tcPr>
            <w:tcW w:w="5536" w:type="dxa"/>
            <w:vMerge w:val="continue"/>
            <w:tcBorders>
              <w:top w:val="nil"/>
              <w:bottom w:val="single" w:color="000000" w:sz="4" w:space="0"/>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1510" w:hRule="atLeast"/>
        </w:trPr>
        <w:tc>
          <w:tcPr>
            <w:tcW w:w="7552" w:type="dxa"/>
            <w:gridSpan w:val="2"/>
            <w:tcBorders>
              <w:top w:val="single" w:color="000000" w:sz="4" w:space="0"/>
              <w:left w:val="single" w:color="000000" w:sz="6" w:space="0"/>
            </w:tcBorders>
            <w:vAlign w:val="top"/>
          </w:tcPr>
          <w:p>
            <w:pPr>
              <w:spacing w:before="96" w:line="180" w:lineRule="auto"/>
              <w:ind w:firstLine="5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学院推荐意见：</w:t>
            </w:r>
          </w:p>
          <w:p>
            <w:pPr>
              <w:spacing w:line="279" w:lineRule="auto"/>
              <w:rPr>
                <w:rFonts w:ascii="Malgun Gothic"/>
                <w:sz w:val="21"/>
              </w:rPr>
            </w:pPr>
          </w:p>
          <w:p>
            <w:pPr>
              <w:spacing w:before="76" w:line="180" w:lineRule="auto"/>
              <w:ind w:firstLine="50"/>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学院领导签名：</w:t>
            </w:r>
          </w:p>
        </w:tc>
        <w:tc>
          <w:tcPr>
            <w:tcW w:w="524" w:type="dxa"/>
            <w:tcBorders>
              <w:top w:val="single" w:color="000000" w:sz="4" w:space="0"/>
            </w:tcBorders>
            <w:vAlign w:val="top"/>
          </w:tcPr>
          <w:p>
            <w:pPr>
              <w:rPr>
                <w:rFonts w:ascii="Malgun Gothic"/>
                <w:sz w:val="21"/>
              </w:rPr>
            </w:pPr>
          </w:p>
        </w:tc>
        <w:tc>
          <w:tcPr>
            <w:tcW w:w="5536" w:type="dxa"/>
            <w:tcBorders>
              <w:top w:val="single" w:color="000000" w:sz="4" w:space="0"/>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38" w:hRule="atLeast"/>
        </w:trPr>
        <w:tc>
          <w:tcPr>
            <w:tcW w:w="7552" w:type="dxa"/>
            <w:gridSpan w:val="2"/>
            <w:tcBorders>
              <w:left w:val="single" w:color="000000" w:sz="6" w:space="0"/>
            </w:tcBorders>
            <w:vAlign w:val="top"/>
          </w:tcPr>
          <w:p>
            <w:pPr>
              <w:spacing w:before="390" w:line="180" w:lineRule="auto"/>
              <w:ind w:firstLine="50"/>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学院盖章：</w:t>
            </w:r>
          </w:p>
        </w:tc>
        <w:tc>
          <w:tcPr>
            <w:tcW w:w="524" w:type="dxa"/>
            <w:vAlign w:val="top"/>
          </w:tcPr>
          <w:p>
            <w:pPr>
              <w:rPr>
                <w:rFonts w:ascii="Malgun Gothic"/>
                <w:sz w:val="21"/>
              </w:rPr>
            </w:pPr>
          </w:p>
        </w:tc>
        <w:tc>
          <w:tcPr>
            <w:tcW w:w="5536" w:type="dxa"/>
            <w:tcBorders>
              <w:right w:val="single" w:color="000000" w:sz="6" w:space="0"/>
            </w:tcBorders>
            <w:vAlign w:val="top"/>
          </w:tcPr>
          <w:p>
            <w:pPr>
              <w:rPr>
                <w:rFonts w:ascii="Malgun Gothic"/>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01" w:hRule="atLeast"/>
        </w:trPr>
        <w:tc>
          <w:tcPr>
            <w:tcW w:w="7552" w:type="dxa"/>
            <w:gridSpan w:val="2"/>
            <w:tcBorders>
              <w:left w:val="single" w:color="000000" w:sz="6" w:space="0"/>
              <w:bottom w:val="single" w:color="000000" w:sz="6" w:space="0"/>
            </w:tcBorders>
            <w:vAlign w:val="top"/>
          </w:tcPr>
          <w:p>
            <w:pPr>
              <w:spacing w:before="278" w:line="180" w:lineRule="auto"/>
              <w:ind w:firstLine="719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年</w:t>
            </w:r>
          </w:p>
        </w:tc>
        <w:tc>
          <w:tcPr>
            <w:tcW w:w="524" w:type="dxa"/>
            <w:tcBorders>
              <w:bottom w:val="single" w:color="000000" w:sz="6" w:space="0"/>
            </w:tcBorders>
            <w:vAlign w:val="top"/>
          </w:tcPr>
          <w:p>
            <w:pPr>
              <w:spacing w:before="282" w:line="180" w:lineRule="auto"/>
              <w:ind w:firstLine="17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月</w:t>
            </w:r>
          </w:p>
        </w:tc>
        <w:tc>
          <w:tcPr>
            <w:tcW w:w="5536" w:type="dxa"/>
            <w:tcBorders>
              <w:bottom w:val="single" w:color="000000" w:sz="6" w:space="0"/>
              <w:right w:val="single" w:color="000000" w:sz="6" w:space="0"/>
            </w:tcBorders>
            <w:vAlign w:val="top"/>
          </w:tcPr>
          <w:p>
            <w:pPr>
              <w:spacing w:before="290" w:line="180" w:lineRule="auto"/>
              <w:ind w:firstLine="2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日</w:t>
            </w:r>
          </w:p>
        </w:tc>
      </w:tr>
    </w:tbl>
    <w:p>
      <w:pPr>
        <w:rPr>
          <w:rFonts w:ascii="Malgun Gothic"/>
          <w:sz w:val="21"/>
        </w:rPr>
      </w:pPr>
    </w:p>
    <w:p>
      <w:pPr>
        <w:sectPr>
          <w:footerReference r:id="rId264" w:type="default"/>
          <w:pgSz w:w="16840" w:h="11905"/>
          <w:pgMar w:top="1011" w:right="1607" w:bottom="1265" w:left="1605" w:header="0" w:footer="1142" w:gutter="0"/>
          <w:cols w:space="720" w:num="1"/>
        </w:sectPr>
      </w:pPr>
    </w:p>
    <w:p>
      <w:pPr>
        <w:spacing w:before="438" w:line="180" w:lineRule="auto"/>
        <w:ind w:firstLine="1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2</w:t>
      </w:r>
    </w:p>
    <w:p>
      <w:pPr>
        <w:spacing w:before="122" w:line="180" w:lineRule="auto"/>
        <w:ind w:firstLine="11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吉首大学学生创业项目计划书编制说明及提纲</w:t>
      </w:r>
    </w:p>
    <w:p>
      <w:pPr>
        <w:spacing w:line="308" w:lineRule="auto"/>
        <w:rPr>
          <w:rFonts w:ascii="Malgun Gothic"/>
          <w:sz w:val="21"/>
        </w:rPr>
      </w:pPr>
    </w:p>
    <w:p>
      <w:pPr>
        <w:spacing w:before="105"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一、相关说明</w:t>
      </w:r>
    </w:p>
    <w:p>
      <w:pPr>
        <w:spacing w:before="162"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1、商业计划书要严格按照编制提纲逐项进行编写。</w:t>
      </w:r>
    </w:p>
    <w:p>
      <w:pPr>
        <w:spacing w:before="195" w:line="310" w:lineRule="auto"/>
        <w:ind w:right="129"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2、商业计划书要用</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1"/>
          <w:sz w:val="24"/>
          <w:szCs w:val="24"/>
        </w:rPr>
        <w:t>A4</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
          <w:sz w:val="24"/>
          <w:szCs w:val="24"/>
        </w:rPr>
        <w:t>纸打印；编写时，小标题用黑体四号字编写，正文用仿</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宋体四号字编写。</w:t>
      </w:r>
    </w:p>
    <w:p>
      <w:pPr>
        <w:spacing w:before="29" w:line="187"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二、编制提纲</w:t>
      </w:r>
    </w:p>
    <w:p>
      <w:pPr>
        <w:spacing w:before="148"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1、计划书封面（项目名称、编制人、编制时间等）与目录。</w:t>
      </w:r>
    </w:p>
    <w:p>
      <w:pPr>
        <w:spacing w:before="198" w:line="258" w:lineRule="auto"/>
        <w:ind w:left="12" w:right="129" w:firstLine="47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2、基本情况。（项目名称、拟成立时间、注册资本；</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主要股东、股份比例；</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营业务；联系人电话、传真等信息）</w:t>
      </w:r>
    </w:p>
    <w:p>
      <w:pPr>
        <w:spacing w:before="183" w:line="311" w:lineRule="auto"/>
        <w:ind w:left="3" w:right="130"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3、项目负责人及团队信息。（姓名、性别、年龄、籍贯；</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学历、学位、毕业院</w:t>
      </w:r>
      <w:r>
        <w:rPr>
          <w:rFonts w:ascii="方正书宋简体" w:hAnsi="方正书宋简体" w:eastAsia="方正书宋简体" w:cs="方正书宋简体"/>
          <w:sz w:val="24"/>
          <w:szCs w:val="24"/>
        </w:rPr>
        <w:t xml:space="preserve"> 校、政治面貌、联系方式、主要经历等）</w:t>
      </w:r>
    </w:p>
    <w:p>
      <w:pPr>
        <w:spacing w:before="34" w:line="322" w:lineRule="auto"/>
        <w:ind w:left="10" w:right="130" w:firstLine="46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4、产品/服务描述。（产品/服务介绍；产品技术水平；产品的新颖性、先进性</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
          <w:sz w:val="24"/>
          <w:szCs w:val="24"/>
        </w:rPr>
        <w:t>和独特性；产品的竞争优势）</w:t>
      </w:r>
    </w:p>
    <w:p>
      <w:pPr>
        <w:spacing w:before="2" w:line="322" w:lineRule="auto"/>
        <w:ind w:right="130"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5、研究与开发。（已有的技术成果及技术水平；</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研发队伍技术水平、竞争力及</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z w:val="24"/>
          <w:szCs w:val="24"/>
        </w:rPr>
        <w:t>对外合作情况；已经投入的研发经费及今后投入计划；对研发人员的激励机制）</w:t>
      </w:r>
    </w:p>
    <w:p>
      <w:pPr>
        <w:spacing w:before="2" w:line="322" w:lineRule="auto"/>
        <w:ind w:right="130"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6、行业及市场。（行业历史与前景；</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市场规模及增长趋势；</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行业竞争对手及本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公司竞争优势；未来</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年市场销售预测）</w:t>
      </w:r>
    </w:p>
    <w:p>
      <w:pPr>
        <w:spacing w:before="4" w:line="256" w:lineRule="auto"/>
        <w:ind w:right="13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7、营销策略。（在价格、促销、建立销售网络等各方面拟采取的策略及其可操</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z w:val="24"/>
          <w:szCs w:val="24"/>
        </w:rPr>
        <w:t>作性和有效性；对销售人员的激励机制）</w:t>
      </w:r>
    </w:p>
    <w:p>
      <w:pPr>
        <w:spacing w:before="185"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8、管理。（机构设置；员工持股；劳动合同；知识产权管理；人事计划）</w:t>
      </w:r>
    </w:p>
    <w:p>
      <w:pPr>
        <w:spacing w:before="185" w:line="310" w:lineRule="auto"/>
        <w:ind w:left="19" w:right="129" w:firstLine="46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9、融资说明。（资金需求量、用途、使用计划；</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w w:val="98"/>
          <w:sz w:val="24"/>
          <w:szCs w:val="24"/>
        </w:rPr>
        <w:t>拟出让股份；</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8"/>
          <w:sz w:val="24"/>
          <w:szCs w:val="24"/>
        </w:rPr>
        <w:t>投资者权利；</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w w:val="98"/>
          <w:sz w:val="24"/>
          <w:szCs w:val="24"/>
        </w:rPr>
        <w:t>退</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出方式）</w:t>
      </w:r>
    </w:p>
    <w:p>
      <w:pPr>
        <w:spacing w:before="39"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10、财务预测。（前三年及未来</w:t>
      </w:r>
      <w:r>
        <w:rPr>
          <w:rFonts w:ascii="方正书宋简体" w:hAnsi="方正书宋简体" w:eastAsia="方正书宋简体" w:cs="方正书宋简体"/>
          <w:spacing w:val="44"/>
          <w:w w:val="101"/>
          <w:sz w:val="24"/>
          <w:szCs w:val="24"/>
        </w:rPr>
        <w:t xml:space="preserve"> </w:t>
      </w:r>
      <w:r>
        <w:rPr>
          <w:rFonts w:ascii="方正书宋简体" w:hAnsi="方正书宋简体" w:eastAsia="方正书宋简体" w:cs="方正书宋简体"/>
          <w:spacing w:val="-3"/>
          <w:sz w:val="24"/>
          <w:szCs w:val="24"/>
        </w:rPr>
        <w:t>3</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年或</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5</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年的销售收入、利润、资产回报率等）</w:t>
      </w:r>
    </w:p>
    <w:p>
      <w:pPr>
        <w:spacing w:before="199"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11、风险控制。（项目实施可能出现的风险和拟采取的控制措施）</w:t>
      </w:r>
    </w:p>
    <w:p>
      <w:pPr>
        <w:spacing w:before="183" w:line="323" w:lineRule="auto"/>
        <w:ind w:left="47" w:right="129" w:firstLine="45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12、项目技术情况的证明文件、申请人与合伙人身份证明材料及需要提交的项</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9"/>
          <w:sz w:val="24"/>
          <w:szCs w:val="24"/>
        </w:rPr>
        <w:t>目有关其他材料。</w:t>
      </w:r>
    </w:p>
    <w:p>
      <w:pPr>
        <w:sectPr>
          <w:footerReference r:id="rId265" w:type="default"/>
          <w:pgSz w:w="11905" w:h="16840"/>
          <w:pgMar w:top="1431" w:right="1457" w:bottom="1158" w:left="1590" w:header="0" w:footer="1035" w:gutter="0"/>
          <w:cols w:space="720" w:num="1"/>
        </w:sectPr>
      </w:pPr>
    </w:p>
    <w:p>
      <w:pPr>
        <w:spacing w:before="429" w:line="180" w:lineRule="auto"/>
        <w:ind w:firstLine="1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7"/>
          <w:sz w:val="24"/>
          <w:szCs w:val="24"/>
        </w:rPr>
        <w:t>3</w:t>
      </w:r>
    </w:p>
    <w:p>
      <w:pPr>
        <w:spacing w:before="186" w:line="193" w:lineRule="auto"/>
        <w:ind w:firstLine="5309"/>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w w:val="85"/>
          <w:sz w:val="24"/>
          <w:szCs w:val="24"/>
          <w14:textOutline w14:w="3048" w14:cap="flat" w14:cmpd="sng">
            <w14:solidFill>
              <w14:srgbClr w14:val="000000"/>
            </w14:solidFill>
            <w14:prstDash w14:val="solid"/>
            <w14:miter w14:val="1"/>
          </w14:textOutline>
        </w:rPr>
        <w:t>编号：</w:t>
      </w:r>
      <w:r>
        <w:rPr>
          <w:rFonts w:ascii="方正书宋简体" w:hAnsi="方正书宋简体" w:eastAsia="方正书宋简体" w:cs="方正书宋简体"/>
          <w:sz w:val="24"/>
          <w:szCs w:val="24"/>
          <w:u w:val="single" w:color="auto"/>
        </w:rPr>
        <w:t xml:space="preserve">                     </w:t>
      </w:r>
    </w:p>
    <w:p>
      <w:pPr>
        <w:spacing w:line="273" w:lineRule="auto"/>
        <w:rPr>
          <w:rFonts w:ascii="Malgun Gothic"/>
          <w:sz w:val="21"/>
        </w:rPr>
      </w:pPr>
    </w:p>
    <w:p>
      <w:pPr>
        <w:spacing w:before="138" w:line="195" w:lineRule="auto"/>
        <w:ind w:firstLine="1973"/>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吉首大学大学生创新创业孵化基地</w:t>
      </w:r>
    </w:p>
    <w:p>
      <w:pPr>
        <w:spacing w:before="1" w:line="204" w:lineRule="auto"/>
        <w:ind w:firstLine="2938"/>
        <w:rPr>
          <w:rFonts w:ascii="Microsoft JhengHei" w:hAnsi="Microsoft JhengHei" w:eastAsia="Microsoft JhengHei" w:cs="Microsoft JhengHei"/>
          <w:sz w:val="32"/>
          <w:szCs w:val="32"/>
        </w:rPr>
      </w:pPr>
      <w:r>
        <w:rPr>
          <w:rFonts w:ascii="Microsoft JhengHei" w:hAnsi="Microsoft JhengHei" w:eastAsia="Microsoft JhengHei" w:cs="Microsoft JhengHei"/>
          <w:spacing w:val="-2"/>
          <w:sz w:val="32"/>
          <w:szCs w:val="32"/>
        </w:rPr>
        <w:t>孵化项目入驻协议书</w:t>
      </w:r>
    </w:p>
    <w:p>
      <w:pPr>
        <w:spacing w:line="278" w:lineRule="auto"/>
        <w:rPr>
          <w:rFonts w:ascii="Malgun Gothic"/>
          <w:sz w:val="21"/>
        </w:rPr>
      </w:pPr>
    </w:p>
    <w:p>
      <w:pPr>
        <w:spacing w:before="86" w:line="445" w:lineRule="exact"/>
        <w:ind w:firstLine="3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6"/>
          <w:sz w:val="24"/>
          <w:szCs w:val="24"/>
        </w:rPr>
        <w:t>甲方：吉首大学大学生创新创业孵化基地</w:t>
      </w:r>
    </w:p>
    <w:p>
      <w:pPr>
        <w:spacing w:line="204" w:lineRule="auto"/>
        <w:ind w:firstLine="15"/>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w w:val="85"/>
          <w:sz w:val="24"/>
          <w:szCs w:val="24"/>
        </w:rPr>
        <w:t>乙方：</w:t>
      </w:r>
      <w:r>
        <w:rPr>
          <w:rFonts w:ascii="方正书宋简体" w:hAnsi="方正书宋简体" w:eastAsia="方正书宋简体" w:cs="方正书宋简体"/>
          <w:sz w:val="24"/>
          <w:szCs w:val="24"/>
          <w:u w:val="single" w:color="auto"/>
        </w:rPr>
        <w:t xml:space="preserve">                                                              </w:t>
      </w:r>
    </w:p>
    <w:p>
      <w:pPr>
        <w:spacing w:before="162" w:line="265"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为规范创业项目入驻吉首大学大学生创新创业孵化基地管理，营造良好的创业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孵化氛围，促进创业项目的市场化、产业化，</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4"/>
          <w:sz w:val="24"/>
          <w:szCs w:val="24"/>
        </w:rPr>
        <w:t>甲、乙双方经友好协商，签订如下协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议，双方共同遵守。</w:t>
      </w:r>
    </w:p>
    <w:p>
      <w:pPr>
        <w:spacing w:before="217" w:line="315" w:lineRule="auto"/>
        <w:ind w:left="2" w:righ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一、经甲方组织有关部门及专家审查论证，认定乙方申请项目（或企业）符合</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入驻孵化的条件，准许进驻吉首大学大学生创新创业孵化基地进行培育孵化。</w:t>
      </w:r>
    </w:p>
    <w:p>
      <w:pPr>
        <w:spacing w:line="204"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二、甲方根据有关规定和实际，核定乙方申请入驻项目的孵化期为一年，即自</w:t>
      </w:r>
    </w:p>
    <w:p>
      <w:pPr>
        <w:spacing w:before="162" w:line="180"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年</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日至</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6"/>
          <w:sz w:val="24"/>
          <w:szCs w:val="24"/>
        </w:rPr>
        <w:t>年</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日止。</w:t>
      </w:r>
    </w:p>
    <w:p>
      <w:pPr>
        <w:spacing w:before="192" w:line="315" w:lineRule="auto"/>
        <w:ind w:left="1" w:right="3"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三、孵化期内，甲方将提供相关政策咨询、业务培训、开业指导等服务，乙方</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按规定使用甲方提供的孵化场所，并可享受相关优惠扶持政策。</w:t>
      </w:r>
    </w:p>
    <w:p>
      <w:pPr>
        <w:spacing w:line="315" w:lineRule="auto"/>
        <w:ind w:left="6" w:right="3"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四、项目孵化期间，甲方将按规定对乙方孵化项目情况进行考核评估，乙方须</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3"/>
          <w:sz w:val="24"/>
          <w:szCs w:val="24"/>
        </w:rPr>
        <w:t>配合并自觉接受考核评估。</w:t>
      </w:r>
    </w:p>
    <w:p>
      <w:pPr>
        <w:spacing w:before="1" w:line="315" w:lineRule="auto"/>
        <w:ind w:left="31" w:right="2" w:firstLine="45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五、孵化期满后，</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12"/>
          <w:sz w:val="24"/>
          <w:szCs w:val="24"/>
        </w:rPr>
        <w:t>乙方如确需继续使用孵化场地，</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须提前</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2"/>
          <w:sz w:val="24"/>
          <w:szCs w:val="24"/>
        </w:rPr>
        <w:t>30</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2"/>
          <w:sz w:val="24"/>
          <w:szCs w:val="24"/>
        </w:rPr>
        <w:t>天向甲方提出书面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申请，经审查批准后，可延长孵化期最长一年，期间将全额收取租金。</w:t>
      </w:r>
    </w:p>
    <w:p>
      <w:pPr>
        <w:spacing w:before="2" w:line="239" w:lineRule="auto"/>
        <w:ind w:right="3"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六、乙方在入驻孵化期间所发生的房屋租金、</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物业管理费及水、电、网络与通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讯等费用，必须按甲方及相关部门规定缴付。</w:t>
      </w:r>
    </w:p>
    <w:p>
      <w:pPr>
        <w:spacing w:before="211" w:line="304" w:lineRule="auto"/>
        <w:ind w:left="19" w:right="2" w:firstLine="462"/>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七、甲、乙双方签订本孵化协议的同时，</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须签订相应的《房屋租赁合同》和《消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防安全责任书》，并按协议和合同规定行使和履行相关的权利和义务。</w:t>
      </w:r>
    </w:p>
    <w:p>
      <w:pPr>
        <w:spacing w:before="40"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八、乙方应在项目正式入驻后合法开展各项经营活动。</w:t>
      </w:r>
    </w:p>
    <w:p>
      <w:pPr>
        <w:spacing w:before="190" w:line="315"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九、甲方仅为服务机构，甲方提供的服务与乙方的经营活动没有任何经济关系</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和法律连带责任。在入驻孵化期间，乙方应自觉遵守《吉首大学大学生创新创业孵</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化基地管理办法（试行）》及相关规定，否则，甲方有权终止孵化协议，收回房屋，</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3"/>
          <w:sz w:val="24"/>
          <w:szCs w:val="24"/>
        </w:rPr>
        <w:t>并为乙方办理退出相关手续。</w:t>
      </w:r>
    </w:p>
    <w:p>
      <w:pPr>
        <w:sectPr>
          <w:footerReference r:id="rId266" w:type="default"/>
          <w:pgSz w:w="11905" w:h="16840"/>
          <w:pgMar w:top="1431" w:right="1585" w:bottom="1158" w:left="1589" w:header="0" w:footer="1035" w:gutter="0"/>
          <w:cols w:space="720" w:num="1"/>
        </w:sectPr>
      </w:pPr>
    </w:p>
    <w:p>
      <w:pPr>
        <w:spacing w:before="422" w:line="30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十、本协议在执行过程中如发生争议，由甲、</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4"/>
          <w:sz w:val="24"/>
          <w:szCs w:val="24"/>
        </w:rPr>
        <w:t>乙双方协商解决；如协商不成，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可提请相关部门仲裁。</w:t>
      </w:r>
    </w:p>
    <w:p>
      <w:pPr>
        <w:spacing w:before="41" w:line="451" w:lineRule="exact"/>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7"/>
          <w:sz w:val="24"/>
          <w:szCs w:val="24"/>
        </w:rPr>
        <w:t>十一、本协议在甲、乙双方共同签字及签章后生效。</w:t>
      </w:r>
    </w:p>
    <w:p>
      <w:pPr>
        <w:spacing w:line="204"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十二、本协议一式两份，甲、乙双方各执一份。</w:t>
      </w:r>
    </w:p>
    <w:p>
      <w:pPr>
        <w:spacing w:line="341" w:lineRule="auto"/>
        <w:rPr>
          <w:rFonts w:ascii="Malgun Gothic"/>
          <w:sz w:val="21"/>
        </w:rPr>
      </w:pPr>
    </w:p>
    <w:p>
      <w:pPr>
        <w:spacing w:before="86" w:line="193" w:lineRule="auto"/>
        <w:ind w:firstLine="24"/>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甲方主管领导（签章</w:t>
      </w:r>
      <w:r>
        <w:rPr>
          <w:rFonts w:ascii="方正书宋简体" w:hAnsi="方正书宋简体" w:eastAsia="方正书宋简体" w:cs="方正书宋简体"/>
          <w:spacing w:val="-48"/>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2"/>
          <w:sz w:val="24"/>
          <w:szCs w:val="24"/>
        </w:rPr>
        <w:t>乙方/法定代表人（签章</w:t>
      </w:r>
      <w:r>
        <w:rPr>
          <w:rFonts w:ascii="方正书宋简体" w:hAnsi="方正书宋简体" w:eastAsia="方正书宋简体" w:cs="方正书宋简体"/>
          <w:spacing w:val="-48"/>
          <w:sz w:val="24"/>
          <w:szCs w:val="24"/>
        </w:rPr>
        <w:t>）：</w:t>
      </w:r>
    </w:p>
    <w:p>
      <w:pPr>
        <w:spacing w:line="329" w:lineRule="auto"/>
        <w:rPr>
          <w:rFonts w:ascii="Malgun Gothic"/>
          <w:sz w:val="21"/>
        </w:rPr>
      </w:pPr>
    </w:p>
    <w:p>
      <w:pPr>
        <w:spacing w:line="329" w:lineRule="auto"/>
        <w:rPr>
          <w:rFonts w:ascii="Malgun Gothic"/>
          <w:sz w:val="21"/>
        </w:rPr>
      </w:pPr>
    </w:p>
    <w:p>
      <w:pPr>
        <w:spacing w:before="86" w:line="180" w:lineRule="auto"/>
        <w:ind w:firstLine="1318"/>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年</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5"/>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5"/>
          <w:sz w:val="24"/>
          <w:szCs w:val="24"/>
        </w:rPr>
        <w:t>日</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5"/>
          <w:sz w:val="24"/>
          <w:szCs w:val="24"/>
        </w:rPr>
        <w:t>年</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5"/>
          <w:sz w:val="24"/>
          <w:szCs w:val="24"/>
        </w:rPr>
        <w:t>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日</w:t>
      </w:r>
    </w:p>
    <w:p>
      <w:pPr>
        <w:sectPr>
          <w:footerReference r:id="rId267" w:type="default"/>
          <w:pgSz w:w="11905" w:h="16840"/>
          <w:pgMar w:top="1431" w:right="1631" w:bottom="1158" w:left="1596" w:header="0" w:footer="1035" w:gutter="0"/>
          <w:cols w:space="720" w:num="1"/>
        </w:sectPr>
      </w:pPr>
    </w:p>
    <w:p>
      <w:pPr>
        <w:spacing w:before="349" w:line="180" w:lineRule="auto"/>
        <w:ind w:firstLine="13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吉首大学大学生科技实践创新中心管理办法</w:t>
      </w:r>
    </w:p>
    <w:p>
      <w:pPr>
        <w:spacing w:line="295" w:lineRule="auto"/>
        <w:rPr>
          <w:rFonts w:ascii="Malgun Gothic"/>
          <w:sz w:val="21"/>
        </w:rPr>
      </w:pPr>
    </w:p>
    <w:p>
      <w:pPr>
        <w:spacing w:before="104" w:line="180" w:lineRule="auto"/>
        <w:ind w:firstLine="3534"/>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left="6" w:right="96"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根据学校人才培养目标和社会对高素质、创新性人才的实际需求，为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了培养大学生的创新意识和科学素养，提高大学生科学研究与创新能力，促进我校</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大学学生科技创新实践活动与学科竞赛蓬勃开展，为本校学生提供一个全新的学习</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实践平台，特设立吉首大学科技实践创新中心（简称为创新中心）。</w:t>
      </w:r>
    </w:p>
    <w:p>
      <w:pPr>
        <w:spacing w:before="202" w:line="298" w:lineRule="auto"/>
        <w:ind w:right="96"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大学生科技实践创新活动是学校创新教育的重要组成部分，是推进教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育教学改革的新举措。学校以培养学生专业技能和实践创新能力为目标，以学科竞</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赛、创新项目研究为抓手，以各类创新工作室为平台，以活动开展为重点，建立推</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动学生科技创新实践能力培养的长效机制。</w:t>
      </w:r>
    </w:p>
    <w:p>
      <w:pPr>
        <w:spacing w:before="11" w:line="275" w:lineRule="auto"/>
        <w:ind w:left="1" w:right="8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第三条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6"/>
          <w:sz w:val="24"/>
          <w:szCs w:val="24"/>
        </w:rPr>
        <w:t>学校根据学科专业发展要求，结合学科、专业技能竞赛和科技创新活动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2"/>
          <w:sz w:val="24"/>
          <w:szCs w:val="24"/>
        </w:rPr>
        <w:t>开展的实际，</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2"/>
          <w:sz w:val="24"/>
          <w:szCs w:val="24"/>
        </w:rPr>
        <w:t>按照“主动参与、激励创新、</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2"/>
          <w:sz w:val="24"/>
          <w:szCs w:val="24"/>
        </w:rPr>
        <w:t>资源共享、自主管理、分类指导”要求，</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2"/>
          <w:sz w:val="24"/>
          <w:szCs w:val="24"/>
        </w:rPr>
        <w:t>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7"/>
          <w:sz w:val="24"/>
          <w:szCs w:val="24"/>
        </w:rPr>
        <w:t>步建立各类创新工作室，</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7"/>
          <w:sz w:val="24"/>
          <w:szCs w:val="24"/>
        </w:rPr>
        <w:t>并以工作室为单位，</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7"/>
          <w:sz w:val="24"/>
          <w:szCs w:val="24"/>
        </w:rPr>
        <w:t>创新中心组建学科、专业技能竞赛和科技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sz w:val="24"/>
          <w:szCs w:val="24"/>
        </w:rPr>
        <w:t>创新团队，</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2"/>
          <w:sz w:val="24"/>
          <w:szCs w:val="24"/>
        </w:rPr>
        <w:t>学校在已建有校内实践教学基地或实验室基础上为参与科技实践创新活动的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学生提供技术、场地、政策、管理等支持或孵化服务，配备专门指导老师。</w:t>
      </w:r>
    </w:p>
    <w:p>
      <w:pPr>
        <w:spacing w:before="199" w:line="282" w:lineRule="auto"/>
        <w:ind w:right="96"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
          <w:sz w:val="24"/>
          <w:szCs w:val="24"/>
        </w:rPr>
        <w:t>学校创新中心工作室积极开展各级各类学科、专业技能竞赛与创新实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践活动。定期组织学生、指导教师参加校内外学术活动，为学生学科、专业技能竞</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赛和项目研究提供交流经验、展示成果、共享资源的机会。学生在完成专业人才培</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养方案中的课程学习和实践环节之外，结合所学知识，在教师指导下，利用业余时</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间进行专业技能训练、学科竞赛和科技实践创新活动，自主成为本校各项学科、专</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业技能竞赛和科技实践创新活动的参与者、组织者与管理者。</w:t>
      </w:r>
    </w:p>
    <w:p>
      <w:pPr>
        <w:spacing w:before="205" w:line="180" w:lineRule="auto"/>
        <w:ind w:firstLine="305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管理模式与职责</w:t>
      </w:r>
    </w:p>
    <w:p>
      <w:pPr>
        <w:spacing w:before="139" w:line="27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
          <w:sz w:val="24"/>
          <w:szCs w:val="24"/>
        </w:rPr>
        <w:t>学校成立由学校分管教学副校长任组长，由教务处、科技处、学生工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作处、团委等部门负责人和有关专家为成员的大学生科技实践创新中心管理领导小</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组，创新中心管理领导小组办公室设在教务处，负责创新中心指南发布、管理项目</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资金、受理申请及对资助项目实施管理。创新中心工作遵循“科学民主、实事求是、</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2"/>
          <w:sz w:val="24"/>
          <w:szCs w:val="24"/>
        </w:rPr>
        <w:t>公平竞争、激励创新”的原则，接受师生监督。</w:t>
      </w:r>
    </w:p>
    <w:p>
      <w:pPr>
        <w:spacing w:before="205" w:line="281" w:lineRule="auto"/>
        <w:ind w:right="9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1"/>
          <w:sz w:val="24"/>
          <w:szCs w:val="24"/>
        </w:rPr>
        <w:t xml:space="preserve">    </w:t>
      </w:r>
      <w:r>
        <w:rPr>
          <w:rFonts w:ascii="方正书宋简体" w:hAnsi="方正书宋简体" w:eastAsia="方正书宋简体" w:cs="方正书宋简体"/>
          <w:spacing w:val="1"/>
          <w:sz w:val="24"/>
          <w:szCs w:val="24"/>
        </w:rPr>
        <w:t>创新工作室实行校、院两级管理，工作室主任负责制。各学院协助创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新中心的建设与管理，积极组织学生参加创新工作室活动。</w:t>
      </w:r>
    </w:p>
    <w:p>
      <w:pPr>
        <w:sectPr>
          <w:footerReference r:id="rId268" w:type="default"/>
          <w:pgSz w:w="11905" w:h="16840"/>
          <w:pgMar w:top="1431" w:right="1489" w:bottom="1158" w:left="1589" w:header="0" w:footer="1035" w:gutter="0"/>
          <w:cols w:space="720" w:num="1"/>
        </w:sectPr>
      </w:pPr>
    </w:p>
    <w:p>
      <w:pPr>
        <w:spacing w:before="41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第七条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4"/>
          <w:sz w:val="24"/>
          <w:szCs w:val="24"/>
        </w:rPr>
        <w:t>创新中心设置办公室，主要职责是：</w:t>
      </w:r>
    </w:p>
    <w:p>
      <w:pPr>
        <w:spacing w:before="147"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1、根据创新中心定位与发展规划，制定和落实有关政策与措施；</w:t>
      </w:r>
    </w:p>
    <w:p>
      <w:pPr>
        <w:spacing w:before="177" w:line="253" w:lineRule="auto"/>
        <w:ind w:left="26" w:right="97" w:firstLine="45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2、建立和完善有利于创新中心发展的管理体制和运行机制，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协调有关单位支持</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中心建设与发展；</w:t>
      </w:r>
    </w:p>
    <w:p>
      <w:pPr>
        <w:spacing w:before="174"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3、制定创新中心年度工作计划和经费预算计划；</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4、管理与考核各个工作室日常工作；</w:t>
      </w:r>
    </w:p>
    <w:p>
      <w:pPr>
        <w:spacing w:before="177" w:line="239" w:lineRule="auto"/>
        <w:ind w:left="1" w:right="9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5、动态管理工作室，</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w w:val="98"/>
          <w:sz w:val="24"/>
          <w:szCs w:val="24"/>
        </w:rPr>
        <w:t>不断增加学科、专业竞赛项目，</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8"/>
          <w:sz w:val="24"/>
          <w:szCs w:val="24"/>
        </w:rPr>
        <w:t>拓展科技创新领域，</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扩大</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项目研究成果。</w:t>
      </w:r>
    </w:p>
    <w:p>
      <w:pPr>
        <w:spacing w:before="216" w:line="225" w:lineRule="auto"/>
        <w:ind w:left="488" w:right="2496" w:hanging="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6、举办专题讲座和学术交流活动，建立师生交流平台。</w:t>
      </w:r>
      <w:r>
        <w:rPr>
          <w:rFonts w:ascii="方正书宋简体" w:hAnsi="方正书宋简体" w:eastAsia="方正书宋简体" w:cs="方正书宋简体"/>
          <w:spacing w:val="14"/>
          <w:sz w:val="24"/>
          <w:szCs w:val="24"/>
        </w:rPr>
        <w:t xml:space="preserve"> </w:t>
      </w:r>
      <w:r>
        <w:rPr>
          <w:rFonts w:ascii="Microsoft JhengHei" w:hAnsi="Microsoft JhengHei" w:eastAsia="Microsoft JhengHei" w:cs="Microsoft JhengHei"/>
          <w:spacing w:val="-4"/>
          <w:sz w:val="24"/>
          <w:szCs w:val="24"/>
        </w:rPr>
        <w:t>第八条</w:t>
      </w:r>
      <w:r>
        <w:rPr>
          <w:rFonts w:ascii="Microsoft JhengHei" w:hAnsi="Microsoft JhengHei" w:eastAsia="Microsoft JhengHei" w:cs="Microsoft JhengHei"/>
          <w:w w:val="101"/>
          <w:sz w:val="24"/>
          <w:szCs w:val="24"/>
        </w:rPr>
        <w:t xml:space="preserve">    </w:t>
      </w:r>
      <w:r>
        <w:rPr>
          <w:rFonts w:ascii="方正书宋简体" w:hAnsi="方正书宋简体" w:eastAsia="方正书宋简体" w:cs="方正书宋简体"/>
          <w:spacing w:val="-4"/>
          <w:sz w:val="24"/>
          <w:szCs w:val="24"/>
        </w:rPr>
        <w:t>创新工作室主要职责是：</w:t>
      </w:r>
    </w:p>
    <w:p>
      <w:pPr>
        <w:spacing w:before="189"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1、制定工作室相关规章制度，负责工作室团队人员考核与流动；</w:t>
      </w:r>
    </w:p>
    <w:p>
      <w:pPr>
        <w:spacing w:before="17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2、制定并实施工作室年度工作计划和经费预算计划；</w:t>
      </w:r>
    </w:p>
    <w:p>
      <w:pPr>
        <w:spacing w:before="178" w:line="253" w:lineRule="auto"/>
        <w:ind w:left="1"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3、承担相关学科、专业技能竞赛与科技实践创新活动，</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9"/>
          <w:sz w:val="24"/>
          <w:szCs w:val="24"/>
        </w:rPr>
        <w:t>负责制定竞赛活动方案、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组织竞赛和参赛；</w:t>
      </w:r>
    </w:p>
    <w:p>
      <w:pPr>
        <w:spacing w:before="178" w:line="253" w:lineRule="auto"/>
        <w:ind w:left="2" w:right="97"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4、开放管理工作室，</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承担相关学科、专业技能竞赛与科技创新活动方面的培训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教学任务；</w:t>
      </w:r>
    </w:p>
    <w:p>
      <w:pPr>
        <w:spacing w:before="17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5、协助举办相关科技、学术活动；</w:t>
      </w:r>
    </w:p>
    <w:p>
      <w:pPr>
        <w:spacing w:before="181"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6、完成工作室日常管理工作。</w:t>
      </w:r>
    </w:p>
    <w:p>
      <w:pPr>
        <w:spacing w:before="179" w:line="180" w:lineRule="auto"/>
        <w:ind w:firstLine="233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第三章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2"/>
          <w:sz w:val="24"/>
          <w:szCs w:val="24"/>
        </w:rPr>
        <w:t>创新工作室的建立与人员聘任</w:t>
      </w:r>
    </w:p>
    <w:p>
      <w:pPr>
        <w:spacing w:before="139" w:line="280" w:lineRule="auto"/>
        <w:ind w:left="5" w:right="99"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第九条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3"/>
          <w:sz w:val="24"/>
          <w:szCs w:val="24"/>
        </w:rPr>
        <w:t>创新工作室是指承担我校相关学科、</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3"/>
          <w:sz w:val="24"/>
          <w:szCs w:val="24"/>
        </w:rPr>
        <w:t>专业技能竞赛和科技实践创新活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动的、经学校正式批准建立的学生自主学习的团体组织。</w:t>
      </w:r>
    </w:p>
    <w:p>
      <w:pPr>
        <w:spacing w:before="15" w:line="19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创新工作室的建立必须满足以下基本条件：</w:t>
      </w:r>
    </w:p>
    <w:p>
      <w:pPr>
        <w:spacing w:before="125" w:line="253" w:lineRule="auto"/>
        <w:ind w:left="7" w:right="97"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1、有与专业相关的省级（含省级）</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以上教育行政主管部门主办的学科、专业技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能竞赛活动；</w:t>
      </w:r>
    </w:p>
    <w:p>
      <w:pPr>
        <w:spacing w:before="178" w:line="253" w:lineRule="auto"/>
        <w:ind w:right="9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2、有与专业相关的校级（含校级）</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5"/>
          <w:sz w:val="24"/>
          <w:szCs w:val="24"/>
        </w:rPr>
        <w:t>以上科技创新项目、科技发明、创新实验设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计和专项研究等；</w:t>
      </w:r>
    </w:p>
    <w:p>
      <w:pPr>
        <w:spacing w:before="175" w:line="306" w:lineRule="auto"/>
        <w:ind w:left="480" w:right="1067"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3、有稳定的资深指导老师；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4、有开展实践活动的场地、设备和劳动保护、卫生安全等方面条件；</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3"/>
          <w:sz w:val="24"/>
          <w:szCs w:val="24"/>
        </w:rPr>
        <w:t>5、经学校正式批准建立。</w:t>
      </w:r>
    </w:p>
    <w:p>
      <w:pPr>
        <w:spacing w:before="31" w:line="185"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第十一条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4"/>
          <w:sz w:val="24"/>
          <w:szCs w:val="24"/>
        </w:rPr>
        <w:t>创新工作室建立的程序：</w:t>
      </w:r>
    </w:p>
    <w:p>
      <w:pPr>
        <w:sectPr>
          <w:footerReference r:id="rId269" w:type="default"/>
          <w:pgSz w:w="11905" w:h="16840"/>
          <w:pgMar w:top="1431" w:right="1489" w:bottom="1158" w:left="1590" w:header="0" w:footer="1035" w:gutter="0"/>
          <w:cols w:space="720" w:num="1"/>
        </w:sectPr>
      </w:pPr>
    </w:p>
    <w:p>
      <w:pPr>
        <w:spacing w:before="426" w:line="253" w:lineRule="auto"/>
        <w:ind w:left="135" w:right="129"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1、由本校在籍在读普通全日制本科生或团体队申请，</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7"/>
          <w:sz w:val="24"/>
          <w:szCs w:val="24"/>
        </w:rPr>
        <w:t>并填写《吉首大学科技实</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践创新工作室申请表》；</w:t>
      </w:r>
    </w:p>
    <w:p>
      <w:pPr>
        <w:spacing w:before="174" w:line="450" w:lineRule="exact"/>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position w:val="14"/>
          <w:sz w:val="24"/>
          <w:szCs w:val="24"/>
        </w:rPr>
        <w:t>2、申请人所在学院审核并推荐；</w:t>
      </w:r>
    </w:p>
    <w:p>
      <w:pPr>
        <w:spacing w:line="204" w:lineRule="auto"/>
        <w:ind w:firstLine="620"/>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3、学校组织相关专家进行评定；</w:t>
      </w:r>
    </w:p>
    <w:p>
      <w:pPr>
        <w:spacing w:before="158" w:line="193"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4、学校科技实践创新领导小组审批；</w:t>
      </w:r>
    </w:p>
    <w:p>
      <w:pPr>
        <w:spacing w:before="174" w:line="193"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5、签订相关协议；</w:t>
      </w:r>
    </w:p>
    <w:p>
      <w:pPr>
        <w:spacing w:before="181" w:line="180" w:lineRule="auto"/>
        <w:ind w:firstLine="61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6、创新中心工作室挂牌。</w:t>
      </w:r>
    </w:p>
    <w:p>
      <w:pPr>
        <w:spacing w:before="179"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第十二条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4"/>
          <w:sz w:val="24"/>
          <w:szCs w:val="24"/>
        </w:rPr>
        <w:t>创新工作室人员聘任：</w:t>
      </w:r>
    </w:p>
    <w:p>
      <w:pPr>
        <w:spacing w:before="150" w:line="180" w:lineRule="auto"/>
        <w:ind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1、招聘工作由学校大学生科技实践创新领导小组负责，创新中心工作小组组织实施。</w:t>
      </w:r>
    </w:p>
    <w:p>
      <w:pPr>
        <w:spacing w:before="193" w:line="180"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2、公布创新工作室人员、指导教师招聘岗位、职数和招聘条件。</w:t>
      </w:r>
    </w:p>
    <w:p>
      <w:pPr>
        <w:spacing w:before="196" w:line="252" w:lineRule="auto"/>
        <w:ind w:left="137" w:right="14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3、创新工作室主任是本校在籍在读全日制大学二、三年级本科生，品行端正，</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
          <w:sz w:val="24"/>
          <w:szCs w:val="24"/>
        </w:rPr>
        <w:t>积极向上，熟悉管理，善于沟通，对相关学科专业有浓厚兴趣并有核心竞争力。</w:t>
      </w:r>
    </w:p>
    <w:p>
      <w:pPr>
        <w:spacing w:before="178" w:line="265" w:lineRule="auto"/>
        <w:ind w:left="136" w:right="127"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4、创新工作室指导教师是本校在岗教师，</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0"/>
          <w:sz w:val="24"/>
          <w:szCs w:val="24"/>
        </w:rPr>
        <w:t>具有讲师（含讲师）</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0"/>
          <w:sz w:val="24"/>
          <w:szCs w:val="24"/>
        </w:rPr>
        <w:t>以上职称或已有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两年教龄具有硕士及以上学历的教师。学有专长，治学严谨，有责任心，有足够时</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
          <w:sz w:val="24"/>
          <w:szCs w:val="24"/>
        </w:rPr>
        <w:t>间精力，能对学生的学习、竞赛、实验研究、论文撰写等环节进行具体指导。</w:t>
      </w:r>
    </w:p>
    <w:p>
      <w:pPr>
        <w:spacing w:before="212" w:line="193"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4"/>
          <w:sz w:val="24"/>
          <w:szCs w:val="24"/>
        </w:rPr>
        <w:t>5、具体程序</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1"/>
          <w:w w:val="94"/>
          <w:sz w:val="24"/>
          <w:szCs w:val="24"/>
        </w:rPr>
        <w:t>1）</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11"/>
          <w:w w:val="94"/>
          <w:sz w:val="24"/>
          <w:szCs w:val="24"/>
        </w:rPr>
        <w:t>自愿报名，</w:t>
      </w:r>
      <w:r>
        <w:rPr>
          <w:rFonts w:ascii="方正书宋简体" w:hAnsi="方正书宋简体" w:eastAsia="方正书宋简体" w:cs="方正书宋简体"/>
          <w:spacing w:val="45"/>
          <w:sz w:val="24"/>
          <w:szCs w:val="24"/>
        </w:rPr>
        <w:t xml:space="preserve"> </w:t>
      </w:r>
      <w:r>
        <w:rPr>
          <w:rFonts w:ascii="方正书宋简体" w:hAnsi="方正书宋简体" w:eastAsia="方正书宋简体" w:cs="方正书宋简体"/>
          <w:spacing w:val="-11"/>
          <w:w w:val="94"/>
          <w:sz w:val="24"/>
          <w:szCs w:val="24"/>
        </w:rPr>
        <w:t>并填写相关申请表</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11"/>
          <w:w w:val="94"/>
          <w:sz w:val="24"/>
          <w:szCs w:val="24"/>
        </w:rPr>
        <w:t>2）</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1"/>
          <w:w w:val="94"/>
          <w:sz w:val="24"/>
          <w:szCs w:val="24"/>
        </w:rPr>
        <w:t>学院审核并予以推荐；</w:t>
      </w:r>
    </w:p>
    <w:p>
      <w:pPr>
        <w:spacing w:before="176" w:line="225" w:lineRule="auto"/>
        <w:ind w:left="2706" w:right="1690" w:hanging="270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（3）教务处组织专家评审</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1"/>
          <w:sz w:val="24"/>
          <w:szCs w:val="24"/>
        </w:rPr>
        <w:t>4）学校审批，公示</w:t>
      </w:r>
      <w:r>
        <w:rPr>
          <w:rFonts w:ascii="方正书宋简体" w:hAnsi="方正书宋简体" w:eastAsia="方正书宋简体" w:cs="方正书宋简体"/>
          <w:spacing w:val="2"/>
          <w:sz w:val="24"/>
          <w:szCs w:val="24"/>
        </w:rPr>
        <w:t>；（</w:t>
      </w:r>
      <w:r>
        <w:rPr>
          <w:rFonts w:ascii="方正书宋简体" w:hAnsi="方正书宋简体" w:eastAsia="方正书宋简体" w:cs="方正书宋简体"/>
          <w:spacing w:val="-1"/>
          <w:sz w:val="24"/>
          <w:szCs w:val="24"/>
        </w:rPr>
        <w:t>5）签订协议。</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2"/>
          <w:sz w:val="24"/>
          <w:szCs w:val="24"/>
        </w:rPr>
        <w:t>第四章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2"/>
          <w:sz w:val="24"/>
          <w:szCs w:val="24"/>
        </w:rPr>
        <w:t>创新中心建设与经费管理</w:t>
      </w:r>
    </w:p>
    <w:p>
      <w:pPr>
        <w:spacing w:before="178" w:line="266" w:lineRule="auto"/>
        <w:ind w:left="139" w:right="127"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1"/>
          <w:sz w:val="24"/>
          <w:szCs w:val="24"/>
        </w:rPr>
        <w:t xml:space="preserve">创新中心建设按照“整体规划、合理布局、分类建设、分步实施、 </w:t>
      </w:r>
      <w:r>
        <w:rPr>
          <w:rFonts w:ascii="方正书宋简体" w:hAnsi="方正书宋简体" w:eastAsia="方正书宋简体" w:cs="方正书宋简体"/>
          <w:spacing w:val="2"/>
          <w:sz w:val="24"/>
          <w:szCs w:val="24"/>
        </w:rPr>
        <w:t>资源共享”的原则进行。学校每年划拨专项经费用于创新中心软件、硬件建设和日</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常运行，原则上每个工作室日常运转经费每年资助</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2"/>
          <w:sz w:val="24"/>
          <w:szCs w:val="24"/>
        </w:rPr>
        <w:t>万元，创新中心日常运转经费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每年资助</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万元，其他专项根据当年度工作安排另行预算。</w:t>
      </w:r>
    </w:p>
    <w:p>
      <w:pPr>
        <w:spacing w:before="204" w:line="180"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2"/>
          <w:sz w:val="24"/>
          <w:szCs w:val="24"/>
        </w:rPr>
        <w:t>创新中心主要建设内容</w:t>
      </w:r>
    </w:p>
    <w:p>
      <w:pPr>
        <w:spacing w:before="148" w:line="315" w:lineRule="auto"/>
        <w:ind w:left="136"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1、软件建设主要内容</w:t>
      </w:r>
      <w:r>
        <w:rPr>
          <w:rFonts w:ascii="方正书宋简体" w:hAnsi="方正书宋简体" w:eastAsia="方正书宋简体" w:cs="方正书宋简体"/>
          <w:sz w:val="24"/>
          <w:szCs w:val="24"/>
        </w:rPr>
        <w:t>：</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z w:val="24"/>
          <w:szCs w:val="24"/>
        </w:rPr>
        <w:t>（</w:t>
      </w:r>
      <w:r>
        <w:rPr>
          <w:rFonts w:ascii="方正书宋简体" w:hAnsi="方正书宋简体" w:eastAsia="方正书宋简体" w:cs="方正书宋简体"/>
          <w:spacing w:val="-11"/>
          <w:w w:val="97"/>
          <w:sz w:val="24"/>
          <w:szCs w:val="24"/>
        </w:rPr>
        <w:t>1）</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w w:val="97"/>
          <w:sz w:val="24"/>
          <w:szCs w:val="24"/>
        </w:rPr>
        <w:t>工作室团队、指导教师队伍建设和人员培训</w:t>
      </w:r>
      <w:r>
        <w:rPr>
          <w:rFonts w:ascii="方正书宋简体" w:hAnsi="方正书宋简体" w:eastAsia="方正书宋简体" w:cs="方正书宋简体"/>
          <w:sz w:val="24"/>
          <w:szCs w:val="24"/>
        </w:rPr>
        <w:t>；</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z w:val="24"/>
          <w:szCs w:val="24"/>
        </w:rPr>
        <w:t>（</w:t>
      </w:r>
      <w:r>
        <w:rPr>
          <w:rFonts w:ascii="方正书宋简体" w:hAnsi="方正书宋简体" w:eastAsia="方正书宋简体" w:cs="方正书宋简体"/>
          <w:spacing w:val="-11"/>
          <w:w w:val="97"/>
          <w:sz w:val="24"/>
          <w:szCs w:val="24"/>
        </w:rPr>
        <w:t>2）</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校内外学术交流、教学研讨和科研协作活动</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10"/>
          <w:sz w:val="24"/>
          <w:szCs w:val="24"/>
        </w:rPr>
        <w:t>3）</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0"/>
          <w:sz w:val="24"/>
          <w:szCs w:val="24"/>
        </w:rPr>
        <w:t>学科、专业技能竞赛组织、培训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和比赛</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2"/>
          <w:sz w:val="24"/>
          <w:szCs w:val="24"/>
        </w:rPr>
        <w:t>4）制度建设、档案建设、图书资料等。</w:t>
      </w:r>
    </w:p>
    <w:p>
      <w:pPr>
        <w:spacing w:before="1" w:line="307" w:lineRule="auto"/>
        <w:ind w:left="134" w:right="118"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2、硬件建设主要内容</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1"/>
          <w:w w:val="96"/>
          <w:sz w:val="24"/>
          <w:szCs w:val="24"/>
        </w:rPr>
        <w:t>工作室场地、办公设施</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11"/>
          <w:w w:val="96"/>
          <w:sz w:val="24"/>
          <w:szCs w:val="24"/>
        </w:rPr>
        <w:t>2）</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1"/>
          <w:w w:val="96"/>
          <w:sz w:val="24"/>
          <w:szCs w:val="24"/>
        </w:rPr>
        <w:t>学生开展科技实践</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创新活动必备的仪器设备和消耗材料</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
          <w:sz w:val="24"/>
          <w:szCs w:val="24"/>
        </w:rPr>
        <w:t>创新中心仪器设备维护、更新</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1"/>
          <w:sz w:val="24"/>
          <w:szCs w:val="24"/>
        </w:rPr>
        <w:t>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信息化平台建设等。</w:t>
      </w:r>
    </w:p>
    <w:p>
      <w:pPr>
        <w:spacing w:before="27" w:line="187" w:lineRule="auto"/>
        <w:ind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经费使用范围为</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2"/>
          <w:sz w:val="24"/>
          <w:szCs w:val="24"/>
        </w:rPr>
        <w:t>1）工作室日常运行所需的办公用品费</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2"/>
          <w:sz w:val="24"/>
          <w:szCs w:val="24"/>
        </w:rPr>
        <w:t>2）</w:t>
      </w:r>
    </w:p>
    <w:p>
      <w:pPr>
        <w:sectPr>
          <w:footerReference r:id="rId270" w:type="default"/>
          <w:pgSz w:w="11905" w:h="16840"/>
          <w:pgMar w:top="1431" w:right="1458" w:bottom="1158" w:left="1457" w:header="0" w:footer="1035" w:gutter="0"/>
          <w:cols w:space="720" w:num="1"/>
        </w:sectPr>
      </w:pPr>
    </w:p>
    <w:p>
      <w:pPr>
        <w:spacing w:before="421" w:line="275" w:lineRule="auto"/>
        <w:ind w:left="143" w:right="93"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工作室组织和参加专项竞赛的费用</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
          <w:sz w:val="24"/>
          <w:szCs w:val="24"/>
        </w:rPr>
        <w:t>3）工作室指导教师教学指导费</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
          <w:sz w:val="24"/>
          <w:szCs w:val="24"/>
        </w:rPr>
        <w:t>4）创新</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2"/>
          <w:sz w:val="24"/>
          <w:szCs w:val="24"/>
        </w:rPr>
        <w:t>实践项目建设费</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
          <w:sz w:val="24"/>
          <w:szCs w:val="24"/>
        </w:rPr>
        <w:t>5）与工作室专业相关的图书、教学软件等</w:t>
      </w:r>
      <w:r>
        <w:rPr>
          <w:rFonts w:ascii="方正书宋简体" w:hAnsi="方正书宋简体" w:eastAsia="方正书宋简体" w:cs="方正书宋简体"/>
          <w:spacing w:val="5"/>
          <w:sz w:val="24"/>
          <w:szCs w:val="24"/>
        </w:rPr>
        <w:t>；（</w:t>
      </w:r>
      <w:r>
        <w:rPr>
          <w:rFonts w:ascii="方正书宋简体" w:hAnsi="方正书宋简体" w:eastAsia="方正书宋简体" w:cs="方正书宋简体"/>
          <w:spacing w:val="2"/>
          <w:sz w:val="24"/>
          <w:szCs w:val="24"/>
        </w:rPr>
        <w:t xml:space="preserve">6）工作室科技 </w:t>
      </w:r>
      <w:r>
        <w:rPr>
          <w:rFonts w:ascii="方正书宋简体" w:hAnsi="方正书宋简体" w:eastAsia="方正书宋简体" w:cs="方正书宋简体"/>
          <w:spacing w:val="-2"/>
          <w:sz w:val="24"/>
          <w:szCs w:val="24"/>
        </w:rPr>
        <w:t>创新活动所需的仪器设备和配套的器材。</w:t>
      </w:r>
    </w:p>
    <w:p>
      <w:pPr>
        <w:spacing w:before="167" w:line="275" w:lineRule="auto"/>
        <w:ind w:right="94"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科技实践创新中心专项经费由教务处统一管理，按项目分配到工作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室。各工作室根据科技创新活动的需要，每年年底提出工作室年度工作计划，填写</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5"/>
          <w:sz w:val="24"/>
          <w:szCs w:val="24"/>
        </w:rPr>
        <w:t>《吉首大学科技实践创新中心工作室建设项目申请书》，</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5"/>
          <w:sz w:val="24"/>
          <w:szCs w:val="24"/>
        </w:rPr>
        <w:t>同时将工作室建设计划及相</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关的经费预算和配套项目建设资料交到创新中心办公室，由教务处组织有关专家进</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行评审后，报学校主管领导批准实施。报账按财务管理的有关制度执行。</w:t>
      </w:r>
    </w:p>
    <w:p>
      <w:pPr>
        <w:spacing w:before="204" w:line="290" w:lineRule="auto"/>
        <w:ind w:left="146" w:right="94"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第十七条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1"/>
          <w:sz w:val="24"/>
          <w:szCs w:val="24"/>
        </w:rPr>
        <w:t>工作室要严格按立项内容进行建设，如需要变更内容，须向创新中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心、学院和教务处提交相应的申请报告和论证材料，变更项目的建设资金必须控制</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在专项经费范围内，并由学校主管领导批准后实施。</w:t>
      </w:r>
    </w:p>
    <w:p>
      <w:pPr>
        <w:spacing w:before="20" w:line="192" w:lineRule="auto"/>
        <w:ind w:firstLine="319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第五章</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2"/>
          <w:sz w:val="24"/>
          <w:szCs w:val="24"/>
        </w:rPr>
        <w:t>成果认定与奖励</w:t>
      </w:r>
    </w:p>
    <w:p>
      <w:pPr>
        <w:spacing w:before="118" w:line="250" w:lineRule="auto"/>
        <w:ind w:left="142" w:right="9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鼓励学生参加学科、专业技能竞赛与科技创新活动，成绩优异者由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学生提出申请，经所在学院审核批准后，上报教务处，学校按照《吉首大学本科创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新创业实践学分认定与管理办法》认定相关的实践学分。</w:t>
      </w:r>
    </w:p>
    <w:p>
      <w:pPr>
        <w:spacing w:before="202" w:line="282" w:lineRule="auto"/>
        <w:ind w:left="150" w:right="96"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第十九条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学生发表的学术论文和发明专利注明单位为吉首大学，参照《吉首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大学科技技术奖励办法》予以奖励，学校遵循专利法的相关规定，保障师生权益。</w:t>
      </w:r>
    </w:p>
    <w:p>
      <w:pPr>
        <w:spacing w:before="10" w:line="282" w:lineRule="auto"/>
        <w:ind w:left="144"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第二十条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7"/>
          <w:sz w:val="24"/>
          <w:szCs w:val="24"/>
        </w:rPr>
        <w:t>参加学科、专业技能竞赛与科技创新活动并获奖者，</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7"/>
          <w:sz w:val="24"/>
          <w:szCs w:val="24"/>
        </w:rPr>
        <w:t>在奖学金评定、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各种学生评优评先中按照学校相关规定予以加分。</w:t>
      </w:r>
    </w:p>
    <w:p>
      <w:pPr>
        <w:spacing w:before="10" w:line="281" w:lineRule="auto"/>
        <w:ind w:left="143" w:right="17"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第二十一条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3"/>
          <w:sz w:val="24"/>
          <w:szCs w:val="24"/>
        </w:rPr>
        <w:t>鼓励教师积极参与指导学生学科、专业技能竞赛和科技创新活动，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对工作室聘请的指导教师每学期计算</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70</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2"/>
          <w:sz w:val="24"/>
          <w:szCs w:val="24"/>
        </w:rPr>
        <w:t>个课时的教学工作量。</w:t>
      </w:r>
    </w:p>
    <w:p>
      <w:pPr>
        <w:spacing w:before="15" w:line="290" w:lineRule="auto"/>
        <w:ind w:left="142" w:right="94"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第二十二条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教师指导大学生科技创新项目按</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2"/>
          <w:sz w:val="24"/>
          <w:szCs w:val="24"/>
        </w:rPr>
        <w:t>《吉首大学大学生研究性学和创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新性实验计划项目管理办法》给予计算相应的课时；根据《吉首大学绩效工资改革</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
          <w:sz w:val="24"/>
          <w:szCs w:val="24"/>
        </w:rPr>
        <w:t>实施方案》文件和科技处的相关文件，计算指导教师的科研工作量。</w:t>
      </w:r>
    </w:p>
    <w:p>
      <w:pPr>
        <w:spacing w:before="21" w:line="265" w:lineRule="auto"/>
        <w:ind w:left="145" w:right="94"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教师指导专项学科、专业技能竞赛按《吉首大学本科教学工作量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核算办法》给予计算相应的课时，指导学生学科竞赛获奖的教师按《吉首大学教学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工作奖励办法》予以奖励，并按照《吉首大学绩效工资改革实施方案》作为教师申</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报岗位晋级条件之一。</w:t>
      </w:r>
    </w:p>
    <w:p>
      <w:pPr>
        <w:spacing w:before="207" w:line="180" w:lineRule="auto"/>
        <w:ind w:firstLine="3676"/>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8" w:line="180" w:lineRule="auto"/>
        <w:ind w:firstLine="63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第二十四条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
          <w:sz w:val="24"/>
          <w:szCs w:val="24"/>
        </w:rPr>
        <w:t>本规定自下发之日起执行，由教务处负责解释。</w:t>
      </w:r>
    </w:p>
    <w:p>
      <w:pPr>
        <w:sectPr>
          <w:footerReference r:id="rId271" w:type="default"/>
          <w:pgSz w:w="11905" w:h="16840"/>
          <w:pgMar w:top="1431" w:right="1491" w:bottom="1158" w:left="1447" w:header="0" w:footer="1034" w:gutter="0"/>
          <w:cols w:space="720" w:num="1"/>
        </w:sectPr>
      </w:pPr>
    </w:p>
    <w:p>
      <w:pPr>
        <w:spacing w:before="350" w:line="195" w:lineRule="auto"/>
        <w:ind w:left="3728" w:right="852" w:hanging="2877"/>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吉首大学大学生研究性学习和创新性实验计划项目</w:t>
      </w:r>
      <w:r>
        <w:rPr>
          <w:rFonts w:ascii="Microsoft JhengHei" w:hAnsi="Microsoft JhengHei" w:eastAsia="Microsoft JhengHei" w:cs="Microsoft JhengHei"/>
          <w:spacing w:val="13"/>
          <w:w w:val="101"/>
          <w:sz w:val="32"/>
          <w:szCs w:val="32"/>
        </w:rPr>
        <w:t xml:space="preserve"> </w:t>
      </w:r>
      <w:r>
        <w:rPr>
          <w:rFonts w:ascii="Microsoft JhengHei" w:hAnsi="Microsoft JhengHei" w:eastAsia="Microsoft JhengHei" w:cs="Microsoft JhengHei"/>
          <w:spacing w:val="-2"/>
          <w:sz w:val="32"/>
          <w:szCs w:val="32"/>
        </w:rPr>
        <w:t>管理办法</w:t>
      </w:r>
    </w:p>
    <w:p>
      <w:pPr>
        <w:spacing w:line="291" w:lineRule="auto"/>
        <w:rPr>
          <w:rFonts w:ascii="Malgun Gothic"/>
          <w:sz w:val="21"/>
        </w:rPr>
      </w:pPr>
    </w:p>
    <w:p>
      <w:pPr>
        <w:spacing w:before="86" w:line="265" w:lineRule="auto"/>
        <w:ind w:left="3" w:right="8"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为贯彻落实《吉首大学本科教学质量与教学改革工程实施方案》，全面推进我</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校大学生研究性学习和创新性实验计划项目，</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构建创新人才培养体系、深入开展教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育教学改革、加强大学生自主创新兴趣和能力培养，特制定本管理办法。</w:t>
      </w:r>
    </w:p>
    <w:p>
      <w:pPr>
        <w:spacing w:before="2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65" w:lineRule="auto"/>
        <w:ind w:left="1" w:right="8"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我校大学生研究性学习和创新性实验计划项目的实施，旨在探索并建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立以问题和课题为核心的教学模式，倡导以学生为主体的研究性学习和创新性实验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改革，调动学生的主动性、积极性和创造性，</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激发学生的创新思维和创新意识，逐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渐掌握思考问题、解决问题的方法、提高学生的创新能力和实践能力。</w:t>
      </w:r>
    </w:p>
    <w:p>
      <w:pPr>
        <w:spacing w:before="207" w:line="250"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通过实施大学生研究性学习和创新性实验计划项目，带动广大学生在大</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7"/>
          <w:sz w:val="24"/>
          <w:szCs w:val="24"/>
        </w:rPr>
        <w:t>学阶段得到科学研究与发明创造的训练，</w:t>
      </w:r>
      <w:r>
        <w:rPr>
          <w:rFonts w:ascii="方正书宋简体" w:hAnsi="方正书宋简体" w:eastAsia="方正书宋简体" w:cs="方正书宋简体"/>
          <w:spacing w:val="88"/>
          <w:sz w:val="24"/>
          <w:szCs w:val="24"/>
        </w:rPr>
        <w:t xml:space="preserve"> </w:t>
      </w:r>
      <w:r>
        <w:rPr>
          <w:rFonts w:ascii="方正书宋简体" w:hAnsi="方正书宋简体" w:eastAsia="方正书宋简体" w:cs="方正书宋简体"/>
          <w:spacing w:val="-17"/>
          <w:sz w:val="24"/>
          <w:szCs w:val="24"/>
        </w:rPr>
        <w:t>推广研究性学习和个性化培养的教学方式，</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7"/>
          <w:sz w:val="24"/>
          <w:szCs w:val="24"/>
        </w:rPr>
        <w:t>形</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成创新教育的氛围，建设创新文化，进一步推动我校教学改革，提高教学质量。</w:t>
      </w:r>
    </w:p>
    <w:p>
      <w:pPr>
        <w:spacing w:before="203" w:line="299" w:lineRule="auto"/>
        <w:ind w:right="8"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我校大学生研究性学习和创新性实验计划项目实施的原则是“鼓励创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新、培养能力、重点突出、注重实效”。参与本计划的学生要对科学研究或创造发明</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有浓厚兴趣。在兴趣驱动和导师指导下完成实验过程；要自主设计实验、自主完成</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实验、自主管理实验；要注重创新性实验项目的实施过程，强调项目实施过程中大</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学生在创新思维、创新实践方面的收获和取得的创新成果。</w:t>
      </w:r>
    </w:p>
    <w:p>
      <w:pPr>
        <w:spacing w:before="27" w:line="187" w:lineRule="auto"/>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组织机构</w:t>
      </w:r>
    </w:p>
    <w:p>
      <w:pPr>
        <w:spacing w:before="127" w:line="282" w:lineRule="auto"/>
        <w:ind w:left="4" w:right="11"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我校大学生研究性学习和创新性实验计划项目的管理实行校、院两级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管理机制，成立校、院两级“大学生研究性学习和创新性实验计划”组织机构。</w:t>
      </w:r>
    </w:p>
    <w:p>
      <w:pPr>
        <w:spacing w:before="21" w:line="314" w:lineRule="auto"/>
        <w:ind w:left="1" w:right="8"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学校成立“吉首大学大学生研究性学习和创新性实验计划”领导小组，组长由</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9"/>
          <w:sz w:val="24"/>
          <w:szCs w:val="24"/>
        </w:rPr>
        <w:t>主管教学副校长担任，</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9"/>
          <w:sz w:val="24"/>
          <w:szCs w:val="24"/>
        </w:rPr>
        <w:t>成员由财务、资产（设备）、科研、学工、团委、教务及教育</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技术等职能部门负责人组成，负责研究制定相关政策、协调资源利用、落实经费和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提供支撑条件等重大问题；由教务处组织落实</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“大学生研究性学习和创新性实验计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划”项目的实施，组织申报立项、检查和结题等工作。</w:t>
      </w:r>
    </w:p>
    <w:p>
      <w:pPr>
        <w:spacing w:before="13" w:line="315" w:lineRule="auto"/>
        <w:ind w:left="2" w:right="1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学院成立本单位“大学生研究性学习和创新性实验计划”项目指导小组，由主</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管教学的副院长任组长，负责研究性学习和创新性实验计划项目的日常管理工作，</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全面组织和落实本院的大学生研究性学习和创新性实验计划项目。</w:t>
      </w:r>
    </w:p>
    <w:p>
      <w:pPr>
        <w:sectPr>
          <w:footerReference r:id="rId272" w:type="default"/>
          <w:pgSz w:w="11905" w:h="16840"/>
          <w:pgMar w:top="1431" w:right="1577" w:bottom="1158" w:left="1590" w:header="0" w:footer="1035" w:gutter="0"/>
          <w:cols w:space="720" w:num="1"/>
        </w:sectPr>
      </w:pPr>
    </w:p>
    <w:p>
      <w:pPr>
        <w:spacing w:before="414" w:line="180" w:lineRule="auto"/>
        <w:ind w:firstLine="3414"/>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第三章</w:t>
      </w:r>
      <w:r>
        <w:rPr>
          <w:rFonts w:ascii="Microsoft JhengHei" w:hAnsi="Microsoft JhengHei" w:eastAsia="Microsoft JhengHei" w:cs="Microsoft JhengHei"/>
          <w:spacing w:val="9"/>
          <w:w w:val="101"/>
          <w:sz w:val="24"/>
          <w:szCs w:val="24"/>
        </w:rPr>
        <w:t xml:space="preserve">    </w:t>
      </w:r>
      <w:r>
        <w:rPr>
          <w:rFonts w:ascii="Microsoft JhengHei" w:hAnsi="Microsoft JhengHei" w:eastAsia="Microsoft JhengHei" w:cs="Microsoft JhengHei"/>
          <w:spacing w:val="-6"/>
          <w:sz w:val="24"/>
          <w:szCs w:val="24"/>
        </w:rPr>
        <w:t>申报立项</w:t>
      </w:r>
    </w:p>
    <w:p>
      <w:pPr>
        <w:spacing w:before="139" w:line="294" w:lineRule="auto"/>
        <w:ind w:left="5" w:right="96"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立项原则：坚持可行性原则、创新性原则和实用性原则，注重培养学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生的实践能力、创新精神，注重理论联系实际和研究课题实效，充分利用各类实验</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4"/>
          <w:sz w:val="24"/>
          <w:szCs w:val="24"/>
        </w:rPr>
        <w:t>室设施开展课题研究。</w:t>
      </w:r>
    </w:p>
    <w:p>
      <w:pPr>
        <w:spacing w:line="281" w:lineRule="auto"/>
        <w:ind w:left="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第六条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7"/>
          <w:sz w:val="24"/>
          <w:szCs w:val="24"/>
        </w:rPr>
        <w:t>项目选题要求：</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7"/>
          <w:sz w:val="24"/>
          <w:szCs w:val="24"/>
        </w:rPr>
        <w:t>思想新颖、目标明确、立论根据充足、研究方案合理、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技术可行、实施条件具备的创新性和探索性项目。</w:t>
      </w:r>
    </w:p>
    <w:p>
      <w:pPr>
        <w:spacing w:before="15" w:line="258" w:lineRule="auto"/>
        <w:ind w:right="99"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项目范围主要包括：发明、创作、设计等项目；应用性、创新性研究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项目；教师科研课题中的子项目；未参加国家、省级有关竞赛的前期研究项目；社</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会调研项目；其他有价值的研究与实践项目。</w:t>
      </w:r>
    </w:p>
    <w:p>
      <w:pPr>
        <w:spacing w:before="167"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第八条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项目申请者条件</w:t>
      </w:r>
    </w:p>
    <w:p>
      <w:pPr>
        <w:spacing w:before="150"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（一）项目申请者应为：</w:t>
      </w:r>
    </w:p>
    <w:p>
      <w:pPr>
        <w:spacing w:before="190" w:line="254" w:lineRule="auto"/>
        <w:ind w:left="4" w:right="99"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①对科学研究或创造发明有浓厚兴趣并学有余力且主修专业课程无不及格的我</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4"/>
          <w:sz w:val="24"/>
          <w:szCs w:val="24"/>
        </w:rPr>
        <w:t>校全日制</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4"/>
          <w:sz w:val="24"/>
          <w:szCs w:val="24"/>
        </w:rPr>
        <w:t>1-3</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年级本科生，毕业生不参与项目申报；</w:t>
      </w:r>
    </w:p>
    <w:p>
      <w:pPr>
        <w:spacing w:before="175" w:line="254" w:lineRule="auto"/>
        <w:ind w:left="2" w:right="9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②申请者原则上以团队为主，个人也可单独申请，团队人数不超过</w:t>
      </w:r>
      <w:r>
        <w:rPr>
          <w:rFonts w:ascii="方正书宋简体" w:hAnsi="方正书宋简体" w:eastAsia="方正书宋简体" w:cs="方正书宋简体"/>
          <w:spacing w:val="71"/>
          <w:w w:val="101"/>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
          <w:sz w:val="24"/>
          <w:szCs w:val="24"/>
        </w:rPr>
        <w:t>人，小组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成员必须有相对独立的研究内容，成员有明确分工；</w:t>
      </w:r>
    </w:p>
    <w:p>
      <w:pPr>
        <w:spacing w:before="175" w:line="254" w:lineRule="auto"/>
        <w:ind w:left="2" w:right="9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③申请者一次只能参加一个项目的申报。鼓励跨学科合作研究，同等条件下优</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先资助团队合作项目和跨学科合作项目；</w:t>
      </w:r>
    </w:p>
    <w:p>
      <w:pPr>
        <w:spacing w:before="177" w:line="274" w:lineRule="auto"/>
        <w:ind w:left="1"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④申请者必须自行联系导师，在导师的指导下，自主进行研究性学习，自主进</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行实验方法的设计、组织设备和材料、实施实验、分析处理数据、撰写实验报告等</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0"/>
          <w:sz w:val="24"/>
          <w:szCs w:val="24"/>
        </w:rPr>
        <w:t>工作；</w:t>
      </w:r>
    </w:p>
    <w:p>
      <w:pPr>
        <w:spacing w:before="176"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⑤申报省级项目，项目组成员中必须有</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3"/>
          <w:sz w:val="24"/>
          <w:szCs w:val="24"/>
        </w:rPr>
        <w:t>1-2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年级学生。</w:t>
      </w:r>
    </w:p>
    <w:p>
      <w:pPr>
        <w:spacing w:before="198"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（二）项目指导老师资格：</w:t>
      </w:r>
    </w:p>
    <w:p>
      <w:pPr>
        <w:spacing w:before="190" w:line="239" w:lineRule="auto"/>
        <w:ind w:left="48" w:right="113" w:firstLine="43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应具有讲师以上职称，并具备良好的科研经验。同一指导教师指导的未结题项</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7"/>
          <w:sz w:val="24"/>
          <w:szCs w:val="24"/>
        </w:rPr>
        <w:t>目数累计不能超过</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7"/>
          <w:sz w:val="24"/>
          <w:szCs w:val="24"/>
        </w:rPr>
        <w:t>2</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7"/>
          <w:sz w:val="24"/>
          <w:szCs w:val="24"/>
        </w:rPr>
        <w:t>项。</w:t>
      </w:r>
    </w:p>
    <w:p>
      <w:pPr>
        <w:spacing w:before="213" w:line="275" w:lineRule="auto"/>
        <w:ind w:left="2" w:right="10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（三）申报项目有以下情况之一的，将不予立项：①与专业学习联系不紧密的；</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
          <w:sz w:val="24"/>
          <w:szCs w:val="24"/>
        </w:rPr>
        <w:t>②项目为教师科研、教学研究项目不宜由学生完成的；③申报材料不符合要求的；</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
          <w:sz w:val="24"/>
          <w:szCs w:val="24"/>
        </w:rPr>
        <w:t>④已承担过项目重复申报的；⑤项目参与人为研究生的。</w:t>
      </w:r>
    </w:p>
    <w:p>
      <w:pPr>
        <w:spacing w:before="167" w:line="180" w:lineRule="auto"/>
        <w:ind w:firstLine="490"/>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第九条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5"/>
          <w:sz w:val="24"/>
          <w:szCs w:val="24"/>
        </w:rPr>
        <w:t>申报立项步骤</w:t>
      </w:r>
    </w:p>
    <w:p>
      <w:pPr>
        <w:spacing w:before="151" w:line="315" w:lineRule="auto"/>
        <w:ind w:right="9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70"/>
          <w:w w:val="101"/>
          <w:sz w:val="24"/>
          <w:szCs w:val="24"/>
        </w:rPr>
        <w:t xml:space="preserve"> </w:t>
      </w:r>
      <w:r>
        <w:rPr>
          <w:rFonts w:ascii="方正书宋简体" w:hAnsi="方正书宋简体" w:eastAsia="方正书宋简体" w:cs="方正书宋简体"/>
          <w:spacing w:val="-9"/>
          <w:sz w:val="24"/>
          <w:szCs w:val="24"/>
        </w:rPr>
        <w:t>学生申请：</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9"/>
          <w:sz w:val="24"/>
          <w:szCs w:val="24"/>
        </w:rPr>
        <w:t>学院组织学生填写《吉首大学大学生研究性学习与创新性实验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计划项目申请书》，</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3"/>
          <w:sz w:val="24"/>
          <w:szCs w:val="24"/>
        </w:rPr>
        <w:t>并经项目组成员、导师、学院计划负责人签字确认，</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3"/>
          <w:sz w:val="24"/>
          <w:szCs w:val="24"/>
        </w:rPr>
        <w:t>提交到项目</w:t>
      </w:r>
    </w:p>
    <w:p>
      <w:pPr>
        <w:sectPr>
          <w:footerReference r:id="rId273" w:type="default"/>
          <w:pgSz w:w="11905" w:h="16840"/>
          <w:pgMar w:top="1431" w:right="1489" w:bottom="1158" w:left="1589" w:header="0" w:footer="1034" w:gutter="0"/>
          <w:cols w:space="720" w:num="1"/>
        </w:sectPr>
      </w:pPr>
    </w:p>
    <w:p>
      <w:pPr>
        <w:spacing w:before="428" w:line="180" w:lineRule="auto"/>
        <w:ind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负责人所在学院进行审核。</w:t>
      </w:r>
    </w:p>
    <w:p>
      <w:pPr>
        <w:spacing w:before="193" w:line="315" w:lineRule="auto"/>
        <w:ind w:right="89"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13"/>
          <w:sz w:val="24"/>
          <w:szCs w:val="24"/>
        </w:rPr>
        <w:t>学院审核：</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各学院对申请项目按规定要求进行初步评审筛选，</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对拟推荐的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项目提出具体的推荐意见，加盖公章，学院计划负责人组织填写《吉首大学大学生</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研究性学习和创新性实验计划申报书》和《吉首大学大学生研究性学习与创新性实</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1"/>
          <w:sz w:val="24"/>
          <w:szCs w:val="24"/>
        </w:rPr>
        <w:t>验计划项目汇总表》。</w:t>
      </w:r>
    </w:p>
    <w:p>
      <w:pPr>
        <w:spacing w:before="2" w:line="239" w:lineRule="auto"/>
        <w:ind w:left="1" w:right="8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3"/>
          <w:sz w:val="24"/>
          <w:szCs w:val="24"/>
        </w:rPr>
        <w:t>学校评审：</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教务处组织专家组对学院报送的项目进行评审，</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报学校批准立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项，并将立项结果予以公示。并择优推荐申报省级同类项目。</w:t>
      </w:r>
    </w:p>
    <w:p>
      <w:pPr>
        <w:spacing w:before="205" w:line="281" w:lineRule="auto"/>
        <w:ind w:left="3"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第十条</w:t>
      </w:r>
      <w:r>
        <w:rPr>
          <w:rFonts w:ascii="Microsoft JhengHei" w:hAnsi="Microsoft JhengHei" w:eastAsia="Microsoft JhengHei" w:cs="Microsoft JhengHei"/>
          <w:spacing w:val="12"/>
          <w:sz w:val="24"/>
          <w:szCs w:val="24"/>
        </w:rPr>
        <w:t xml:space="preserve">    </w:t>
      </w:r>
      <w:r>
        <w:rPr>
          <w:rFonts w:ascii="方正书宋简体" w:hAnsi="方正书宋简体" w:eastAsia="方正书宋简体" w:cs="方正书宋简体"/>
          <w:spacing w:val="-8"/>
          <w:sz w:val="24"/>
          <w:szCs w:val="24"/>
        </w:rPr>
        <w:t>申报立项时间。申报立项一般于每年上半年进行，</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具体时间另行通知。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学生申报项目执行时间原则上为</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3"/>
          <w:sz w:val="24"/>
          <w:szCs w:val="24"/>
        </w:rPr>
        <w:t>1-2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年。</w:t>
      </w:r>
    </w:p>
    <w:p>
      <w:pPr>
        <w:spacing w:before="11"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评审标准</w:t>
      </w:r>
    </w:p>
    <w:p>
      <w:pPr>
        <w:spacing w:before="122" w:line="315" w:lineRule="auto"/>
        <w:ind w:left="3" w:right="13"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评审专家组依照立项原则与范围，</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7"/>
          <w:sz w:val="24"/>
          <w:szCs w:val="24"/>
        </w:rPr>
        <w:t>主要从如下几个方面对项目进行审查和评价，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确定能否立项和资助：</w:t>
      </w:r>
    </w:p>
    <w:p>
      <w:pPr>
        <w:spacing w:before="3" w:line="252" w:lineRule="auto"/>
        <w:ind w:left="47" w:right="89" w:firstLine="2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3"/>
          <w:sz w:val="24"/>
          <w:szCs w:val="24"/>
        </w:rPr>
        <w:t>项目以调查研究和实验为主要手段，</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在指导教师辅导下，</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学生个人或团队</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自主选题，自主设计方案，自主完成调查或实验过程，取得研究或实验成果；</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（二）选题的目的、意义和设计思路是否明确；</w:t>
      </w:r>
    </w:p>
    <w:p>
      <w:pPr>
        <w:spacing w:before="17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（三）研究内容是否具有创新之处和特色以及预期目标实现的现实可能性；</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（四）是否已有相同和类似项目并完成；</w:t>
      </w:r>
    </w:p>
    <w:p>
      <w:pPr>
        <w:spacing w:before="179" w:line="224" w:lineRule="auto"/>
        <w:ind w:left="3652" w:right="2489" w:hanging="330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（五）设备、人员及经费等条件是否保证项目完成需要。</w:t>
      </w:r>
      <w:r>
        <w:rPr>
          <w:rFonts w:ascii="方正书宋简体" w:hAnsi="方正书宋简体" w:eastAsia="方正书宋简体" w:cs="方正书宋简体"/>
          <w:spacing w:val="7"/>
          <w:sz w:val="24"/>
          <w:szCs w:val="24"/>
        </w:rPr>
        <w:t xml:space="preserve"> </w:t>
      </w: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项目管理</w:t>
      </w:r>
    </w:p>
    <w:p>
      <w:pPr>
        <w:spacing w:before="182" w:line="303"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阶段性检查与交流。学校、学院要采取多种形式对项目进展情况进</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行阶段性检查，必要时进行不定期抽查。检查的主要内容有：项目计划执行情况、</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项目研究进展情况和取得的阶段性成果，经费开支情况，存在的问题等。对确因主</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sz w:val="24"/>
          <w:szCs w:val="24"/>
        </w:rPr>
        <w:t>观原因造成的项目进展不力的，</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责令限期改进，</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1"/>
          <w:sz w:val="24"/>
          <w:szCs w:val="24"/>
        </w:rPr>
        <w:t>必要时暂停使用经费直至终止项目。</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学院的阶段性检查要形成书面报告上报学校。</w:t>
      </w:r>
    </w:p>
    <w:p>
      <w:pPr>
        <w:spacing w:before="8" w:line="310" w:lineRule="auto"/>
        <w:ind w:right="9"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学校、学院定期组织参加项目的学生开展学术交流，并积极指导学生参加学术</w:t>
      </w:r>
      <w:r>
        <w:rPr>
          <w:rFonts w:ascii="方正书宋简体" w:hAnsi="方正书宋简体" w:eastAsia="方正书宋简体" w:cs="方正书宋简体"/>
          <w:spacing w:val="6"/>
          <w:w w:val="102"/>
          <w:sz w:val="24"/>
          <w:szCs w:val="24"/>
        </w:rPr>
        <w:t xml:space="preserve">  </w:t>
      </w:r>
      <w:r>
        <w:rPr>
          <w:rFonts w:ascii="方正书宋简体" w:hAnsi="方正书宋简体" w:eastAsia="方正书宋简体" w:cs="方正书宋简体"/>
          <w:spacing w:val="-7"/>
          <w:sz w:val="24"/>
          <w:szCs w:val="24"/>
        </w:rPr>
        <w:t>团体组织的学术会议，</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7"/>
          <w:sz w:val="24"/>
          <w:szCs w:val="24"/>
        </w:rPr>
        <w:t>为学生创新研究提供交流经验、展示成果、共享资源的机会；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定期组织项目指导教师开展经验交流。</w:t>
      </w:r>
    </w:p>
    <w:p>
      <w:pPr>
        <w:spacing w:before="10" w:line="197"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第十三条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2"/>
          <w:sz w:val="24"/>
          <w:szCs w:val="24"/>
        </w:rPr>
        <w:t>项目变更</w:t>
      </w:r>
    </w:p>
    <w:p>
      <w:pPr>
        <w:spacing w:before="122" w:line="316" w:lineRule="auto"/>
        <w:ind w:left="3" w:right="89"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9"/>
          <w:sz w:val="24"/>
          <w:szCs w:val="24"/>
        </w:rPr>
        <w:t>项目负责人变更。项目负责人因故确实不能或不宜继续主持项目的，</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由所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在学院指导小组提出变更意见，经教务处审核同意后方可更换。</w:t>
      </w:r>
    </w:p>
    <w:p>
      <w:pPr>
        <w:sectPr>
          <w:footerReference r:id="rId274" w:type="default"/>
          <w:pgSz w:w="11905" w:h="16840"/>
          <w:pgMar w:top="1431" w:right="1495" w:bottom="1158" w:left="1590" w:header="0" w:footer="1034" w:gutter="0"/>
          <w:cols w:space="720" w:num="1"/>
        </w:sectPr>
      </w:pPr>
    </w:p>
    <w:p>
      <w:pPr>
        <w:spacing w:before="413" w:line="31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80"/>
          <w:w w:val="101"/>
          <w:sz w:val="24"/>
          <w:szCs w:val="24"/>
        </w:rPr>
        <w:t xml:space="preserve"> </w:t>
      </w:r>
      <w:r>
        <w:rPr>
          <w:rFonts w:ascii="方正书宋简体" w:hAnsi="方正书宋简体" w:eastAsia="方正书宋简体" w:cs="方正书宋简体"/>
          <w:spacing w:val="-9"/>
          <w:sz w:val="24"/>
          <w:szCs w:val="24"/>
        </w:rPr>
        <w:t>指导教师变更。指导教师因故短期不能履行指导任务的，</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应安排临时替代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2"/>
          <w:sz w:val="24"/>
          <w:szCs w:val="24"/>
        </w:rPr>
        <w:t>人员完成指导工作；</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2"/>
          <w:sz w:val="24"/>
          <w:szCs w:val="24"/>
        </w:rPr>
        <w:t>指导教师因故长期不能履行指导任务的，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2"/>
          <w:sz w:val="24"/>
          <w:szCs w:val="24"/>
        </w:rPr>
        <w:t>由学院提出变更意见，</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3"/>
          <w:sz w:val="24"/>
          <w:szCs w:val="24"/>
        </w:rPr>
        <w:t>经教务处审核同意后方可更换。</w:t>
      </w:r>
    </w:p>
    <w:p>
      <w:pPr>
        <w:spacing w:before="25" w:line="264" w:lineRule="auto"/>
        <w:ind w:left="1"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9"/>
          <w:sz w:val="24"/>
          <w:szCs w:val="24"/>
        </w:rPr>
        <w:t>项目组成员变更。项目组学生确因个人原因不能继续进行项目研究的，</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9"/>
          <w:sz w:val="24"/>
          <w:szCs w:val="24"/>
        </w:rPr>
        <w:t>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项目负责人与指导教师根据项目进展情况决定是否重新增加成员，并将结果报教务</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7"/>
          <w:sz w:val="24"/>
          <w:szCs w:val="24"/>
        </w:rPr>
        <w:t>处备案。</w:t>
      </w:r>
    </w:p>
    <w:p>
      <w:pPr>
        <w:spacing w:before="214" w:line="304" w:lineRule="auto"/>
        <w:ind w:left="47" w:right="67" w:firstLine="2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（四）</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3"/>
          <w:sz w:val="24"/>
          <w:szCs w:val="24"/>
        </w:rPr>
        <w:t>项目内容变更。项目内容原则上不予变更，</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3"/>
          <w:sz w:val="24"/>
          <w:szCs w:val="24"/>
        </w:rPr>
        <w:t>但对个别按原计划实施困难的项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0"/>
          <w:sz w:val="24"/>
          <w:szCs w:val="24"/>
        </w:rPr>
        <w:t>目，经指导教师认可、学院审批并报教务处审核同意后，可对研究内容作适当调整。</w:t>
      </w:r>
    </w:p>
    <w:p>
      <w:pPr>
        <w:spacing w:before="36" w:line="315" w:lineRule="auto"/>
        <w:ind w:right="75"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（五）</w:t>
      </w:r>
      <w:r>
        <w:rPr>
          <w:rFonts w:ascii="方正书宋简体" w:hAnsi="方正书宋简体" w:eastAsia="方正书宋简体" w:cs="方正书宋简体"/>
          <w:spacing w:val="78"/>
          <w:sz w:val="24"/>
          <w:szCs w:val="24"/>
        </w:rPr>
        <w:t xml:space="preserve"> </w:t>
      </w:r>
      <w:r>
        <w:rPr>
          <w:rFonts w:ascii="方正书宋简体" w:hAnsi="方正书宋简体" w:eastAsia="方正书宋简体" w:cs="方正书宋简体"/>
          <w:spacing w:val="-9"/>
          <w:sz w:val="24"/>
          <w:szCs w:val="24"/>
        </w:rPr>
        <w:t>项目结题时间变更。批准立项后的项目应按期完成，</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9"/>
          <w:sz w:val="24"/>
          <w:szCs w:val="24"/>
        </w:rPr>
        <w:t>确因特殊原因需要提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前或延期结题的，应由项目负责人提出书面报告，经学院审核后，报教务处批准。</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所有申报的项目必须在学生毕业离校前完成。</w:t>
      </w:r>
    </w:p>
    <w:p>
      <w:pPr>
        <w:spacing w:before="2" w:line="239" w:lineRule="auto"/>
        <w:ind w:left="30" w:firstLine="316"/>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（六）项目的撤销。批准立项后的项目应按期完成，</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确因特殊原因无法继续进行，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由项目负责人提出书面报告，指导教师认可，经学院审核后，报教务处批准。</w:t>
      </w:r>
    </w:p>
    <w:p>
      <w:pPr>
        <w:spacing w:before="204"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第十四条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经费管理与使用</w:t>
      </w:r>
    </w:p>
    <w:p>
      <w:pPr>
        <w:spacing w:before="153" w:line="314" w:lineRule="auto"/>
        <w:ind w:left="1" w:right="7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（一）</w:t>
      </w:r>
      <w:r>
        <w:rPr>
          <w:rFonts w:ascii="方正书宋简体" w:hAnsi="方正书宋简体" w:eastAsia="方正书宋简体" w:cs="方正书宋简体"/>
          <w:spacing w:val="62"/>
          <w:sz w:val="24"/>
          <w:szCs w:val="24"/>
        </w:rPr>
        <w:t xml:space="preserve"> </w:t>
      </w:r>
      <w:r>
        <w:rPr>
          <w:rFonts w:ascii="方正书宋简体" w:hAnsi="方正书宋简体" w:eastAsia="方正书宋简体" w:cs="方正书宋简体"/>
          <w:spacing w:val="-4"/>
          <w:sz w:val="24"/>
          <w:szCs w:val="24"/>
        </w:rPr>
        <w:t>学校对批准的“大学生研究性学习和创新性实验计划”项目给予一定的经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费支持，校级文科项目资助</w:t>
      </w:r>
      <w:r>
        <w:rPr>
          <w:rFonts w:ascii="方正书宋简体" w:hAnsi="方正书宋简体" w:eastAsia="方正书宋简体" w:cs="方正书宋简体"/>
          <w:spacing w:val="63"/>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千元，校级理科项目资助</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千元，省级项目按照省教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育厅文件规定进行经费配套。项目经费由学校财务部门和教务处统一预算划拨，学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院负责具体使用管理，专款专用，教师不得使用学生研究经费，项目经费主要用于</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项目的资料费、调研费、实验费、会议费，以及购买实验耗材等开支。学生经费支</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出单据要经项目指导教师和学院主管领导签字并报教务处审核后方可报销。</w:t>
      </w:r>
    </w:p>
    <w:p>
      <w:pPr>
        <w:spacing w:before="10" w:line="315" w:lineRule="auto"/>
        <w:ind w:left="21" w:right="77" w:firstLine="32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（二）</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8"/>
          <w:sz w:val="24"/>
          <w:szCs w:val="24"/>
        </w:rPr>
        <w:t>项目经费可用于学生发表论文或其他与项目相关的成果，</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8"/>
          <w:sz w:val="24"/>
          <w:szCs w:val="24"/>
        </w:rPr>
        <w:t>成果发表时须注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明“吉首大学大学生研究性学习和创新性实验计划项目资助”。</w:t>
      </w:r>
    </w:p>
    <w:p>
      <w:pPr>
        <w:spacing w:before="1" w:line="315" w:lineRule="auto"/>
        <w:ind w:left="9" w:right="75" w:firstLine="337"/>
        <w:rPr>
          <w:rFonts w:ascii="方正书宋简体" w:hAnsi="方正书宋简体" w:eastAsia="方正书宋简体" w:cs="方正书宋简体"/>
          <w:sz w:val="24"/>
          <w:szCs w:val="24"/>
        </w:rPr>
      </w:pPr>
      <w:r>
        <w:rPr>
          <w:rFonts w:ascii="方正书宋简体" w:hAnsi="方正书宋简体" w:eastAsia="方正书宋简体" w:cs="方正书宋简体"/>
          <w:spacing w:val="-14"/>
          <w:sz w:val="24"/>
          <w:szCs w:val="24"/>
        </w:rPr>
        <w:t>（三）</w:t>
      </w:r>
      <w:r>
        <w:rPr>
          <w:rFonts w:ascii="方正书宋简体" w:hAnsi="方正书宋简体" w:eastAsia="方正书宋简体" w:cs="方正书宋简体"/>
          <w:spacing w:val="77"/>
          <w:w w:val="101"/>
          <w:sz w:val="24"/>
          <w:szCs w:val="24"/>
        </w:rPr>
        <w:t xml:space="preserve"> </w:t>
      </w:r>
      <w:r>
        <w:rPr>
          <w:rFonts w:ascii="方正书宋简体" w:hAnsi="方正书宋简体" w:eastAsia="方正书宋简体" w:cs="方正书宋简体"/>
          <w:spacing w:val="-14"/>
          <w:sz w:val="24"/>
          <w:szCs w:val="24"/>
        </w:rPr>
        <w:t>项目阶段检查和结题时，</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4"/>
          <w:sz w:val="24"/>
          <w:szCs w:val="24"/>
        </w:rPr>
        <w:t>项目负责人要提供经费使用明细，</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14"/>
          <w:sz w:val="24"/>
          <w:szCs w:val="24"/>
        </w:rPr>
        <w:t>以确保项目经</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费的合理使用。</w:t>
      </w:r>
    </w:p>
    <w:p>
      <w:pPr>
        <w:spacing w:before="2" w:line="239" w:lineRule="auto"/>
        <w:ind w:left="4" w:right="77"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（四）</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8"/>
          <w:sz w:val="24"/>
          <w:szCs w:val="24"/>
        </w:rPr>
        <w:t>凡无故延迟或执行不力又无改进措施的项目，</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教务处将视情节轻重停止下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年度部分或全部经费。</w:t>
      </w:r>
    </w:p>
    <w:p>
      <w:pPr>
        <w:spacing w:before="203" w:line="282" w:lineRule="auto"/>
        <w:ind w:left="4" w:right="77"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第十五条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在项目研究过程中，指导教师应采取适宜的指导模式，充分体现学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生的自主性，使学生积极主动地进行调查研究、查阅文献、分析论证，自主制定设</w:t>
      </w:r>
    </w:p>
    <w:p>
      <w:pPr>
        <w:spacing w:before="25" w:line="315" w:lineRule="auto"/>
        <w:ind w:right="7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计方案、计算或实验，自主分析总结，接受以上诸方面独立工作能力的训练，增长</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研究和实验才干。</w:t>
      </w:r>
    </w:p>
    <w:p>
      <w:pPr>
        <w:sectPr>
          <w:footerReference r:id="rId275" w:type="default"/>
          <w:pgSz w:w="11905" w:h="16840"/>
          <w:pgMar w:top="1431" w:right="1510" w:bottom="1158" w:left="1590" w:header="0" w:footer="1034" w:gutter="0"/>
          <w:cols w:space="720" w:num="1"/>
        </w:sectPr>
      </w:pPr>
    </w:p>
    <w:p>
      <w:pPr>
        <w:spacing w:before="414" w:line="282" w:lineRule="auto"/>
        <w:ind w:left="2" w:right="96"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学生以第一作者发表的论文等成果必须标注“吉首大学大学生研究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性学习和创新性实验计划资助项目”，知识产权归学校所有。</w:t>
      </w:r>
    </w:p>
    <w:p>
      <w:pPr>
        <w:spacing w:before="9" w:line="197" w:lineRule="auto"/>
        <w:ind w:firstLine="317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第五章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3"/>
          <w:sz w:val="24"/>
          <w:szCs w:val="24"/>
        </w:rPr>
        <w:t>项目结题验收</w:t>
      </w:r>
    </w:p>
    <w:p>
      <w:pPr>
        <w:spacing w:before="108" w:line="282" w:lineRule="auto"/>
        <w:ind w:left="3" w:right="3"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第十七条</w:t>
      </w:r>
      <w:r>
        <w:rPr>
          <w:rFonts w:ascii="Microsoft JhengHei" w:hAnsi="Microsoft JhengHei" w:eastAsia="Microsoft JhengHei" w:cs="Microsoft JhengHei"/>
          <w:spacing w:val="22"/>
          <w:sz w:val="24"/>
          <w:szCs w:val="24"/>
        </w:rPr>
        <w:t xml:space="preserve">   </w:t>
      </w:r>
      <w:r>
        <w:rPr>
          <w:rFonts w:ascii="方正书宋简体" w:hAnsi="方正书宋简体" w:eastAsia="方正书宋简体" w:cs="方正书宋简体"/>
          <w:spacing w:val="-5"/>
          <w:sz w:val="24"/>
          <w:szCs w:val="24"/>
        </w:rPr>
        <w:t>“大学生研究性学习和创新性实验计划”由教务处组织专家组对校级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项目进行结题验收。专家组组长由副高以上职称专业教师担任，</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7"/>
          <w:sz w:val="24"/>
          <w:szCs w:val="24"/>
        </w:rPr>
        <w:t>成员不应少于</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7"/>
          <w:sz w:val="24"/>
          <w:szCs w:val="24"/>
        </w:rPr>
        <w:t>3</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7"/>
          <w:sz w:val="24"/>
          <w:szCs w:val="24"/>
        </w:rPr>
        <w:t>人。</w:t>
      </w:r>
    </w:p>
    <w:p>
      <w:pPr>
        <w:spacing w:before="10" w:line="197"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第十八条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5"/>
          <w:sz w:val="24"/>
          <w:szCs w:val="24"/>
        </w:rPr>
        <w:t>工作内容与程序：</w:t>
      </w:r>
    </w:p>
    <w:p>
      <w:pPr>
        <w:spacing w:before="121" w:line="311" w:lineRule="auto"/>
        <w:ind w:right="94"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（一）</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4"/>
          <w:sz w:val="24"/>
          <w:szCs w:val="24"/>
        </w:rPr>
        <w:t>验收材料提交。填写和提交《吉首大学大学生研究性学习和创新性实验计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划项目结题报告书》、项目总结报告、学生的研究论文、项目成果证明材料及相应的</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2"/>
          <w:sz w:val="24"/>
          <w:szCs w:val="24"/>
        </w:rPr>
        <w:t>设计说明书、图纸等。学生提交的文字材料应有指导教师签署的审阅意见。对于探</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9"/>
          <w:sz w:val="24"/>
          <w:szCs w:val="24"/>
        </w:rPr>
        <w:t>索性研究项目，</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允许失败（由于态度不认真或工作不负责而造成的失败除外</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9"/>
          <w:sz w:val="24"/>
          <w:szCs w:val="24"/>
        </w:rPr>
        <w:t>对于</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失败项目应在总结报告中对失败的原因认真总结、提出改进意见。</w:t>
      </w:r>
    </w:p>
    <w:p>
      <w:pPr>
        <w:spacing w:before="30" w:line="313" w:lineRule="auto"/>
        <w:ind w:left="4" w:right="9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9"/>
          <w:sz w:val="24"/>
          <w:szCs w:val="24"/>
        </w:rPr>
        <w:t>验收材料审阅。专家组应对结题验收材料进行认真审阅，</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9"/>
          <w:sz w:val="24"/>
          <w:szCs w:val="24"/>
        </w:rPr>
        <w:t>审阅重点是审查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学生掌握基础理论、基本技能及综合训练的情况，考察学生完成课题过程中的创新</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思维、创新能力的培养情况，考察学生完成课题过程中的工作量及工作成果等。在</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此基础上，确定集中结题答辩时间，并将结题鉴定工作安排报教务处。</w:t>
      </w:r>
    </w:p>
    <w:p>
      <w:pPr>
        <w:spacing w:before="14" w:line="192"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（三）答辩。答辩具体方式由专家组决定，但应包括以下环节：</w:t>
      </w:r>
    </w:p>
    <w:p>
      <w:pPr>
        <w:spacing w:before="178" w:line="315" w:lineRule="auto"/>
        <w:ind w:left="2" w:right="94"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学生简要汇报本人承担的主要工作内容及取得的研究成果，参加项目工作在综</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合分析问题、解决问题的能力，实践动手能力以及创新思维与创新能力的培养方面</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所取得的收获。</w:t>
      </w:r>
    </w:p>
    <w:p>
      <w:pPr>
        <w:spacing w:before="1" w:line="253" w:lineRule="auto"/>
        <w:ind w:left="5" w:right="97"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专家提问与课题有关的基本理论和基本技能、</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研究论文或总结报告以及现场汇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报中存在的疑点、错误及应改进的方面、考察学生的独立工作能力等。</w:t>
      </w:r>
    </w:p>
    <w:p>
      <w:pPr>
        <w:spacing w:before="177" w:line="311" w:lineRule="auto"/>
        <w:ind w:left="5"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（四）项目鉴定与学生成绩评定：</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12"/>
          <w:sz w:val="24"/>
          <w:szCs w:val="24"/>
        </w:rPr>
        <w:t>学生答辩结束后，</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2"/>
          <w:sz w:val="24"/>
          <w:szCs w:val="24"/>
        </w:rPr>
        <w:t>专家组应根据指导教师意见、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材料审阅意见、答辩情况做出项目鉴定。项目鉴定分为通过、不通过，通过的项目</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中，质量很好的，可评为优秀。</w:t>
      </w:r>
    </w:p>
    <w:p>
      <w:pPr>
        <w:spacing w:before="8" w:line="199"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第十九条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项目总结与交流</w:t>
      </w:r>
    </w:p>
    <w:p>
      <w:pPr>
        <w:spacing w:before="121" w:line="310" w:lineRule="auto"/>
        <w:ind w:left="2" w:right="94"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学院在校级项目结题验收后应及时做好项目总结和研究成果汇集工作，将鉴定</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结果为“优秀”的项目研究成果的文字结题材料（含电子文档）报教务处（实物成</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果材料由学院建档保存</w:t>
      </w:r>
      <w:r>
        <w:rPr>
          <w:rFonts w:ascii="方正书宋简体" w:hAnsi="方正书宋简体" w:eastAsia="方正书宋简体" w:cs="方正书宋简体"/>
          <w:spacing w:val="-85"/>
          <w:sz w:val="24"/>
          <w:szCs w:val="24"/>
        </w:rPr>
        <w:t>），</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4"/>
          <w:sz w:val="24"/>
          <w:szCs w:val="24"/>
        </w:rPr>
        <w:t>学校在此基础上汇编《吉首大学大学生研究性学习和创新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性实验计划研究成果简介》，并组织成果展示与交流。</w:t>
      </w:r>
    </w:p>
    <w:p>
      <w:pPr>
        <w:spacing w:before="24"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鉴定结果为通过、不通过的项目，所有结题材料由学院自行建档保存。</w:t>
      </w:r>
    </w:p>
    <w:p>
      <w:pPr>
        <w:sectPr>
          <w:footerReference r:id="rId276" w:type="default"/>
          <w:pgSz w:w="11905" w:h="16840"/>
          <w:pgMar w:top="1431" w:right="1491" w:bottom="1158" w:left="1588" w:header="0" w:footer="1034" w:gutter="0"/>
          <w:cols w:space="720" w:num="1"/>
        </w:sectPr>
      </w:pPr>
    </w:p>
    <w:p>
      <w:pPr>
        <w:spacing w:before="415" w:line="250" w:lineRule="auto"/>
        <w:ind w:left="9" w:right="6"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无故不参加结题验收项目、验收不通过的项目以及撤销的项目，取</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消项目负责人下一次申报项目的资格，扣减负责人所在学院下一年度同等级别的项</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目指标。学生鉴定成绩不及格的学生，取消下一次申请参加项目研究的资格。</w:t>
      </w:r>
    </w:p>
    <w:p>
      <w:pPr>
        <w:spacing w:before="204" w:line="180" w:lineRule="auto"/>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第六章</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相关政策</w:t>
      </w:r>
    </w:p>
    <w:p>
      <w:pPr>
        <w:spacing w:before="137" w:line="282" w:lineRule="auto"/>
        <w:ind w:left="5" w:right="51" w:firstLine="483"/>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第二十一条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全校各实验中心、实验室均要对参加项目研究的学生免费开放，</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提供实验场地与实验设备，并给予必要的指导。</w:t>
      </w:r>
    </w:p>
    <w:p>
      <w:pPr>
        <w:spacing w:before="11" w:line="282" w:lineRule="auto"/>
        <w:ind w:right="9"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第二十二条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项目申报、实施过程中经查实弄虚作假者，终止项目运行并取消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今后申报项目的资格，情节严重的按相关规定处理。</w:t>
      </w:r>
    </w:p>
    <w:p>
      <w:pPr>
        <w:spacing w:before="10" w:line="250"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第二十三条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3"/>
          <w:sz w:val="24"/>
          <w:szCs w:val="24"/>
        </w:rPr>
        <w:t>认真履行项目指导工作的教师，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3"/>
          <w:sz w:val="24"/>
          <w:szCs w:val="24"/>
        </w:rPr>
        <w:t>学院参照指导毕业论文（设计）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的标准计算相应的教学工作量；指导成果可申报教学成果奖；对在培养学生创新能</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力方面成效突出的项目，对指导教师给予一次性奖励。</w:t>
      </w:r>
    </w:p>
    <w:p>
      <w:pPr>
        <w:spacing w:line="149" w:lineRule="exact"/>
      </w:pPr>
    </w:p>
    <w:p>
      <w:pPr>
        <w:sectPr>
          <w:footerReference r:id="rId277" w:type="default"/>
          <w:pgSz w:w="11905" w:h="16840"/>
          <w:pgMar w:top="1431" w:right="1578" w:bottom="1158" w:left="1590" w:header="0" w:footer="1034" w:gutter="0"/>
          <w:cols w:equalWidth="0" w:num="1">
            <w:col w:w="8736"/>
          </w:cols>
        </w:sectPr>
      </w:pPr>
    </w:p>
    <w:p>
      <w:pPr>
        <w:spacing w:line="263" w:lineRule="auto"/>
        <w:rPr>
          <w:rFonts w:ascii="Malgun Gothic"/>
          <w:sz w:val="21"/>
        </w:rPr>
      </w:pPr>
    </w:p>
    <w:p>
      <w:pPr>
        <w:spacing w:before="103" w:line="226" w:lineRule="auto"/>
        <w:ind w:left="489" w:right="7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第二十四条</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第二十五条</w:t>
      </w:r>
      <w:r>
        <w:rPr>
          <w:rFonts w:ascii="Microsoft JhengHei" w:hAnsi="Microsoft JhengHei" w:eastAsia="Microsoft JhengHei" w:cs="Microsoft JhengHei"/>
          <w:spacing w:val="2"/>
          <w:w w:val="101"/>
          <w:sz w:val="24"/>
          <w:szCs w:val="24"/>
        </w:rPr>
        <w:t xml:space="preserve"> </w:t>
      </w:r>
      <w:r>
        <w:rPr>
          <w:rFonts w:ascii="Microsoft JhengHei" w:hAnsi="Microsoft JhengHei" w:eastAsia="Microsoft JhengHei" w:cs="Microsoft JhengHei"/>
          <w:spacing w:val="-3"/>
          <w:sz w:val="24"/>
          <w:szCs w:val="24"/>
        </w:rPr>
        <w:t>第二十六条</w:t>
      </w:r>
    </w:p>
    <w:p>
      <w:pPr>
        <w:spacing w:line="14" w:lineRule="auto"/>
        <w:rPr>
          <w:rFonts w:ascii="Malgun Gothic"/>
          <w:sz w:val="2"/>
        </w:rPr>
      </w:pPr>
      <w:r>
        <w:rPr>
          <w:rFonts w:ascii="Malgun Gothic" w:hAnsi="Malgun Gothic" w:eastAsia="Malgun Gothic" w:cs="Malgun Gothic"/>
          <w:sz w:val="2"/>
          <w:szCs w:val="2"/>
        </w:rPr>
        <w:br w:type="column"/>
      </w:r>
    </w:p>
    <w:p>
      <w:pPr>
        <w:spacing w:before="51" w:line="465" w:lineRule="exact"/>
        <w:ind w:firstLine="1924"/>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position w:val="13"/>
          <w:sz w:val="24"/>
          <w:szCs w:val="24"/>
        </w:rPr>
        <w:t>第七章</w:t>
      </w:r>
      <w:r>
        <w:rPr>
          <w:rFonts w:ascii="Microsoft JhengHei" w:hAnsi="Microsoft JhengHei" w:eastAsia="Microsoft JhengHei" w:cs="Microsoft JhengHei"/>
          <w:spacing w:val="6"/>
          <w:w w:val="101"/>
          <w:position w:val="13"/>
          <w:sz w:val="24"/>
          <w:szCs w:val="24"/>
        </w:rPr>
        <w:t xml:space="preserve">    </w:t>
      </w:r>
      <w:r>
        <w:rPr>
          <w:rFonts w:ascii="Microsoft JhengHei" w:hAnsi="Microsoft JhengHei" w:eastAsia="Microsoft JhengHei" w:cs="Microsoft JhengHei"/>
          <w:spacing w:val="-8"/>
          <w:position w:val="13"/>
          <w:sz w:val="24"/>
          <w:szCs w:val="24"/>
        </w:rPr>
        <w:t>附</w:t>
      </w:r>
      <w:r>
        <w:rPr>
          <w:rFonts w:ascii="Microsoft JhengHei" w:hAnsi="Microsoft JhengHei" w:eastAsia="Microsoft JhengHei" w:cs="Microsoft JhengHei"/>
          <w:spacing w:val="2"/>
          <w:position w:val="13"/>
          <w:sz w:val="24"/>
          <w:szCs w:val="24"/>
        </w:rPr>
        <w:t xml:space="preserve">    </w:t>
      </w:r>
      <w:r>
        <w:rPr>
          <w:rFonts w:ascii="Microsoft JhengHei" w:hAnsi="Microsoft JhengHei" w:eastAsia="Microsoft JhengHei" w:cs="Microsoft JhengHei"/>
          <w:spacing w:val="-8"/>
          <w:position w:val="13"/>
          <w:sz w:val="24"/>
          <w:szCs w:val="24"/>
        </w:rPr>
        <w:t>则</w:t>
      </w:r>
    </w:p>
    <w:p>
      <w:pPr>
        <w:spacing w:line="204" w:lineRule="auto"/>
        <w:ind w:firstLine="7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本办法自颁布之日起施行。</w:t>
      </w:r>
    </w:p>
    <w:p>
      <w:pPr>
        <w:spacing w:before="159" w:line="449" w:lineRule="exact"/>
        <w:ind w:firstLine="7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6"/>
          <w:sz w:val="24"/>
          <w:szCs w:val="24"/>
        </w:rPr>
        <w:t>各学院根据本管理办法制订实施细则。</w:t>
      </w:r>
    </w:p>
    <w:p>
      <w:pPr>
        <w:spacing w:before="1" w:line="179" w:lineRule="auto"/>
        <w:ind w:firstLine="7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本办法由教务处负责解释。</w:t>
      </w:r>
    </w:p>
    <w:p>
      <w:pPr>
        <w:sectPr>
          <w:type w:val="continuous"/>
          <w:pgSz w:w="11905" w:h="16840"/>
          <w:pgMar w:top="1431" w:right="1578" w:bottom="1158" w:left="1590" w:header="0" w:footer="1034" w:gutter="0"/>
          <w:cols w:equalWidth="0" w:num="2">
            <w:col w:w="1750" w:space="100"/>
            <w:col w:w="6887"/>
          </w:cols>
        </w:sectPr>
      </w:pPr>
    </w:p>
    <w:p>
      <w:pPr>
        <w:spacing w:before="349" w:line="180" w:lineRule="auto"/>
        <w:ind w:firstLine="82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吉首大学本科教学质量评价与持续改进工作实施办法</w:t>
      </w:r>
    </w:p>
    <w:p>
      <w:pPr>
        <w:spacing w:line="295" w:lineRule="auto"/>
        <w:rPr>
          <w:rFonts w:ascii="Malgun Gothic"/>
          <w:sz w:val="21"/>
        </w:rPr>
      </w:pPr>
    </w:p>
    <w:p>
      <w:pPr>
        <w:spacing w:before="104" w:line="180" w:lineRule="auto"/>
        <w:ind w:firstLine="3901"/>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9" w:line="265" w:lineRule="auto"/>
        <w:ind w:right="14" w:firstLine="617"/>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第一条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z w:val="24"/>
          <w:szCs w:val="24"/>
        </w:rPr>
        <w:t>为贯彻落实《教育部关于全面提高高等教育质量的若干意见》</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z w:val="24"/>
          <w:szCs w:val="24"/>
        </w:rPr>
        <w:t xml:space="preserve">（教高  </w:t>
      </w:r>
      <w:r>
        <w:rPr>
          <w:rFonts w:ascii="方正书宋简体" w:hAnsi="方正书宋简体" w:eastAsia="方正书宋简体" w:cs="方正书宋简体"/>
          <w:spacing w:val="-1"/>
          <w:sz w:val="24"/>
          <w:szCs w:val="24"/>
        </w:rPr>
        <w:t>〔2012〕4</w:t>
      </w:r>
      <w:r>
        <w:rPr>
          <w:rFonts w:ascii="方正书宋简体" w:hAnsi="方正书宋简体" w:eastAsia="方正书宋简体" w:cs="方正书宋简体"/>
          <w:spacing w:val="79"/>
          <w:sz w:val="24"/>
          <w:szCs w:val="24"/>
        </w:rPr>
        <w:t xml:space="preserve"> </w:t>
      </w:r>
      <w:r>
        <w:rPr>
          <w:rFonts w:ascii="方正书宋简体" w:hAnsi="方正书宋简体" w:eastAsia="方正书宋简体" w:cs="方正书宋简体"/>
          <w:spacing w:val="-1"/>
          <w:sz w:val="24"/>
          <w:szCs w:val="24"/>
        </w:rPr>
        <w:t>号）文件，进一步完善我校本科教学质量评价工作体系，规范评价与反馈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工作程序，</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8"/>
          <w:sz w:val="24"/>
          <w:szCs w:val="24"/>
        </w:rPr>
        <w:t>形成运行、评价、反馈、改进的质量管理闭环，</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8"/>
          <w:sz w:val="24"/>
          <w:szCs w:val="24"/>
        </w:rPr>
        <w:t>促进教学质量不断提高，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特制定本办法。</w:t>
      </w:r>
    </w:p>
    <w:p>
      <w:pPr>
        <w:spacing w:before="206" w:line="180" w:lineRule="auto"/>
        <w:ind w:firstLine="61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第二条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学校本科教学质量评价工作遵循全程性原则和多样性原则。</w:t>
      </w:r>
    </w:p>
    <w:p>
      <w:pPr>
        <w:spacing w:before="152" w:line="312" w:lineRule="auto"/>
        <w:ind w:left="127" w:right="8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（一）全程性原则：对课程的评价应贯穿课程教学全过程，既要包含期初评价、</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3"/>
          <w:sz w:val="24"/>
          <w:szCs w:val="24"/>
        </w:rPr>
        <w:t>期中评价、期末评价等重要的过程节点评价，</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又要做好随机实时评价；对教师的评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价应覆盖教学生涯全过程，既要重视对青年教师的评价，又要重视对教授、副教授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的评价；对学生的评价应延伸质量展现全过程，既要做好在校期间的整体评价，又</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要关注毕业五年左右时间的培养目标达成评价。</w:t>
      </w:r>
    </w:p>
    <w:p>
      <w:pPr>
        <w:spacing w:before="21"/>
        <w:ind w:left="12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（二）</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多样性原则：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充分发挥不同评价主体在评价工作中的优势和特色，</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创建一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个以学生评价为主渠道，</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6"/>
          <w:sz w:val="24"/>
          <w:szCs w:val="24"/>
        </w:rPr>
        <w:t>其他校内评价与校外第三方评价有效集成的质量评价体系。</w:t>
      </w:r>
    </w:p>
    <w:p>
      <w:pPr>
        <w:spacing w:before="204" w:line="180" w:lineRule="auto"/>
        <w:ind w:firstLine="61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第三条</w:t>
      </w:r>
      <w:r>
        <w:rPr>
          <w:rFonts w:ascii="Microsoft JhengHei" w:hAnsi="Microsoft JhengHei" w:eastAsia="Microsoft JhengHei" w:cs="Microsoft JhengHei"/>
          <w:spacing w:val="4"/>
          <w:w w:val="101"/>
          <w:sz w:val="24"/>
          <w:szCs w:val="24"/>
        </w:rPr>
        <w:t xml:space="preserve">    </w:t>
      </w:r>
      <w:r>
        <w:rPr>
          <w:rFonts w:ascii="方正书宋简体" w:hAnsi="方正书宋简体" w:eastAsia="方正书宋简体" w:cs="方正书宋简体"/>
          <w:spacing w:val="-2"/>
          <w:sz w:val="24"/>
          <w:szCs w:val="24"/>
        </w:rPr>
        <w:t>学校本科教学持续改进工作遵循针对性原则和发展性原则。</w:t>
      </w:r>
    </w:p>
    <w:p>
      <w:pPr>
        <w:spacing w:before="153" w:line="252" w:lineRule="auto"/>
        <w:ind w:left="128" w:right="90"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3"/>
          <w:sz w:val="24"/>
          <w:szCs w:val="24"/>
        </w:rPr>
        <w:t>针对性原则：</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凡是在质量监控与评价过程中出现的明显问题，</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必须有针对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性地提出改进目标与方案，并在之后的教学过程中予以重点监控评价，形成闭环。</w:t>
      </w:r>
    </w:p>
    <w:p>
      <w:pPr>
        <w:spacing w:before="180" w:line="239" w:lineRule="auto"/>
        <w:ind w:left="130" w:right="8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（二）发展性原则：持续改进工作应以教师教学能力的发展、教学水平的提高、</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教学质量的提升为导向，根本目标是实现师生共同发展。</w:t>
      </w:r>
    </w:p>
    <w:p>
      <w:pPr>
        <w:spacing w:before="205" w:line="180" w:lineRule="auto"/>
        <w:ind w:firstLine="3541"/>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工作体系</w:t>
      </w:r>
    </w:p>
    <w:p>
      <w:pPr>
        <w:spacing w:before="138" w:line="282" w:lineRule="auto"/>
        <w:ind w:left="136" w:right="94" w:firstLine="480"/>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学校本科教学质量评价与持续改进工作在校长和分管本科教学工作的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副校长领导下，在校教学质量监控领导小组指导下，由教务处负责组织与实施。</w:t>
      </w:r>
    </w:p>
    <w:p>
      <w:pPr>
        <w:spacing w:before="11" w:line="290" w:lineRule="auto"/>
        <w:ind w:left="127" w:right="90"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3"/>
          <w:sz w:val="24"/>
          <w:szCs w:val="24"/>
        </w:rPr>
        <w:t>第五条</w:t>
      </w:r>
      <w:r>
        <w:rPr>
          <w:rFonts w:ascii="Microsoft JhengHei" w:hAnsi="Microsoft JhengHei" w:eastAsia="Microsoft JhengHei" w:cs="Microsoft JhengHei"/>
          <w:spacing w:val="9"/>
          <w:sz w:val="24"/>
          <w:szCs w:val="24"/>
        </w:rPr>
        <w:t xml:space="preserve">    </w:t>
      </w:r>
      <w:r>
        <w:rPr>
          <w:rFonts w:ascii="方正书宋简体" w:hAnsi="方正书宋简体" w:eastAsia="方正书宋简体" w:cs="方正书宋简体"/>
          <w:spacing w:val="-13"/>
          <w:sz w:val="24"/>
          <w:szCs w:val="24"/>
        </w:rPr>
        <w:t>各学院成立以院长为组长，</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3"/>
          <w:sz w:val="24"/>
          <w:szCs w:val="24"/>
        </w:rPr>
        <w:t>分管教学工作的副院长为副组长，</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3"/>
          <w:sz w:val="24"/>
          <w:szCs w:val="24"/>
        </w:rPr>
        <w:t>各系（教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研室）主任和热心本科教学、教学效果好的教师为成员的院级教学质量评价与改进</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工作小组，负责本学院的教学质量评价和持续改进工作。</w:t>
      </w:r>
    </w:p>
    <w:p>
      <w:pPr>
        <w:spacing w:before="21" w:line="281" w:lineRule="auto"/>
        <w:ind w:left="131" w:right="88"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第六条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5"/>
          <w:sz w:val="24"/>
          <w:szCs w:val="24"/>
        </w:rPr>
        <w:t>学校建立由学生评教制、教学督导制、同行教师与干部听课评议制、教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学信息动态汇集制和第三方质量评价反馈制构成的本科教学质量监控与评价体系。</w:t>
      </w:r>
    </w:p>
    <w:p>
      <w:pPr>
        <w:spacing w:before="25" w:line="315" w:lineRule="auto"/>
        <w:ind w:left="130"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（一）</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学校每学期期初、期中和期末定期组织学生通过教学质量评价系统对任课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教师及其所授课程进行教学满意度反馈和教学质量评价。</w:t>
      </w:r>
    </w:p>
    <w:p>
      <w:pPr>
        <w:sectPr>
          <w:footerReference r:id="rId278" w:type="default"/>
          <w:pgSz w:w="11905" w:h="16840"/>
          <w:pgMar w:top="1431" w:right="1494" w:bottom="1158" w:left="1462" w:header="0" w:footer="1034" w:gutter="0"/>
          <w:cols w:space="720" w:num="1"/>
        </w:sectPr>
      </w:pPr>
    </w:p>
    <w:p>
      <w:pPr>
        <w:spacing w:before="421" w:line="312" w:lineRule="auto"/>
        <w:ind w:left="5" w:right="9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（二）学校聘请教学经验丰富，热心教学工作的教授、副教授担任教学督导员。</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教学督导员代表学校进行日常教学质量状况的检查工作，对学校的教风、学风和管</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理工作作风进行督导。</w:t>
      </w:r>
    </w:p>
    <w:p>
      <w:pPr>
        <w:spacing w:before="14" w:line="304" w:lineRule="auto"/>
        <w:ind w:left="6" w:right="1"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（三）</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3"/>
          <w:sz w:val="24"/>
          <w:szCs w:val="24"/>
        </w:rPr>
        <w:t>学校鼓励同行教师之间经常开展听课评议与观摩。党政领导干部应按《吉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首大学领导干部听课制度》的要求，</w:t>
      </w:r>
      <w:r>
        <w:rPr>
          <w:rFonts w:ascii="方正书宋简体" w:hAnsi="方正书宋简体" w:eastAsia="方正书宋简体" w:cs="方正书宋简体"/>
          <w:spacing w:val="55"/>
          <w:w w:val="101"/>
          <w:sz w:val="24"/>
          <w:szCs w:val="24"/>
        </w:rPr>
        <w:t xml:space="preserve"> </w:t>
      </w:r>
      <w:r>
        <w:rPr>
          <w:rFonts w:ascii="方正书宋简体" w:hAnsi="方正书宋简体" w:eastAsia="方正书宋简体" w:cs="方正书宋简体"/>
          <w:spacing w:val="-11"/>
          <w:sz w:val="24"/>
          <w:szCs w:val="24"/>
        </w:rPr>
        <w:t>深入教学第一线进行教学质量的调研与评价工作。</w:t>
      </w:r>
    </w:p>
    <w:p>
      <w:pPr>
        <w:spacing w:before="32" w:line="304" w:lineRule="auto"/>
        <w:ind w:left="2"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（四）</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3"/>
          <w:sz w:val="24"/>
          <w:szCs w:val="24"/>
        </w:rPr>
        <w:t>教务处通过处长信箱、在线质量信息反馈平台收集质量信息，并在每个本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科生自然班中聘任教学信息员，</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定期与不定期向教务处反馈教、学、管三方面的信息。</w:t>
      </w:r>
    </w:p>
    <w:p>
      <w:pPr>
        <w:spacing w:before="34" w:line="265" w:lineRule="auto"/>
        <w:ind w:left="2" w:right="93"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（五）学校邀请校外高等教育人才培养质量专业评估机构实施学生离校五年内的</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评价，各学院要认真做好毕业五年内学生的跟踪评价工作。同时学校选择一定数量</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的重要用人单位定期做好毕业生质量评价反馈工作。</w:t>
      </w:r>
    </w:p>
    <w:p>
      <w:pPr>
        <w:spacing w:before="206" w:line="280" w:lineRule="auto"/>
        <w:ind w:right="96"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学校建立由课程、专业、学院、学校构成的“四级链接”教学质量持</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续改进与考核体系。</w:t>
      </w:r>
    </w:p>
    <w:p>
      <w:pPr>
        <w:spacing w:before="28"/>
        <w:ind w:left="3" w:right="95"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（一）</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8"/>
          <w:sz w:val="24"/>
          <w:szCs w:val="24"/>
        </w:rPr>
        <w:t>各课程在教学过程中都要针对质量评价反馈信息及时改进，</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8"/>
          <w:sz w:val="24"/>
          <w:szCs w:val="24"/>
        </w:rPr>
        <w:t>在课程结束时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对持续改进情况进行自评，并将自评结果报教师所在系（教研室）审核。</w:t>
      </w:r>
    </w:p>
    <w:p>
      <w:pPr>
        <w:spacing w:before="214" w:line="316" w:lineRule="auto"/>
        <w:ind w:left="3" w:right="108"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（二）各专业建立“本科人才培养质量年度自评报告制”，对专业教学质量状态</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
          <w:sz w:val="24"/>
          <w:szCs w:val="24"/>
        </w:rPr>
        <w:t>作出小结，提出下一年度持续改进的思路，向学院提交自评报告并在教务处备案。</w:t>
      </w:r>
    </w:p>
    <w:p>
      <w:pPr>
        <w:spacing w:before="1" w:line="315" w:lineRule="auto"/>
        <w:ind w:left="6" w:right="9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（三）各学院认真做好对本院相关专业自评报告的审核及持续改进的评估工作，</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3"/>
          <w:sz w:val="24"/>
          <w:szCs w:val="24"/>
        </w:rPr>
        <w:t>在此基础上形成学院年度本科教学质量报告，</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3"/>
          <w:sz w:val="24"/>
          <w:szCs w:val="24"/>
        </w:rPr>
        <w:t>提出进一步改进的方案，并向教务处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提交学院自评报告。</w:t>
      </w:r>
    </w:p>
    <w:p>
      <w:pPr>
        <w:spacing w:before="2" w:line="264" w:lineRule="auto"/>
        <w:ind w:left="5" w:right="93"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（四）教务处会同相关职能部门在做好各学院本科人才培养质量审核工作的基础</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上，实现本科教学基本状态数据常态监测，完成学校本科教学质量年度报告，报上</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级教育主管部门审核评估。</w:t>
      </w:r>
    </w:p>
    <w:p>
      <w:pPr>
        <w:spacing w:before="207" w:line="250" w:lineRule="auto"/>
        <w:ind w:left="4" w:right="92"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6"/>
          <w:sz w:val="24"/>
          <w:szCs w:val="24"/>
        </w:rPr>
        <w:t>为建立质量评价与持续改进工作中教、学、管各方的多向反馈与协同改</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进机制，学校在质量评价与结果反馈网络平台上设置学生评教、评管，教学督导员评</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5"/>
          <w:sz w:val="24"/>
          <w:szCs w:val="24"/>
        </w:rPr>
        <w:t>教、评学，干部评教、评学，教师评学、评管与教学信息员评教、评学等评价窗口。</w:t>
      </w:r>
    </w:p>
    <w:p>
      <w:pPr>
        <w:spacing w:before="203" w:line="180" w:lineRule="auto"/>
        <w:ind w:firstLine="341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工作程序</w:t>
      </w:r>
    </w:p>
    <w:p>
      <w:pPr>
        <w:spacing w:before="139" w:line="180" w:lineRule="auto"/>
        <w:ind w:firstLine="492"/>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学校在教学质量监控评价的重要节点实施的主要评价工作程序为：</w:t>
      </w:r>
    </w:p>
    <w:p>
      <w:pPr>
        <w:spacing w:before="152" w:line="314" w:lineRule="auto"/>
        <w:ind w:left="5" w:right="8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（一）开学第</w:t>
      </w:r>
      <w:r>
        <w:rPr>
          <w:rFonts w:ascii="方正书宋简体" w:hAnsi="方正书宋简体" w:eastAsia="方正书宋简体" w:cs="方正书宋简体"/>
          <w:spacing w:val="52"/>
          <w:w w:val="101"/>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周，校领导、教务处、教学质量监控与评估中心、学工部人员、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相关职能部门及各学院教学院长和教学秘书联合检查开学初的教学运行质量。召开</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教学督导团学期工作安排及研讨会，做好本科教学质量监控与评价体系运行的相关</w:t>
      </w:r>
    </w:p>
    <w:p>
      <w:pPr>
        <w:sectPr>
          <w:footerReference r:id="rId279" w:type="default"/>
          <w:pgSz w:w="11905" w:h="16840"/>
          <w:pgMar w:top="1431" w:right="1492" w:bottom="1158" w:left="1587" w:header="0" w:footer="1034" w:gutter="0"/>
          <w:cols w:space="720" w:num="1"/>
        </w:sectPr>
      </w:pPr>
    </w:p>
    <w:p>
      <w:pPr>
        <w:spacing w:before="429"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协调工作。</w:t>
      </w:r>
    </w:p>
    <w:p>
      <w:pPr>
        <w:spacing w:before="191" w:line="315" w:lineRule="auto"/>
        <w:ind w:right="2"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（二）</w:t>
      </w:r>
      <w:r>
        <w:rPr>
          <w:rFonts w:ascii="方正书宋简体" w:hAnsi="方正书宋简体" w:eastAsia="方正书宋简体" w:cs="方正书宋简体"/>
          <w:spacing w:val="95"/>
          <w:w w:val="101"/>
          <w:sz w:val="24"/>
          <w:szCs w:val="24"/>
        </w:rPr>
        <w:t xml:space="preserve"> </w:t>
      </w:r>
      <w:r>
        <w:rPr>
          <w:rFonts w:ascii="方正书宋简体" w:hAnsi="方正书宋简体" w:eastAsia="方正书宋简体" w:cs="方正书宋简体"/>
          <w:spacing w:val="-12"/>
          <w:w w:val="99"/>
          <w:sz w:val="24"/>
          <w:szCs w:val="24"/>
        </w:rPr>
        <w:t>第</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2"/>
          <w:w w:val="99"/>
          <w:sz w:val="24"/>
          <w:szCs w:val="24"/>
        </w:rPr>
        <w:t>3</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2"/>
          <w:w w:val="99"/>
          <w:sz w:val="24"/>
          <w:szCs w:val="24"/>
        </w:rPr>
        <w:t>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w w:val="99"/>
          <w:sz w:val="24"/>
          <w:szCs w:val="24"/>
        </w:rPr>
        <w:t>教务处组织学生信息员进行学期教学信息沟通会，</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2"/>
          <w:w w:val="99"/>
          <w:sz w:val="24"/>
          <w:szCs w:val="24"/>
        </w:rPr>
        <w:t>同时将相关调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查问卷发送到教学信息员信箱，获取期初学生对教学质量的评价信息。</w:t>
      </w:r>
    </w:p>
    <w:p>
      <w:pPr>
        <w:ind w:left="2" w:right="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（三）</w:t>
      </w:r>
      <w:r>
        <w:rPr>
          <w:rFonts w:ascii="方正书宋简体" w:hAnsi="方正书宋简体" w:eastAsia="方正书宋简体" w:cs="方正书宋简体"/>
          <w:spacing w:val="118"/>
          <w:sz w:val="24"/>
          <w:szCs w:val="24"/>
        </w:rPr>
        <w:t xml:space="preserve"> </w:t>
      </w:r>
      <w:r>
        <w:rPr>
          <w:rFonts w:ascii="方正书宋简体" w:hAnsi="方正书宋简体" w:eastAsia="方正书宋简体" w:cs="方正书宋简体"/>
          <w:spacing w:val="-12"/>
          <w:w w:val="99"/>
          <w:sz w:val="24"/>
          <w:szCs w:val="24"/>
        </w:rPr>
        <w:t>第</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w w:val="99"/>
          <w:sz w:val="24"/>
          <w:szCs w:val="24"/>
        </w:rPr>
        <w:t>9</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2"/>
          <w:w w:val="99"/>
          <w:sz w:val="24"/>
          <w:szCs w:val="24"/>
        </w:rPr>
        <w:t>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2"/>
          <w:w w:val="99"/>
          <w:sz w:val="24"/>
          <w:szCs w:val="24"/>
        </w:rPr>
        <w:t>教务处和各学院分别召开教学信息员及部分学生代表座谈会，</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w w:val="99"/>
          <w:sz w:val="24"/>
          <w:szCs w:val="24"/>
        </w:rPr>
        <w:t>获</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取期中学生对教学质量的评价信息。</w:t>
      </w:r>
    </w:p>
    <w:p>
      <w:pPr>
        <w:spacing w:before="201" w:line="318" w:lineRule="auto"/>
        <w:ind w:left="1" w:right="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（四）</w:t>
      </w:r>
      <w:r>
        <w:rPr>
          <w:rFonts w:ascii="方正书宋简体" w:hAnsi="方正书宋简体" w:eastAsia="方正书宋简体" w:cs="方正书宋简体"/>
          <w:spacing w:val="107"/>
          <w:sz w:val="24"/>
          <w:szCs w:val="24"/>
        </w:rPr>
        <w:t xml:space="preserve"> </w:t>
      </w:r>
      <w:r>
        <w:rPr>
          <w:rFonts w:ascii="方正书宋简体" w:hAnsi="方正书宋简体" w:eastAsia="方正书宋简体" w:cs="方正书宋简体"/>
          <w:spacing w:val="-11"/>
          <w:w w:val="97"/>
          <w:sz w:val="24"/>
          <w:szCs w:val="24"/>
        </w:rPr>
        <w:t>第</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1"/>
          <w:w w:val="97"/>
          <w:sz w:val="24"/>
          <w:szCs w:val="24"/>
        </w:rPr>
        <w:t>9</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1"/>
          <w:w w:val="97"/>
          <w:sz w:val="24"/>
          <w:szCs w:val="24"/>
        </w:rPr>
        <w:t>周至第</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7"/>
          <w:sz w:val="24"/>
          <w:szCs w:val="24"/>
        </w:rPr>
        <w:t>11</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1"/>
          <w:w w:val="97"/>
          <w:sz w:val="24"/>
          <w:szCs w:val="24"/>
        </w:rPr>
        <w:t>周，</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11"/>
          <w:w w:val="97"/>
          <w:sz w:val="24"/>
          <w:szCs w:val="24"/>
        </w:rPr>
        <w:t>学校根据《吉首大学期中教学检查安排》，</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w w:val="97"/>
          <w:sz w:val="24"/>
          <w:szCs w:val="24"/>
        </w:rPr>
        <w:t>通过开展开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放性听评课、问卷调查、专题调研及专题座谈会等形式对全校教风、学风和教学质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量状况进行全面的评价。</w:t>
      </w:r>
    </w:p>
    <w:p>
      <w:pPr>
        <w:spacing w:before="1"/>
        <w:ind w:right="17"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（五）第</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5"/>
          <w:sz w:val="24"/>
          <w:szCs w:val="24"/>
        </w:rPr>
        <w:t>16</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5"/>
          <w:sz w:val="24"/>
          <w:szCs w:val="24"/>
        </w:rPr>
        <w:t>周至学期末，教务处组织全体学生进行学期网上评教（全面评价</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对评教数据进行统计分析，并将结果归入教师教学质量档案。</w:t>
      </w:r>
    </w:p>
    <w:p>
      <w:pPr>
        <w:spacing w:before="210" w:line="312" w:lineRule="auto"/>
        <w:ind w:right="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（六）</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3"/>
          <w:sz w:val="24"/>
          <w:szCs w:val="24"/>
        </w:rPr>
        <w:t>学期末教务处组织以考试为主要对象的教学评价，</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重点评价试卷质量，</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过考场秩序显现的教风、学风状况，最终结合考试成绩分布状况完成教学质量综合</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7"/>
          <w:sz w:val="24"/>
          <w:szCs w:val="24"/>
        </w:rPr>
        <w:t>评价。</w:t>
      </w:r>
    </w:p>
    <w:p>
      <w:pPr>
        <w:spacing w:before="6" w:line="293" w:lineRule="auto"/>
        <w:ind w:left="1" w:righ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教学督导、教学信息员、干部与同行教师应按照相关工作规程实施点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上与面上相结合，定向与随机相结合的质量监控与评价工作，并通过网络等多种途</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径向教务处及学院反馈。</w:t>
      </w:r>
    </w:p>
    <w:p>
      <w:pPr>
        <w:spacing w:before="8" w:line="278" w:lineRule="auto"/>
        <w:ind w:left="3" w:right="13"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学校鼓励学院和教师根据专业特色、所授课程性质与特点，配合教</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2"/>
          <w:sz w:val="24"/>
          <w:szCs w:val="24"/>
        </w:rPr>
        <w:t>学改革实践自主设置评价指标，自行实施质量评价，促进个性发展。</w:t>
      </w:r>
    </w:p>
    <w:p>
      <w:pPr>
        <w:spacing w:before="21" w:line="266"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9"/>
          <w:sz w:val="24"/>
          <w:szCs w:val="24"/>
        </w:rPr>
        <w:t>第十二条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9"/>
          <w:sz w:val="24"/>
          <w:szCs w:val="24"/>
        </w:rPr>
        <w:t>对于教学评价中反映出的教师教学质量问题，</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9"/>
          <w:sz w:val="24"/>
          <w:szCs w:val="24"/>
        </w:rPr>
        <w:t>相关院系应和教师本人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共同制定改进方案，在院、</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9"/>
          <w:sz w:val="24"/>
          <w:szCs w:val="24"/>
        </w:rPr>
        <w:t>系两个层面实施教学能力提升计划。对较为严重的教学质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量问题，教务处可暂停其本科教学工作，由校教师教学发展中心和相关学院共同制定</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限期整改方案，因个人原因未能按期实现整改目标者，调离本科教学工作岗位。</w:t>
      </w:r>
    </w:p>
    <w:p>
      <w:pPr>
        <w:spacing w:before="204" w:line="282" w:lineRule="auto"/>
        <w:ind w:right="4"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对于教学评价中反映出的学生学风问题，教务处及时将相关信息反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馈给学工处和相关学院，由学工处和相关学院负责实施学风改进提升计划。</w:t>
      </w:r>
    </w:p>
    <w:p>
      <w:pPr>
        <w:spacing w:before="9" w:line="282" w:lineRule="auto"/>
        <w:ind w:left="13" w:right="4" w:firstLine="47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对于教学评价中反映出的教学管理及后勤保障服务问题，教务处及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时将相关信息反馈给相关职能部门，并配合做好相关改进工作。</w:t>
      </w:r>
    </w:p>
    <w:p>
      <w:pPr>
        <w:spacing w:before="11" w:line="197" w:lineRule="auto"/>
        <w:ind w:firstLine="377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第四章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0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第十五条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本办法自发布之日起施行，由教务处负责解释。</w:t>
      </w:r>
    </w:p>
    <w:p>
      <w:pPr>
        <w:sectPr>
          <w:footerReference r:id="rId280" w:type="default"/>
          <w:pgSz w:w="11905" w:h="16840"/>
          <w:pgMar w:top="1431" w:right="1584" w:bottom="1158" w:left="1590" w:header="0" w:footer="1034" w:gutter="0"/>
          <w:cols w:space="720" w:num="1"/>
        </w:sectPr>
      </w:pPr>
    </w:p>
    <w:p>
      <w:pPr>
        <w:spacing w:before="349" w:line="180" w:lineRule="auto"/>
        <w:ind w:firstLine="261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吉首大学教学督导团章程</w:t>
      </w:r>
    </w:p>
    <w:p>
      <w:pPr>
        <w:spacing w:line="295" w:lineRule="auto"/>
        <w:rPr>
          <w:rFonts w:ascii="Malgun Gothic"/>
          <w:sz w:val="21"/>
        </w:rPr>
      </w:pPr>
    </w:p>
    <w:p>
      <w:pPr>
        <w:spacing w:before="104"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8" w:line="25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为切实保障教学质量的稳步提高和教学改革的持续发展，落实对各主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要教学环节的检查、监控与评价，加强教学组织和管理，充分发挥教学督导在学校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教学工作中的监督与指导作用，特制订本工作章程。</w:t>
      </w:r>
    </w:p>
    <w:p>
      <w:pPr>
        <w:spacing w:before="202" w:line="25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0"/>
          <w:sz w:val="24"/>
          <w:szCs w:val="24"/>
        </w:rPr>
        <w:t>第二条</w:t>
      </w:r>
      <w:r>
        <w:rPr>
          <w:rFonts w:ascii="Microsoft JhengHei" w:hAnsi="Microsoft JhengHei" w:eastAsia="Microsoft JhengHei" w:cs="Microsoft JhengHei"/>
          <w:spacing w:val="4"/>
          <w:sz w:val="24"/>
          <w:szCs w:val="24"/>
        </w:rPr>
        <w:t xml:space="preserve">    </w:t>
      </w:r>
      <w:r>
        <w:rPr>
          <w:rFonts w:ascii="方正书宋简体" w:hAnsi="方正书宋简体" w:eastAsia="方正书宋简体" w:cs="方正书宋简体"/>
          <w:spacing w:val="-10"/>
          <w:sz w:val="24"/>
          <w:szCs w:val="24"/>
        </w:rPr>
        <w:t>教学督导团的工作理念是“以人为本，</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0"/>
          <w:sz w:val="24"/>
          <w:szCs w:val="24"/>
        </w:rPr>
        <w:t>服务至上”。即以学生和教师为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本，服务于学生成才的需要，服务于教师提高教学水平与教学质量的需要，服务于</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学校改进教学管理工作的需要。</w:t>
      </w:r>
    </w:p>
    <w:p>
      <w:pPr>
        <w:spacing w:before="207" w:line="265"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教学督导团是在学校行政领导下，配合教务处等职能部门开展教学督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导工作，代表学校对全校学历学位教育教学工作进行监督、检查、调研、评估和指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导。保证党和国家教育方针、政策和学校有关决定、决议的贯彻执行，促进人才培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养目标的实现。</w:t>
      </w:r>
    </w:p>
    <w:p>
      <w:pPr>
        <w:spacing w:before="206" w:line="180" w:lineRule="auto"/>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组织机构</w:t>
      </w:r>
    </w:p>
    <w:p>
      <w:pPr>
        <w:spacing w:before="136" w:line="266"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第四条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 xml:space="preserve">教学督导团实行校、院两级督导制度。校级督导团由学校分管教学工 </w:t>
      </w:r>
      <w:r>
        <w:rPr>
          <w:rFonts w:ascii="方正书宋简体" w:hAnsi="方正书宋简体" w:eastAsia="方正书宋简体" w:cs="方正书宋简体"/>
          <w:spacing w:val="-2"/>
          <w:sz w:val="24"/>
          <w:szCs w:val="24"/>
        </w:rPr>
        <w:t>作的副校长领导，设团长</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名，副团长</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2"/>
          <w:sz w:val="24"/>
          <w:szCs w:val="24"/>
        </w:rPr>
        <w:t>1-2</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名，其日常工作由教务处负责组织、联</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系与协调。除校级督导团外，学院设立教学督导组，由学院直接领导，配合校级督</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导团，结合本学院教学实际开展工作。</w:t>
      </w:r>
    </w:p>
    <w:p>
      <w:pPr>
        <w:spacing w:before="205" w:line="294" w:lineRule="auto"/>
        <w:ind w:left="4" w:firstLine="484"/>
        <w:rPr>
          <w:rFonts w:ascii="方正书宋简体" w:hAnsi="方正书宋简体" w:eastAsia="方正书宋简体" w:cs="方正书宋简体"/>
          <w:sz w:val="24"/>
          <w:szCs w:val="24"/>
        </w:rPr>
      </w:pPr>
      <w:r>
        <w:rPr>
          <w:rFonts w:ascii="Microsoft JhengHei" w:hAnsi="Microsoft JhengHei" w:eastAsia="Microsoft JhengHei" w:cs="Microsoft JhengHei"/>
          <w:sz w:val="24"/>
          <w:szCs w:val="24"/>
        </w:rPr>
        <w:t>第五条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z w:val="24"/>
          <w:szCs w:val="24"/>
        </w:rPr>
        <w:t>教学督导团成员实行聘任制。其程序为：由学院提名，教务处遴选，</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经学校分管教学工作的校领导审定后聘任。每届任期两年，可连聘连任。聘期内如</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因故确不能履行职责者可中途终止聘任。</w:t>
      </w:r>
    </w:p>
    <w:p>
      <w:pPr>
        <w:spacing w:before="4" w:line="289" w:lineRule="auto"/>
        <w:ind w:left="1"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教学督导团成员中，校内在职在岗的专家主要从学院高级职称教师中</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产生；离退休专家由教务处从学校离退休专家库中遴选。教学督导团成员同时应具</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备以下基本条件：</w:t>
      </w:r>
    </w:p>
    <w:p>
      <w:pPr>
        <w:spacing w:before="32" w:line="315" w:lineRule="auto"/>
        <w:ind w:left="1" w:right="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1、长期从事理论或实践教学工作，</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2"/>
          <w:sz w:val="24"/>
          <w:szCs w:val="24"/>
        </w:rPr>
        <w:t>热爱教育事业，</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sz w:val="24"/>
          <w:szCs w:val="24"/>
        </w:rPr>
        <w:t>自愿为学校的人才培养工作</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9"/>
          <w:sz w:val="24"/>
          <w:szCs w:val="24"/>
        </w:rPr>
        <w:t>做贡献；</w:t>
      </w:r>
    </w:p>
    <w:p>
      <w:pPr>
        <w:spacing w:before="1" w:line="315" w:lineRule="auto"/>
        <w:ind w:left="2" w:right="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2、熟悉国家、省以及学校有关教育教学的政策法规，</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熟悉现代教育技术手段的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运用，有较高的政策水平和丰富的教学或教学管理经验；</w:t>
      </w:r>
    </w:p>
    <w:p>
      <w:pPr>
        <w:spacing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3、在教师中有较高的威信，敢于坚持原则，公正处事，有务实创新精神；</w:t>
      </w:r>
    </w:p>
    <w:p>
      <w:pPr>
        <w:spacing w:before="161"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4、身体状况良好，精力充沛，有工作时间保证。</w:t>
      </w:r>
    </w:p>
    <w:p>
      <w:pPr>
        <w:sectPr>
          <w:footerReference r:id="rId281" w:type="default"/>
          <w:pgSz w:w="11905" w:h="16840"/>
          <w:pgMar w:top="1431" w:right="1585" w:bottom="1158" w:left="1590" w:header="0" w:footer="1034" w:gutter="0"/>
          <w:cols w:space="720" w:num="1"/>
        </w:sectPr>
      </w:pPr>
    </w:p>
    <w:p>
      <w:pPr>
        <w:spacing w:before="414" w:line="450" w:lineRule="exact"/>
        <w:ind w:firstLine="3413"/>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position w:val="12"/>
          <w:sz w:val="24"/>
          <w:szCs w:val="24"/>
        </w:rPr>
        <w:t>第三章</w:t>
      </w:r>
      <w:r>
        <w:rPr>
          <w:rFonts w:ascii="Microsoft JhengHei" w:hAnsi="Microsoft JhengHei" w:eastAsia="Microsoft JhengHei" w:cs="Microsoft JhengHei"/>
          <w:spacing w:val="4"/>
          <w:w w:val="101"/>
          <w:position w:val="12"/>
          <w:sz w:val="24"/>
          <w:szCs w:val="24"/>
        </w:rPr>
        <w:t xml:space="preserve">    </w:t>
      </w:r>
      <w:r>
        <w:rPr>
          <w:rFonts w:ascii="Microsoft JhengHei" w:hAnsi="Microsoft JhengHei" w:eastAsia="Microsoft JhengHei" w:cs="Microsoft JhengHei"/>
          <w:spacing w:val="-4"/>
          <w:position w:val="12"/>
          <w:sz w:val="24"/>
          <w:szCs w:val="24"/>
        </w:rPr>
        <w:t>工作职责</w:t>
      </w:r>
    </w:p>
    <w:p>
      <w:pPr>
        <w:spacing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第七条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4"/>
          <w:sz w:val="24"/>
          <w:szCs w:val="24"/>
        </w:rPr>
        <w:t>教学督导团的工作职责如下：</w:t>
      </w:r>
    </w:p>
    <w:p>
      <w:pPr>
        <w:spacing w:before="111" w:line="314" w:lineRule="auto"/>
        <w:ind w:right="96"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1、承担学校教学工作主要环节的督导，</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包括听课评课、对教师的教案及课件制</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作、作业批改、毕业论文（设计）、试卷评阅等工作的检查指导。</w:t>
      </w:r>
    </w:p>
    <w:p>
      <w:pPr>
        <w:spacing w:before="1" w:line="316" w:lineRule="auto"/>
        <w:ind w:left="10" w:right="96"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2、深入课堂听课，</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了解教师备课、讲课和学生听课情况，</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专家每学期听课不少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于</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25</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学时，应有详细听课、评课记录，发现问题及时向授课教师提出。</w:t>
      </w:r>
    </w:p>
    <w:p>
      <w:pPr>
        <w:spacing w:line="204"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3、配合教务处进行新学期开学常规检查、期中教学检查和实验实践教学检查工作。</w:t>
      </w:r>
    </w:p>
    <w:p>
      <w:pPr>
        <w:spacing w:before="151" w:line="275" w:lineRule="auto"/>
        <w:ind w:left="1" w:right="95"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4、参与审定各学院专业与学科建设规划</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z w:val="24"/>
          <w:szCs w:val="24"/>
        </w:rPr>
        <w:t>，指导专业教学文档建设；参与校级</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理论与实验教学改革项目、教学成果奖、教学能手、优质课程、教学先进个人与集</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体的评审；在教学名师遴选工作中，向学校教学指导委员会提出初评意见。</w:t>
      </w:r>
    </w:p>
    <w:p>
      <w:pPr>
        <w:spacing w:before="175"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5、负责推荐优质课程；负责对不能胜任教学工作的教师提出处理意见。</w:t>
      </w:r>
    </w:p>
    <w:p>
      <w:pPr>
        <w:spacing w:before="180" w:line="315" w:lineRule="auto"/>
        <w:ind w:left="2"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6、负责监督教学人员的工作作风、学生学风和考风，</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指导考务管理工作，</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监督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考试组织和实施的全过程。</w:t>
      </w:r>
    </w:p>
    <w:p>
      <w:pPr>
        <w:spacing w:line="315" w:lineRule="auto"/>
        <w:ind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7、负责收集教学工作中师生意见，</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及时反馈教务处，</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并针对有关意见提出整改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措施。</w:t>
      </w:r>
    </w:p>
    <w:p>
      <w:pPr>
        <w:spacing w:before="2" w:line="202"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8、每学期期末各督导小组向写出联系学院教学情况分析报告。</w:t>
      </w:r>
    </w:p>
    <w:p>
      <w:pPr>
        <w:spacing w:before="161" w:line="238" w:lineRule="auto"/>
        <w:ind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9、院级督导组每学期向教务处提交学期工作计划与工作总结，</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督导组成员每学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期听课</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10</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7"/>
          <w:sz w:val="24"/>
          <w:szCs w:val="24"/>
        </w:rPr>
        <w:t>节以上。</w:t>
      </w:r>
    </w:p>
    <w:p>
      <w:pPr>
        <w:spacing w:before="207" w:line="450" w:lineRule="exact"/>
        <w:ind w:firstLine="3293"/>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第四章</w:t>
      </w:r>
      <w:r>
        <w:rPr>
          <w:rFonts w:ascii="Microsoft JhengHei" w:hAnsi="Microsoft JhengHei" w:eastAsia="Microsoft JhengHei" w:cs="Microsoft JhengHei"/>
          <w:spacing w:val="3"/>
          <w:position w:val="12"/>
          <w:sz w:val="24"/>
          <w:szCs w:val="24"/>
        </w:rPr>
        <w:t xml:space="preserve">    </w:t>
      </w:r>
      <w:r>
        <w:rPr>
          <w:rFonts w:ascii="Microsoft JhengHei" w:hAnsi="Microsoft JhengHei" w:eastAsia="Microsoft JhengHei" w:cs="Microsoft JhengHei"/>
          <w:spacing w:val="-3"/>
          <w:position w:val="12"/>
          <w:sz w:val="24"/>
          <w:szCs w:val="24"/>
        </w:rPr>
        <w:t>权利和义务</w:t>
      </w:r>
    </w:p>
    <w:p>
      <w:pPr>
        <w:spacing w:before="1" w:line="204"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第八条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5"/>
          <w:sz w:val="24"/>
          <w:szCs w:val="24"/>
        </w:rPr>
        <w:t>教学督导团的权利：</w:t>
      </w:r>
    </w:p>
    <w:p>
      <w:pPr>
        <w:spacing w:before="111" w:line="238" w:lineRule="auto"/>
        <w:ind w:right="96"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1、享有知晓、查阅党和国家及上级教育主管部门有关高等教育的方针、政策以</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及学校有关教育教学的文件的权利。</w:t>
      </w:r>
    </w:p>
    <w:p>
      <w:pPr>
        <w:spacing w:before="216" w:line="303" w:lineRule="auto"/>
        <w:ind w:right="97"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2、享有要求被督导单位或个人提供与督导事宜有关的文件及相关材料，</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并汇报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情况的权利。</w:t>
      </w:r>
    </w:p>
    <w:p>
      <w:pPr>
        <w:spacing w:before="41" w:line="267" w:lineRule="auto"/>
        <w:ind w:left="480" w:right="1055" w:firstLine="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3、列席学校相关教学工作会议的权利。</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4、向学校提出对教师及教学管理人员奖惩建议的权利。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5、根据工作需要，适当到校外有关单位参观学习或经验交流的权利。</w:t>
      </w:r>
      <w:r>
        <w:rPr>
          <w:rFonts w:ascii="方正书宋简体" w:hAnsi="方正书宋简体" w:eastAsia="方正书宋简体" w:cs="方正书宋简体"/>
          <w:sz w:val="24"/>
          <w:szCs w:val="24"/>
        </w:rPr>
        <w:t xml:space="preserve"> </w:t>
      </w:r>
      <w:r>
        <w:rPr>
          <w:rFonts w:ascii="Microsoft JhengHei" w:hAnsi="Microsoft JhengHei" w:eastAsia="Microsoft JhengHei" w:cs="Microsoft JhengHei"/>
          <w:spacing w:val="-4"/>
          <w:sz w:val="24"/>
          <w:szCs w:val="24"/>
        </w:rPr>
        <w:t>第九条</w:t>
      </w:r>
      <w:r>
        <w:rPr>
          <w:rFonts w:ascii="Microsoft JhengHei" w:hAnsi="Microsoft JhengHei" w:eastAsia="Microsoft JhengHei" w:cs="Microsoft JhengHei"/>
          <w:spacing w:val="1"/>
          <w:w w:val="101"/>
          <w:sz w:val="24"/>
          <w:szCs w:val="24"/>
        </w:rPr>
        <w:t xml:space="preserve">    </w:t>
      </w:r>
      <w:r>
        <w:rPr>
          <w:rFonts w:ascii="方正书宋简体" w:hAnsi="方正书宋简体" w:eastAsia="方正书宋简体" w:cs="方正书宋简体"/>
          <w:spacing w:val="-4"/>
          <w:sz w:val="24"/>
          <w:szCs w:val="24"/>
        </w:rPr>
        <w:t>教学督导团的义务：</w:t>
      </w:r>
    </w:p>
    <w:p>
      <w:pPr>
        <w:spacing w:before="194"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8"/>
          <w:sz w:val="24"/>
          <w:szCs w:val="24"/>
        </w:rPr>
        <w:t>1、根据学校年度教学工作计划拟定督导团的年度工作计划，</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11"/>
          <w:w w:val="98"/>
          <w:sz w:val="24"/>
          <w:szCs w:val="24"/>
        </w:rPr>
        <w:t>每学期进行工作小结。</w:t>
      </w:r>
    </w:p>
    <w:p>
      <w:pPr>
        <w:spacing w:before="191"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2、督导团成员对参与的各项工作进行总结，</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对好的典型、存在的问题和困难及</w:t>
      </w:r>
    </w:p>
    <w:p>
      <w:pPr>
        <w:sectPr>
          <w:footerReference r:id="rId282" w:type="default"/>
          <w:pgSz w:w="11905" w:h="16840"/>
          <w:pgMar w:top="1431" w:right="1490" w:bottom="1158" w:left="1590" w:header="0" w:footer="1034" w:gutter="0"/>
          <w:cols w:space="720" w:num="1"/>
        </w:sectPr>
      </w:pPr>
    </w:p>
    <w:p>
      <w:pPr>
        <w:spacing w:before="425" w:line="180" w:lineRule="auto"/>
        <w:ind w:firstLine="1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时提出宣传或改进的工作建议。不定期与学院和有关职能部门进行沟通与交流。</w:t>
      </w:r>
    </w:p>
    <w:p>
      <w:pPr>
        <w:spacing w:before="196"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3、完成学校规定的听评课任务。</w:t>
      </w:r>
    </w:p>
    <w:p>
      <w:pPr>
        <w:spacing w:before="179" w:line="450" w:lineRule="exact"/>
        <w:ind w:firstLine="3051"/>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position w:val="12"/>
          <w:sz w:val="24"/>
          <w:szCs w:val="24"/>
        </w:rPr>
        <w:t>第五章</w:t>
      </w:r>
      <w:r>
        <w:rPr>
          <w:rFonts w:ascii="Microsoft JhengHei" w:hAnsi="Microsoft JhengHei" w:eastAsia="Microsoft JhengHei" w:cs="Microsoft JhengHei"/>
          <w:spacing w:val="4"/>
          <w:w w:val="101"/>
          <w:position w:val="12"/>
          <w:sz w:val="24"/>
          <w:szCs w:val="24"/>
        </w:rPr>
        <w:t xml:space="preserve">    </w:t>
      </w:r>
      <w:r>
        <w:rPr>
          <w:rFonts w:ascii="Microsoft JhengHei" w:hAnsi="Microsoft JhengHei" w:eastAsia="Microsoft JhengHei" w:cs="Microsoft JhengHei"/>
          <w:spacing w:val="-3"/>
          <w:position w:val="12"/>
          <w:sz w:val="24"/>
          <w:szCs w:val="24"/>
        </w:rPr>
        <w:t>考核办法及待遇</w:t>
      </w:r>
    </w:p>
    <w:p>
      <w:pPr>
        <w:spacing w:line="204"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5"/>
          <w:sz w:val="24"/>
          <w:szCs w:val="24"/>
        </w:rPr>
        <w:t xml:space="preserve">    </w:t>
      </w:r>
      <w:r>
        <w:rPr>
          <w:rFonts w:ascii="方正书宋简体" w:hAnsi="方正书宋简体" w:eastAsia="方正书宋简体" w:cs="方正书宋简体"/>
          <w:spacing w:val="-2"/>
          <w:sz w:val="24"/>
          <w:szCs w:val="24"/>
        </w:rPr>
        <w:t>教学督导团的考核办法及待遇</w:t>
      </w:r>
    </w:p>
    <w:p>
      <w:pPr>
        <w:spacing w:before="110" w:line="314" w:lineRule="auto"/>
        <w:ind w:left="1" w:right="129"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1、教学督导团每届任期两年，</w:t>
      </w:r>
      <w:r>
        <w:rPr>
          <w:rFonts w:ascii="方正书宋简体" w:hAnsi="方正书宋简体" w:eastAsia="方正书宋简体" w:cs="方正书宋简体"/>
          <w:spacing w:val="55"/>
          <w:sz w:val="24"/>
          <w:szCs w:val="24"/>
        </w:rPr>
        <w:t xml:space="preserve">  </w:t>
      </w:r>
      <w:r>
        <w:rPr>
          <w:rFonts w:ascii="方正书宋简体" w:hAnsi="方正书宋简体" w:eastAsia="方正书宋简体" w:cs="方正书宋简体"/>
          <w:spacing w:val="-11"/>
          <w:w w:val="97"/>
          <w:sz w:val="24"/>
          <w:szCs w:val="24"/>
        </w:rPr>
        <w:t>每学年定期向学校教务处述职，</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7"/>
          <w:sz w:val="24"/>
          <w:szCs w:val="24"/>
        </w:rPr>
        <w:t>任期满后，</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7"/>
          <w:sz w:val="24"/>
          <w:szCs w:val="24"/>
        </w:rPr>
        <w:t>由学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校教务处提出续聘或解聘建议。</w:t>
      </w:r>
    </w:p>
    <w:p>
      <w:pPr>
        <w:spacing w:before="3" w:line="201"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2、教务处负责组织对校内教学督导团专家进行考核。</w:t>
      </w:r>
    </w:p>
    <w:p>
      <w:pPr>
        <w:spacing w:before="162" w:line="315" w:lineRule="auto"/>
        <w:ind w:right="12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3、考核的主要依据是听课记录、评课记录、专项工作会议记录及联系学院的情</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6"/>
          <w:sz w:val="24"/>
          <w:szCs w:val="24"/>
        </w:rPr>
        <w:t>况反映等。</w:t>
      </w:r>
    </w:p>
    <w:p>
      <w:pPr>
        <w:spacing w:before="2" w:line="313" w:lineRule="auto"/>
        <w:ind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4、待遇实行按劳分配。校级督导团成员圆满完成学校规定的听课、评课和院（部）</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教学情况分析报告及其他工作任务的，学校每年发给每个督导团成员相应的劳务报</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酬；未完成工作任务时，根据实际工作量发放劳务津贴。院级督导组圆满完成工作</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任务的，学校每年给院级督导组提供工作经费。</w:t>
      </w:r>
    </w:p>
    <w:p>
      <w:pPr>
        <w:spacing w:line="202" w:lineRule="auto"/>
        <w:ind w:firstLine="3771"/>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第六章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01"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第十一条</w:t>
      </w:r>
      <w:r>
        <w:rPr>
          <w:rFonts w:ascii="Microsoft JhengHei" w:hAnsi="Microsoft JhengHei" w:eastAsia="Microsoft JhengHei" w:cs="Microsoft JhengHei"/>
          <w:spacing w:val="2"/>
          <w:w w:val="101"/>
          <w:sz w:val="24"/>
          <w:szCs w:val="24"/>
        </w:rPr>
        <w:t xml:space="preserve">    </w:t>
      </w:r>
      <w:r>
        <w:rPr>
          <w:rFonts w:ascii="方正书宋简体" w:hAnsi="方正书宋简体" w:eastAsia="方正书宋简体" w:cs="方正书宋简体"/>
          <w:spacing w:val="-2"/>
          <w:sz w:val="24"/>
          <w:szCs w:val="24"/>
        </w:rPr>
        <w:t>本章程自公布之日起执行，由教务处负责解释。</w:t>
      </w:r>
    </w:p>
    <w:p>
      <w:pPr>
        <w:sectPr>
          <w:footerReference r:id="rId283" w:type="default"/>
          <w:pgSz w:w="11905" w:h="16840"/>
          <w:pgMar w:top="1431" w:right="1457" w:bottom="1158" w:left="1592" w:header="0" w:footer="1034" w:gutter="0"/>
          <w:cols w:space="720" w:num="1"/>
        </w:sectPr>
      </w:pPr>
    </w:p>
    <w:p>
      <w:pPr>
        <w:spacing w:before="357" w:line="180" w:lineRule="auto"/>
        <w:ind w:firstLine="197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吉首大学领导干部、教师听课制度</w:t>
      </w:r>
    </w:p>
    <w:p>
      <w:pPr>
        <w:spacing w:before="120" w:line="184" w:lineRule="auto"/>
        <w:ind w:firstLine="3433"/>
        <w:rPr>
          <w:rFonts w:ascii="楷体" w:hAnsi="楷体" w:eastAsia="楷体" w:cs="楷体"/>
          <w:sz w:val="24"/>
          <w:szCs w:val="24"/>
        </w:rPr>
      </w:pPr>
      <w:r>
        <w:rPr>
          <w:rFonts w:ascii="楷体" w:hAnsi="楷体" w:eastAsia="楷体" w:cs="楷体"/>
          <w:spacing w:val="-4"/>
          <w:sz w:val="24"/>
          <w:szCs w:val="24"/>
        </w:rPr>
        <w:t>（2014</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96" w:lineRule="auto"/>
        <w:rPr>
          <w:rFonts w:ascii="Malgun Gothic"/>
          <w:sz w:val="21"/>
        </w:rPr>
      </w:pPr>
    </w:p>
    <w:p>
      <w:pPr>
        <w:spacing w:before="85" w:line="317" w:lineRule="auto"/>
        <w:ind w:left="3"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为强化教学工作中心地位，加强教学过程质量管理，促进教师之间相互沟通与</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交流；促进各级管理人员深入课堂了解教学情况，掌握教学动态，发现并解决教学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中存在的问题，进一步提高教学质量，特制定本听课制度。</w:t>
      </w:r>
    </w:p>
    <w:p>
      <w:pPr>
        <w:spacing w:before="8" w:line="197"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一、听课目的</w:t>
      </w:r>
    </w:p>
    <w:p>
      <w:pPr>
        <w:spacing w:before="133" w:line="269" w:lineRule="auto"/>
        <w:ind w:left="3"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1、课堂教学是教学活动的中心环节，</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11"/>
          <w:sz w:val="24"/>
          <w:szCs w:val="24"/>
        </w:rPr>
        <w:t>广大教师相互听课、评课，</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有利于研究改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革教学内容、教学方法与教学策略，推广教学经验，增进了解，取长补短，提高教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学艺术和教学水平。</w:t>
      </w:r>
    </w:p>
    <w:p>
      <w:pPr>
        <w:spacing w:before="227" w:line="243" w:lineRule="auto"/>
        <w:ind w:right="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2、有利于领导和管理人员了解学校教学环境、教学条件、教风、学风、课程建</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设、师资队伍建设等现状，进行调查研究并提出整改措施。</w:t>
      </w:r>
    </w:p>
    <w:p>
      <w:pPr>
        <w:spacing w:before="227"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3、有利于密切管理人员与教师、学生之间的联系，听取意见及要求。</w:t>
      </w:r>
    </w:p>
    <w:p>
      <w:pPr>
        <w:spacing w:before="202" w:line="243" w:lineRule="auto"/>
        <w:ind w:left="3" w:right="14"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4、有利于配合教师教学考核与评价工作，实现教师同行评教、领导专家评教，</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3"/>
          <w:sz w:val="24"/>
          <w:szCs w:val="24"/>
        </w:rPr>
        <w:t>进一步完善教学质量评价体系。</w:t>
      </w:r>
    </w:p>
    <w:p>
      <w:pPr>
        <w:spacing w:before="215"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二、听课人员</w:t>
      </w:r>
    </w:p>
    <w:p>
      <w:pPr>
        <w:spacing w:before="160"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1、全体任课教师</w:t>
      </w:r>
    </w:p>
    <w:p>
      <w:pPr>
        <w:spacing w:before="207"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2、学校党政领导</w:t>
      </w:r>
    </w:p>
    <w:p>
      <w:pPr>
        <w:spacing w:before="202" w:line="242" w:lineRule="auto"/>
        <w:ind w:left="6" w:right="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3、教务处和各学院党政领导、教学管理人员（系主任、教研室主任、实验室（中</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z w:val="24"/>
          <w:szCs w:val="24"/>
        </w:rPr>
        <w:t>心）主任、教学秘书）</w:t>
      </w:r>
    </w:p>
    <w:p>
      <w:pPr>
        <w:spacing w:before="228"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4、其他职能部门处级领导干部</w:t>
      </w:r>
    </w:p>
    <w:p>
      <w:pPr>
        <w:spacing w:before="191" w:line="180"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三、听课任务</w:t>
      </w:r>
    </w:p>
    <w:p>
      <w:pPr>
        <w:spacing w:before="162"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1、任课教师每人每学期听课不少于</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学时。</w:t>
      </w:r>
    </w:p>
    <w:p>
      <w:pPr>
        <w:spacing w:before="201" w:line="323" w:lineRule="auto"/>
        <w:ind w:left="4" w:righ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2、学校党政领导每人每学期听课不少于</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4</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6"/>
          <w:sz w:val="24"/>
          <w:szCs w:val="24"/>
        </w:rPr>
        <w:t>学时，</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6"/>
          <w:sz w:val="24"/>
          <w:szCs w:val="24"/>
        </w:rPr>
        <w:t>其中分管教学与学生工作的校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领导每人每学期听课不少于</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3"/>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学时。</w:t>
      </w:r>
    </w:p>
    <w:p>
      <w:pPr>
        <w:spacing w:line="322" w:lineRule="auto"/>
        <w:ind w:left="1" w:right="1"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3、各学院党政领导、教研室（实验室）</w:t>
      </w:r>
      <w:r>
        <w:rPr>
          <w:rFonts w:ascii="方正书宋简体" w:hAnsi="方正书宋简体" w:eastAsia="方正书宋简体" w:cs="方正书宋简体"/>
          <w:spacing w:val="67"/>
          <w:w w:val="101"/>
          <w:sz w:val="24"/>
          <w:szCs w:val="24"/>
        </w:rPr>
        <w:t xml:space="preserve"> </w:t>
      </w:r>
      <w:r>
        <w:rPr>
          <w:rFonts w:ascii="方正书宋简体" w:hAnsi="方正书宋简体" w:eastAsia="方正书宋简体" w:cs="方正书宋简体"/>
          <w:spacing w:val="-8"/>
          <w:sz w:val="24"/>
          <w:szCs w:val="24"/>
        </w:rPr>
        <w:t>正（副）</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8"/>
          <w:sz w:val="24"/>
          <w:szCs w:val="24"/>
        </w:rPr>
        <w:t>主任及教学管理人员每人每学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期听课不少于</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4"/>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学时。</w:t>
      </w:r>
    </w:p>
    <w:p>
      <w:pPr>
        <w:spacing w:before="2" w:line="202"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4、教务处领导及教学管理人员每人每学期听课不少于</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6</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学时。</w:t>
      </w:r>
    </w:p>
    <w:p>
      <w:pPr>
        <w:spacing w:before="170"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5、其它相关职能部门处级领导每人每学期听课不少于</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学时。</w:t>
      </w:r>
    </w:p>
    <w:p>
      <w:pPr>
        <w:sectPr>
          <w:footerReference r:id="rId284" w:type="default"/>
          <w:pgSz w:w="11905" w:h="16840"/>
          <w:pgMar w:top="1431" w:right="1585" w:bottom="1158" w:left="1588" w:header="0" w:footer="1035" w:gutter="0"/>
          <w:cols w:space="720" w:num="1"/>
        </w:sectPr>
      </w:pPr>
    </w:p>
    <w:p>
      <w:pPr>
        <w:spacing w:before="414" w:line="180" w:lineRule="auto"/>
        <w:ind w:firstLine="50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四、听课范围与听课方式</w:t>
      </w:r>
    </w:p>
    <w:p>
      <w:pPr>
        <w:spacing w:before="150" w:line="315" w:lineRule="auto"/>
        <w:ind w:left="7"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（一）听课范围是全校全日制本、专科所开设的所有课程，</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9"/>
          <w:sz w:val="24"/>
          <w:szCs w:val="24"/>
        </w:rPr>
        <w:t>包括理论课、实验课、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素质通识选修课。</w:t>
      </w:r>
    </w:p>
    <w:p>
      <w:pPr>
        <w:spacing w:before="6" w:line="199"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（二）听课方式</w:t>
      </w:r>
    </w:p>
    <w:p>
      <w:pPr>
        <w:spacing w:before="161" w:line="315" w:lineRule="auto"/>
        <w:ind w:left="16" w:right="98"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1、以随机听课方式为主，</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任课教师和管理人员可以事先不打招呼随机进入教室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听课。</w:t>
      </w:r>
    </w:p>
    <w:p>
      <w:pPr>
        <w:spacing w:before="2" w:line="201"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2、以有组织集中听课为辅。主要有以下几种类型：</w:t>
      </w:r>
    </w:p>
    <w:p>
      <w:pPr>
        <w:spacing w:before="160" w:line="316" w:lineRule="auto"/>
        <w:ind w:left="6" w:right="98"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（1）竞赛性听课：根据教学工作需要组织开展的教学竞赛课，相关教研室的老</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师都可以去听课，其他人员也可以去听课。</w:t>
      </w:r>
    </w:p>
    <w:p>
      <w:pPr>
        <w:spacing w:before="2" w:line="309" w:lineRule="auto"/>
        <w:ind w:left="3" w:right="98"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（2）教研性听课：根据教学改革与研究工作的需要由教研室（实验室）等组织</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5"/>
          <w:sz w:val="24"/>
          <w:szCs w:val="24"/>
        </w:rPr>
        <w:t>安排的听课。</w:t>
      </w:r>
    </w:p>
    <w:p>
      <w:pPr>
        <w:spacing w:before="3" w:line="201"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（3）检查性听课：配合各类教学检查安排的听课。</w:t>
      </w:r>
    </w:p>
    <w:p>
      <w:pPr>
        <w:spacing w:before="164"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（4）评估性听课：根据教师教学质量考核等要求安排的听课。</w:t>
      </w:r>
    </w:p>
    <w:p>
      <w:pPr>
        <w:spacing w:before="193"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五、听课要求</w:t>
      </w:r>
    </w:p>
    <w:p>
      <w:pPr>
        <w:spacing w:before="152" w:line="180"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1、每次听课至少应坚持听完</w:t>
      </w:r>
      <w:r>
        <w:rPr>
          <w:rFonts w:ascii="方正书宋简体" w:hAnsi="方正书宋简体" w:eastAsia="方正书宋简体" w:cs="方正书宋简体"/>
          <w:spacing w:val="39"/>
          <w:w w:val="101"/>
          <w:sz w:val="24"/>
          <w:szCs w:val="24"/>
        </w:rPr>
        <w:t xml:space="preserve"> </w:t>
      </w:r>
      <w:r>
        <w:rPr>
          <w:rFonts w:ascii="方正书宋简体" w:hAnsi="方正书宋简体" w:eastAsia="方正书宋简体" w:cs="方正书宋简体"/>
          <w:spacing w:val="-4"/>
          <w:sz w:val="24"/>
          <w:szCs w:val="24"/>
        </w:rPr>
        <w:t>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4"/>
          <w:sz w:val="24"/>
          <w:szCs w:val="24"/>
        </w:rPr>
        <w:t>学时，不得中途离开。</w:t>
      </w:r>
    </w:p>
    <w:p>
      <w:pPr>
        <w:spacing w:before="195" w:line="315" w:lineRule="auto"/>
        <w:ind w:right="96"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2、听课时，</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应认真填写《吉首大学听课记录本》和《吉首大学教师课堂教学评</w:t>
      </w:r>
      <w:r>
        <w:rPr>
          <w:rFonts w:ascii="方正书宋简体" w:hAnsi="方正书宋简体" w:eastAsia="方正书宋简体" w:cs="方正书宋简体"/>
          <w:sz w:val="24"/>
          <w:szCs w:val="24"/>
        </w:rPr>
        <w:t xml:space="preserve"> 估表（教师/专家用）》。听课后，应写出评价意见并打分，并及时与授课教师交换</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意见，帮助教师提高教学质量。</w:t>
      </w:r>
    </w:p>
    <w:p>
      <w:pPr>
        <w:spacing w:before="1" w:line="201"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3、有组织的集中听课，应及时组织评课交流活动。</w:t>
      </w:r>
    </w:p>
    <w:p>
      <w:pPr>
        <w:spacing w:before="163" w:line="239" w:lineRule="auto"/>
        <w:ind w:left="3" w:right="92"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4、学校领导及管理人员在听课中，应尽可能与师生交换意见，发现教学设施、</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教风、学风等方面的问题，应及时与有关部门沟通，并协助解决。</w:t>
      </w:r>
    </w:p>
    <w:p>
      <w:pPr>
        <w:spacing w:before="204"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六、听课管理与考核</w:t>
      </w:r>
    </w:p>
    <w:p>
      <w:pPr>
        <w:spacing w:before="153" w:line="180"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1、听课管理</w:t>
      </w:r>
    </w:p>
    <w:p>
      <w:pPr>
        <w:spacing w:before="190" w:line="314" w:lineRule="auto"/>
        <w:ind w:right="95"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每学期初，各学院及相关单位到教务处领取《吉首大学听课记录本》并发放到</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z w:val="24"/>
          <w:szCs w:val="24"/>
        </w:rPr>
        <w:t>个人。教务处将《学期课程安排表》、《吉首大学教师课堂教学评估表（教师/专家</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2"/>
          <w:sz w:val="24"/>
          <w:szCs w:val="24"/>
        </w:rPr>
        <w:t>用）》发布在校园网教务处主页供查询和下载使用。</w:t>
      </w:r>
    </w:p>
    <w:p>
      <w:pPr>
        <w:spacing w:before="8" w:line="315" w:lineRule="auto"/>
        <w:ind w:left="2" w:right="9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每学期学校党政领导、职能部门听课人的听课记录表和评价表由各部门收齐后</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交送教务处。教务处对听课情况进行认真总结、全面分析，并以教学简报的形式对</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3"/>
          <w:sz w:val="24"/>
          <w:szCs w:val="24"/>
        </w:rPr>
        <w:t>听课情况进行通报和反馈。</w:t>
      </w:r>
    </w:p>
    <w:p>
      <w:pPr>
        <w:spacing w:before="4" w:line="20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2、听课考核</w:t>
      </w:r>
    </w:p>
    <w:p>
      <w:pPr>
        <w:sectPr>
          <w:footerReference r:id="rId285" w:type="default"/>
          <w:pgSz w:w="11905" w:h="16840"/>
          <w:pgMar w:top="1431" w:right="1489" w:bottom="1158" w:left="1589" w:header="0" w:footer="1035" w:gutter="0"/>
          <w:cols w:space="720" w:num="1"/>
        </w:sectPr>
      </w:pPr>
    </w:p>
    <w:p>
      <w:pPr>
        <w:spacing w:before="430"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（1）学院考核</w:t>
      </w:r>
    </w:p>
    <w:p>
      <w:pPr>
        <w:spacing w:before="193" w:line="315"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教师听课、评课情况纳入年终教学考核范围。</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每学期末，教师将听课记录本交</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学院检查并登记，未完成最低听课任务的，视作未完成教学任务。无特殊原因，不</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按规定完成听课、评课任务的，期末要酌情扣除工作量并通报批评。</w:t>
      </w:r>
    </w:p>
    <w:p>
      <w:pPr>
        <w:spacing w:line="202"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（2）学校抽查</w:t>
      </w:r>
    </w:p>
    <w:p>
      <w:pPr>
        <w:spacing w:before="161" w:line="239" w:lineRule="auto"/>
        <w:ind w:right="4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教务处将在年终学院教学管理工作考核时，随机抽查教师的听课、评课记录，</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2"/>
          <w:sz w:val="24"/>
          <w:szCs w:val="24"/>
        </w:rPr>
        <w:t>对于没有完成听课任务的，将适当扣分，并公布检查结果。</w:t>
      </w:r>
    </w:p>
    <w:p>
      <w:pPr>
        <w:spacing w:before="204" w:line="180" w:lineRule="auto"/>
        <w:ind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七、</w:t>
      </w:r>
      <w:r>
        <w:rPr>
          <w:rFonts w:ascii="Microsoft JhengHei" w:hAnsi="Microsoft JhengHei" w:eastAsia="Microsoft JhengHei" w:cs="Microsoft JhengHei"/>
          <w:spacing w:val="8"/>
          <w:w w:val="101"/>
          <w:sz w:val="24"/>
          <w:szCs w:val="24"/>
        </w:rPr>
        <w:t xml:space="preserve">  </w:t>
      </w:r>
      <w:r>
        <w:rPr>
          <w:rFonts w:ascii="方正书宋简体" w:hAnsi="方正书宋简体" w:eastAsia="方正书宋简体" w:cs="方正书宋简体"/>
          <w:spacing w:val="-7"/>
          <w:sz w:val="24"/>
          <w:szCs w:val="24"/>
        </w:rPr>
        <w:t>本办法自公布之日起开始施行，由教务处负责解释。</w:t>
      </w:r>
    </w:p>
    <w:p>
      <w:pPr>
        <w:spacing w:before="150" w:line="180"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附件：吉首大学教师课堂教学评估表（教师/专家用）</w:t>
      </w:r>
    </w:p>
    <w:p>
      <w:pPr>
        <w:sectPr>
          <w:footerReference r:id="rId286" w:type="default"/>
          <w:pgSz w:w="11905" w:h="16840"/>
          <w:pgMar w:top="1431" w:right="1585" w:bottom="1158" w:left="1591" w:header="0" w:footer="1035" w:gutter="0"/>
          <w:cols w:space="720" w:num="1"/>
        </w:sectPr>
      </w:pPr>
    </w:p>
    <w:p>
      <w:pPr>
        <w:spacing w:before="349" w:line="180" w:lineRule="auto"/>
        <w:ind w:firstLine="1260"/>
        <w:rPr>
          <w:rFonts w:ascii="Microsoft JhengHei" w:hAnsi="Microsoft JhengHei" w:eastAsia="Microsoft JhengHei" w:cs="Microsoft JhengHei"/>
          <w:sz w:val="32"/>
          <w:szCs w:val="32"/>
        </w:rPr>
      </w:pPr>
      <w:r>
        <w:rPr>
          <w:rFonts w:ascii="Microsoft JhengHei" w:hAnsi="Microsoft JhengHei" w:eastAsia="Microsoft JhengHei" w:cs="Microsoft JhengHei"/>
          <w:spacing w:val="2"/>
          <w:sz w:val="32"/>
          <w:szCs w:val="32"/>
        </w:rPr>
        <w:t>吉首大学理论课听课评价表（教师/专家用）</w:t>
      </w:r>
    </w:p>
    <w:p>
      <w:pPr>
        <w:spacing w:line="337" w:lineRule="auto"/>
        <w:rPr>
          <w:rFonts w:ascii="Malgun Gothic"/>
          <w:sz w:val="21"/>
        </w:rPr>
      </w:pPr>
    </w:p>
    <w:p>
      <w:pPr>
        <w:spacing w:before="75" w:line="193" w:lineRule="auto"/>
        <w:ind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开课单位：</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4"/>
          <w:sz w:val="21"/>
          <w:szCs w:val="21"/>
        </w:rPr>
        <w:t>课程名称：</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14"/>
          <w:sz w:val="21"/>
          <w:szCs w:val="21"/>
        </w:rPr>
        <w:t>□公共基础课</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4"/>
          <w:sz w:val="21"/>
          <w:szCs w:val="21"/>
        </w:rPr>
        <w:t>□专业基础课</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4"/>
          <w:sz w:val="21"/>
          <w:szCs w:val="21"/>
        </w:rPr>
        <w:t>□专业课</w:t>
      </w:r>
    </w:p>
    <w:p>
      <w:pPr>
        <w:spacing w:before="209" w:line="193" w:lineRule="auto"/>
        <w:ind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授课教师：</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8"/>
          <w:sz w:val="21"/>
          <w:szCs w:val="21"/>
        </w:rPr>
        <w:t>职称：</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8"/>
          <w:sz w:val="21"/>
          <w:szCs w:val="21"/>
        </w:rPr>
        <w:t>年龄层次：□老</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8"/>
          <w:sz w:val="21"/>
          <w:szCs w:val="21"/>
        </w:rPr>
        <w:t>□中</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8"/>
          <w:sz w:val="21"/>
          <w:szCs w:val="21"/>
        </w:rPr>
        <w:t>□青</w:t>
      </w:r>
    </w:p>
    <w:p>
      <w:pPr>
        <w:spacing w:before="209" w:line="193" w:lineRule="auto"/>
        <w:ind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5"/>
          <w:sz w:val="21"/>
          <w:szCs w:val="21"/>
        </w:rPr>
        <w:t>授课班级：</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20"/>
          <w:w w:val="95"/>
          <w:sz w:val="21"/>
          <w:szCs w:val="21"/>
        </w:rPr>
        <w:t>授课时间：</w:t>
      </w:r>
      <w:r>
        <w:rPr>
          <w:rFonts w:ascii="方正书宋简体" w:hAnsi="方正书宋简体" w:eastAsia="方正书宋简体" w:cs="方正书宋简体"/>
          <w:sz w:val="21"/>
          <w:szCs w:val="21"/>
          <w:u w:val="single" w:color="auto"/>
        </w:rPr>
        <w:t xml:space="preserve">                                 </w:t>
      </w:r>
      <w:r>
        <w:rPr>
          <w:rFonts w:ascii="方正书宋简体" w:hAnsi="方正书宋简体" w:eastAsia="方正书宋简体" w:cs="方正书宋简体"/>
          <w:spacing w:val="-20"/>
          <w:w w:val="95"/>
          <w:sz w:val="21"/>
          <w:szCs w:val="21"/>
        </w:rPr>
        <w:t>授课地点：</w:t>
      </w:r>
      <w:r>
        <w:rPr>
          <w:rFonts w:ascii="方正书宋简体" w:hAnsi="方正书宋简体" w:eastAsia="方正书宋简体" w:cs="方正书宋简体"/>
          <w:sz w:val="21"/>
          <w:szCs w:val="21"/>
          <w:u w:val="single" w:color="auto"/>
        </w:rPr>
        <w:t xml:space="preserve">                                            </w:t>
      </w:r>
    </w:p>
    <w:p>
      <w:pPr>
        <w:spacing w:before="209" w:line="193" w:lineRule="auto"/>
        <w:ind w:firstLine="2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听课后按下表进行评价：请在下面各栏内打“√”，只限选单项。</w:t>
      </w:r>
    </w:p>
    <w:p>
      <w:pPr>
        <w:spacing w:line="30"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6141"/>
        <w:gridCol w:w="476"/>
        <w:gridCol w:w="418"/>
        <w:gridCol w:w="459"/>
        <w:gridCol w:w="4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759" w:type="dxa"/>
            <w:tcBorders>
              <w:top w:val="single" w:color="000000" w:sz="6" w:space="0"/>
              <w:left w:val="single" w:color="000000" w:sz="6" w:space="0"/>
            </w:tcBorders>
            <w:vAlign w:val="top"/>
          </w:tcPr>
          <w:p>
            <w:pPr>
              <w:spacing w:before="250" w:line="180" w:lineRule="auto"/>
              <w:ind w:firstLine="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序号</w:t>
            </w:r>
          </w:p>
        </w:tc>
        <w:tc>
          <w:tcPr>
            <w:tcW w:w="6141" w:type="dxa"/>
            <w:tcBorders>
              <w:top w:val="single" w:color="000000" w:sz="6" w:space="0"/>
            </w:tcBorders>
            <w:vAlign w:val="top"/>
          </w:tcPr>
          <w:p>
            <w:pPr>
              <w:spacing w:before="253" w:line="180" w:lineRule="auto"/>
              <w:ind w:firstLine="249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评</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rPr>
              <w:t>价</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4"/>
                <w:sz w:val="21"/>
                <w:szCs w:val="21"/>
              </w:rPr>
              <w:t>项</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4"/>
                <w:sz w:val="21"/>
                <w:szCs w:val="21"/>
              </w:rPr>
              <w:t>目</w:t>
            </w:r>
          </w:p>
        </w:tc>
        <w:tc>
          <w:tcPr>
            <w:tcW w:w="476" w:type="dxa"/>
            <w:tcBorders>
              <w:top w:val="single" w:color="000000" w:sz="6" w:space="0"/>
            </w:tcBorders>
            <w:vAlign w:val="top"/>
          </w:tcPr>
          <w:p>
            <w:pPr>
              <w:spacing w:before="251" w:line="180" w:lineRule="auto"/>
              <w:ind w:firstLine="1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优</w:t>
            </w:r>
          </w:p>
        </w:tc>
        <w:tc>
          <w:tcPr>
            <w:tcW w:w="418" w:type="dxa"/>
            <w:tcBorders>
              <w:top w:val="single" w:color="000000" w:sz="6" w:space="0"/>
            </w:tcBorders>
            <w:vAlign w:val="top"/>
          </w:tcPr>
          <w:p>
            <w:pPr>
              <w:spacing w:before="254" w:line="180" w:lineRule="auto"/>
              <w:ind w:firstLine="14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良</w:t>
            </w:r>
          </w:p>
        </w:tc>
        <w:tc>
          <w:tcPr>
            <w:tcW w:w="459" w:type="dxa"/>
            <w:tcBorders>
              <w:top w:val="single" w:color="000000" w:sz="6" w:space="0"/>
            </w:tcBorders>
            <w:vAlign w:val="top"/>
          </w:tcPr>
          <w:p>
            <w:pPr>
              <w:spacing w:before="186" w:line="180" w:lineRule="auto"/>
              <w:ind w:firstLine="129"/>
              <w:rPr>
                <w:rFonts w:ascii="方正书宋简体" w:hAnsi="方正书宋简体" w:eastAsia="方正书宋简体" w:cs="方正书宋简体"/>
                <w:sz w:val="8"/>
                <w:szCs w:val="8"/>
              </w:rPr>
            </w:pPr>
            <w:r>
              <w:rPr>
                <w:rFonts w:ascii="方正书宋简体" w:hAnsi="方正书宋简体" w:eastAsia="方正书宋简体" w:cs="方正书宋简体"/>
                <w:spacing w:val="40"/>
                <w:w w:val="206"/>
                <w:sz w:val="8"/>
                <w:szCs w:val="8"/>
              </w:rPr>
              <w:t>一</w:t>
            </w:r>
          </w:p>
          <w:p>
            <w:pPr>
              <w:spacing w:before="136"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般</w:t>
            </w:r>
          </w:p>
        </w:tc>
        <w:tc>
          <w:tcPr>
            <w:tcW w:w="481" w:type="dxa"/>
            <w:tcBorders>
              <w:top w:val="single" w:color="000000" w:sz="6" w:space="0"/>
              <w:right w:val="single" w:color="000000" w:sz="6" w:space="0"/>
            </w:tcBorders>
            <w:textDirection w:val="tbRlV"/>
            <w:vAlign w:val="top"/>
          </w:tcPr>
          <w:p>
            <w:pPr>
              <w:spacing w:before="126" w:line="180" w:lineRule="auto"/>
              <w:ind w:firstLine="9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较</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7"/>
                <w:sz w:val="21"/>
                <w:szCs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27" w:line="180" w:lineRule="auto"/>
              <w:ind w:firstLine="34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6141" w:type="dxa"/>
            <w:vAlign w:val="top"/>
          </w:tcPr>
          <w:p>
            <w:pPr>
              <w:spacing w:before="93"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治学严谨，为人师表，教书育人。</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28"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6141" w:type="dxa"/>
            <w:vAlign w:val="top"/>
          </w:tcPr>
          <w:p>
            <w:pPr>
              <w:spacing w:before="92"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课程教学计划明确，备课充分，讲授认真。</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29" w:line="180" w:lineRule="auto"/>
              <w:ind w:firstLine="3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6141" w:type="dxa"/>
            <w:vAlign w:val="top"/>
          </w:tcPr>
          <w:p>
            <w:pPr>
              <w:spacing w:before="92" w:line="193"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对问题的阐述简练准确，观点正确，重点突出，思路清晰。</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2" w:line="180" w:lineRule="auto"/>
              <w:ind w:firstLine="3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6141" w:type="dxa"/>
            <w:vAlign w:val="top"/>
          </w:tcPr>
          <w:p>
            <w:pPr>
              <w:spacing w:before="94" w:line="193"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对课程内容娴熟，运用自如。</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0"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6141" w:type="dxa"/>
            <w:vAlign w:val="top"/>
          </w:tcPr>
          <w:p>
            <w:pPr>
              <w:spacing w:before="97"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讲述内容充实，信息量大。</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32"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6141" w:type="dxa"/>
            <w:vAlign w:val="top"/>
          </w:tcPr>
          <w:p>
            <w:pPr>
              <w:spacing w:before="102"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教学内容能反映或联系学科发展的新思想、新概念、新成果。</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9" w:line="180" w:lineRule="auto"/>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6141" w:type="dxa"/>
            <w:vAlign w:val="top"/>
          </w:tcPr>
          <w:p>
            <w:pPr>
              <w:spacing w:before="102"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教学方法灵活多样，注重学习方法的传授和能力培养。</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6141" w:type="dxa"/>
            <w:vAlign w:val="top"/>
          </w:tcPr>
          <w:p>
            <w:pPr>
              <w:spacing w:before="102"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讲授深入浅出，富有启发性，能激发学生学习兴趣。</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39"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6141" w:type="dxa"/>
            <w:vAlign w:val="top"/>
          </w:tcPr>
          <w:p>
            <w:pPr>
              <w:spacing w:before="108"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注重课堂组织与调控，能吸引学生注意力，课堂气氛活跃。</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41" w:line="180" w:lineRule="auto"/>
              <w:ind w:firstLine="28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141" w:type="dxa"/>
            <w:vAlign w:val="top"/>
          </w:tcPr>
          <w:p>
            <w:pPr>
              <w:spacing w:before="110"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学生学有收益，教学效果好。</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900" w:type="dxa"/>
            <w:gridSpan w:val="2"/>
            <w:tcBorders>
              <w:left w:val="single" w:color="000000" w:sz="6" w:space="0"/>
            </w:tcBorders>
            <w:vAlign w:val="top"/>
          </w:tcPr>
          <w:p>
            <w:pPr>
              <w:spacing w:before="133" w:line="180" w:lineRule="auto"/>
              <w:ind w:firstLine="1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听课后总体评价（优、良、一般、较差）</w:t>
            </w:r>
          </w:p>
        </w:tc>
        <w:tc>
          <w:tcPr>
            <w:tcW w:w="1834" w:type="dxa"/>
            <w:gridSpan w:val="4"/>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4" w:hRule="atLeast"/>
        </w:trPr>
        <w:tc>
          <w:tcPr>
            <w:tcW w:w="8734" w:type="dxa"/>
            <w:gridSpan w:val="6"/>
            <w:tcBorders>
              <w:left w:val="single" w:color="000000" w:sz="6" w:space="0"/>
              <w:bottom w:val="single" w:color="000000" w:sz="6" w:space="0"/>
              <w:right w:val="single" w:color="000000" w:sz="6" w:space="0"/>
            </w:tcBorders>
            <w:vAlign w:val="top"/>
          </w:tcPr>
          <w:p>
            <w:pPr>
              <w:spacing w:before="103" w:line="180" w:lineRule="auto"/>
              <w:ind w:firstLine="289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对课堂教学的评价意见或建议：</w:t>
            </w:r>
          </w:p>
        </w:tc>
      </w:tr>
    </w:tbl>
    <w:p>
      <w:pPr>
        <w:spacing w:before="178" w:line="193" w:lineRule="auto"/>
        <w:ind w:firstLine="445"/>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听课人（签名</w:t>
      </w:r>
      <w:r>
        <w:rPr>
          <w:rFonts w:ascii="方正书宋简体" w:hAnsi="方正书宋简体" w:eastAsia="方正书宋简体" w:cs="方正书宋简体"/>
          <w:spacing w:val="-80"/>
          <w:sz w:val="21"/>
          <w:szCs w:val="21"/>
        </w:rPr>
        <w:t>）：</w:t>
      </w:r>
      <w:r>
        <w:rPr>
          <w:rFonts w:ascii="方正书宋简体" w:hAnsi="方正书宋简体" w:eastAsia="方正书宋简体" w:cs="方正书宋简体"/>
          <w:sz w:val="21"/>
          <w:szCs w:val="21"/>
          <w:u w:val="single" w:color="auto"/>
        </w:rPr>
        <w:t xml:space="preserve">                                                     </w:t>
      </w:r>
      <w:r>
        <w:rPr>
          <w:rFonts w:ascii="方正书宋简体" w:hAnsi="方正书宋简体" w:eastAsia="方正书宋简体" w:cs="方正书宋简体"/>
          <w:spacing w:val="-12"/>
          <w:sz w:val="21"/>
          <w:szCs w:val="21"/>
        </w:rPr>
        <w:t>年</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2"/>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2"/>
          <w:sz w:val="21"/>
          <w:szCs w:val="21"/>
        </w:rPr>
        <w:t>日</w:t>
      </w:r>
    </w:p>
    <w:p>
      <w:pPr>
        <w:spacing w:before="214" w:line="180" w:lineRule="auto"/>
        <w:ind w:firstLine="47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吉首大学教务处制</w:t>
      </w:r>
    </w:p>
    <w:p>
      <w:pPr>
        <w:sectPr>
          <w:footerReference r:id="rId287" w:type="default"/>
          <w:pgSz w:w="11905" w:h="16840"/>
          <w:pgMar w:top="1431" w:right="1577" w:bottom="1158" w:left="1578" w:header="0" w:footer="1035" w:gutter="0"/>
          <w:cols w:space="720" w:num="1"/>
        </w:sectPr>
      </w:pPr>
    </w:p>
    <w:p>
      <w:pPr>
        <w:spacing w:before="349" w:line="180" w:lineRule="auto"/>
        <w:ind w:firstLine="1260"/>
        <w:rPr>
          <w:rFonts w:ascii="Microsoft JhengHei" w:hAnsi="Microsoft JhengHei" w:eastAsia="Microsoft JhengHei" w:cs="Microsoft JhengHei"/>
          <w:sz w:val="32"/>
          <w:szCs w:val="32"/>
        </w:rPr>
      </w:pPr>
      <w:r>
        <w:rPr>
          <w:rFonts w:ascii="Microsoft JhengHei" w:hAnsi="Microsoft JhengHei" w:eastAsia="Microsoft JhengHei" w:cs="Microsoft JhengHei"/>
          <w:spacing w:val="2"/>
          <w:sz w:val="32"/>
          <w:szCs w:val="32"/>
        </w:rPr>
        <w:t>吉首大学实验课听课评价表（教师/专家用）</w:t>
      </w:r>
    </w:p>
    <w:p>
      <w:pPr>
        <w:spacing w:line="337" w:lineRule="auto"/>
        <w:rPr>
          <w:rFonts w:ascii="Malgun Gothic"/>
          <w:sz w:val="21"/>
        </w:rPr>
      </w:pPr>
    </w:p>
    <w:p>
      <w:pPr>
        <w:spacing w:before="75" w:line="193" w:lineRule="auto"/>
        <w:ind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开课单位：</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4"/>
          <w:sz w:val="21"/>
          <w:szCs w:val="21"/>
        </w:rPr>
        <w:t>课程名称：</w:t>
      </w:r>
      <w:r>
        <w:rPr>
          <w:rFonts w:ascii="方正书宋简体" w:hAnsi="方正书宋简体" w:eastAsia="方正书宋简体" w:cs="方正书宋简体"/>
          <w:spacing w:val="1"/>
          <w:sz w:val="21"/>
          <w:szCs w:val="21"/>
          <w:u w:val="single" w:color="auto"/>
        </w:rPr>
        <w:t xml:space="preserve">                             </w:t>
      </w:r>
      <w:r>
        <w:rPr>
          <w:rFonts w:ascii="方正书宋简体" w:hAnsi="方正书宋简体" w:eastAsia="方正书宋简体" w:cs="方正书宋简体"/>
          <w:spacing w:val="-14"/>
          <w:sz w:val="21"/>
          <w:szCs w:val="21"/>
        </w:rPr>
        <w:t>□公共基础课</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4"/>
          <w:sz w:val="21"/>
          <w:szCs w:val="21"/>
        </w:rPr>
        <w:t>□专业基础课</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4"/>
          <w:sz w:val="21"/>
          <w:szCs w:val="21"/>
        </w:rPr>
        <w:t>□专业课</w:t>
      </w:r>
    </w:p>
    <w:p>
      <w:pPr>
        <w:spacing w:line="160" w:lineRule="exact"/>
      </w:pPr>
    </w:p>
    <w:p>
      <w:pPr>
        <w:sectPr>
          <w:footerReference r:id="rId288" w:type="default"/>
          <w:pgSz w:w="11905" w:h="16840"/>
          <w:pgMar w:top="1431" w:right="1577" w:bottom="400" w:left="1578" w:header="0" w:footer="0" w:gutter="0"/>
          <w:cols w:equalWidth="0" w:num="1">
            <w:col w:w="8750"/>
          </w:cols>
        </w:sectPr>
      </w:pPr>
    </w:p>
    <w:p>
      <w:pPr>
        <w:spacing w:before="48" w:line="193" w:lineRule="auto"/>
        <w:ind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w w:val="91"/>
          <w:sz w:val="21"/>
          <w:szCs w:val="21"/>
        </w:rPr>
        <w:t>授课教师：</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19"/>
          <w:w w:val="91"/>
          <w:sz w:val="21"/>
          <w:szCs w:val="21"/>
        </w:rPr>
        <w:t>职称：</w:t>
      </w:r>
      <w:r>
        <w:rPr>
          <w:rFonts w:ascii="方正书宋简体" w:hAnsi="方正书宋简体" w:eastAsia="方正书宋简体" w:cs="方正书宋简体"/>
          <w:sz w:val="21"/>
          <w:szCs w:val="21"/>
          <w:u w:val="single" w:color="auto"/>
        </w:rPr>
        <w:t xml:space="preserve">                                          </w:t>
      </w:r>
    </w:p>
    <w:p>
      <w:pPr>
        <w:spacing w:before="216" w:line="180" w:lineRule="auto"/>
        <w:ind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5"/>
          <w:sz w:val="21"/>
          <w:szCs w:val="21"/>
        </w:rPr>
        <w:t>授课班级：</w:t>
      </w:r>
      <w:r>
        <w:rPr>
          <w:rFonts w:ascii="方正书宋简体" w:hAnsi="方正书宋简体" w:eastAsia="方正书宋简体" w:cs="方正书宋简体"/>
          <w:w w:val="101"/>
          <w:sz w:val="21"/>
          <w:szCs w:val="21"/>
          <w:u w:val="single" w:color="auto"/>
        </w:rPr>
        <w:t xml:space="preserve">                                     </w:t>
      </w:r>
      <w:r>
        <w:rPr>
          <w:rFonts w:ascii="方正书宋简体" w:hAnsi="方正书宋简体" w:eastAsia="方正书宋简体" w:cs="方正书宋简体"/>
          <w:spacing w:val="-20"/>
          <w:w w:val="95"/>
          <w:sz w:val="21"/>
          <w:szCs w:val="21"/>
        </w:rPr>
        <w:t>授课时间：</w:t>
      </w:r>
      <w:r>
        <w:rPr>
          <w:rFonts w:ascii="方正书宋简体" w:hAnsi="方正书宋简体" w:eastAsia="方正书宋简体" w:cs="方正书宋简体"/>
          <w:sz w:val="21"/>
          <w:szCs w:val="21"/>
          <w:u w:val="single" w:color="auto"/>
        </w:rPr>
        <w:t xml:space="preserve">                              </w:t>
      </w:r>
    </w:p>
    <w:p>
      <w:pPr>
        <w:spacing w:line="92" w:lineRule="auto"/>
        <w:rPr>
          <w:rFonts w:ascii="Arial"/>
          <w:sz w:val="2"/>
        </w:rPr>
      </w:pPr>
    </w:p>
    <w:p>
      <w:pPr>
        <w:spacing w:line="14" w:lineRule="auto"/>
        <w:rPr>
          <w:rFonts w:ascii="Malgun Gothic"/>
          <w:sz w:val="2"/>
        </w:rPr>
      </w:pPr>
      <w:r>
        <w:rPr>
          <w:rFonts w:ascii="Malgun Gothic" w:hAnsi="Malgun Gothic" w:eastAsia="Malgun Gothic" w:cs="Malgun Gothic"/>
          <w:sz w:val="2"/>
          <w:szCs w:val="2"/>
        </w:rPr>
        <w:br w:type="column"/>
      </w:r>
    </w:p>
    <w:p>
      <w:pPr>
        <w:spacing w:before="46" w:line="193" w:lineRule="auto"/>
        <w:ind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年龄层次：□老</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4"/>
          <w:sz w:val="21"/>
          <w:szCs w:val="21"/>
        </w:rPr>
        <w:t>□中</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4"/>
          <w:sz w:val="21"/>
          <w:szCs w:val="21"/>
        </w:rPr>
        <w:t>□青</w:t>
      </w:r>
    </w:p>
    <w:p>
      <w:pPr>
        <w:spacing w:before="209" w:line="193" w:lineRule="auto"/>
        <w:ind w:firstLine="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5"/>
          <w:sz w:val="21"/>
          <w:szCs w:val="21"/>
        </w:rPr>
        <w:t>授课地点：</w:t>
      </w:r>
      <w:r>
        <w:rPr>
          <w:rFonts w:ascii="方正书宋简体" w:hAnsi="方正书宋简体" w:eastAsia="方正书宋简体" w:cs="方正书宋简体"/>
          <w:sz w:val="21"/>
          <w:szCs w:val="21"/>
          <w:u w:val="single" w:color="auto"/>
        </w:rPr>
        <w:t xml:space="preserve">                                          </w:t>
      </w:r>
    </w:p>
    <w:p>
      <w:pPr>
        <w:sectPr>
          <w:type w:val="continuous"/>
          <w:pgSz w:w="11905" w:h="16840"/>
          <w:pgMar w:top="1431" w:right="1577" w:bottom="400" w:left="1578" w:header="0" w:footer="0" w:gutter="0"/>
          <w:cols w:equalWidth="0" w:num="2">
            <w:col w:w="5314" w:space="100"/>
            <w:col w:w="3337"/>
          </w:cols>
        </w:sectPr>
      </w:pPr>
    </w:p>
    <w:p>
      <w:pPr>
        <w:spacing w:before="209" w:line="193" w:lineRule="auto"/>
        <w:ind w:firstLine="2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听课后按下表进行评价：请在下面各栏内打“√”，只限选单项。</w:t>
      </w:r>
    </w:p>
    <w:p>
      <w:pPr>
        <w:spacing w:line="30"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9"/>
        <w:gridCol w:w="6141"/>
        <w:gridCol w:w="476"/>
        <w:gridCol w:w="418"/>
        <w:gridCol w:w="459"/>
        <w:gridCol w:w="4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759" w:type="dxa"/>
            <w:tcBorders>
              <w:top w:val="single" w:color="000000" w:sz="6" w:space="0"/>
              <w:left w:val="single" w:color="000000" w:sz="6" w:space="0"/>
            </w:tcBorders>
            <w:vAlign w:val="top"/>
          </w:tcPr>
          <w:p>
            <w:pPr>
              <w:spacing w:before="250" w:line="180" w:lineRule="auto"/>
              <w:ind w:firstLine="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序号</w:t>
            </w:r>
          </w:p>
        </w:tc>
        <w:tc>
          <w:tcPr>
            <w:tcW w:w="6141" w:type="dxa"/>
            <w:tcBorders>
              <w:top w:val="single" w:color="000000" w:sz="6" w:space="0"/>
            </w:tcBorders>
            <w:vAlign w:val="top"/>
          </w:tcPr>
          <w:p>
            <w:pPr>
              <w:spacing w:before="253" w:line="180" w:lineRule="auto"/>
              <w:ind w:firstLine="20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评</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4"/>
                <w:sz w:val="21"/>
                <w:szCs w:val="21"/>
              </w:rPr>
              <w:t>价</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4"/>
                <w:sz w:val="21"/>
                <w:szCs w:val="21"/>
              </w:rPr>
              <w:t>项</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4"/>
                <w:sz w:val="21"/>
                <w:szCs w:val="21"/>
              </w:rPr>
              <w:t>目</w:t>
            </w:r>
          </w:p>
        </w:tc>
        <w:tc>
          <w:tcPr>
            <w:tcW w:w="476" w:type="dxa"/>
            <w:tcBorders>
              <w:top w:val="single" w:color="000000" w:sz="6" w:space="0"/>
            </w:tcBorders>
            <w:vAlign w:val="top"/>
          </w:tcPr>
          <w:p>
            <w:pPr>
              <w:spacing w:before="251" w:line="180" w:lineRule="auto"/>
              <w:ind w:firstLine="1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优</w:t>
            </w:r>
          </w:p>
        </w:tc>
        <w:tc>
          <w:tcPr>
            <w:tcW w:w="418" w:type="dxa"/>
            <w:tcBorders>
              <w:top w:val="single" w:color="000000" w:sz="6" w:space="0"/>
            </w:tcBorders>
            <w:vAlign w:val="top"/>
          </w:tcPr>
          <w:p>
            <w:pPr>
              <w:spacing w:before="254" w:line="180" w:lineRule="auto"/>
              <w:ind w:firstLine="14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良</w:t>
            </w:r>
          </w:p>
        </w:tc>
        <w:tc>
          <w:tcPr>
            <w:tcW w:w="459" w:type="dxa"/>
            <w:tcBorders>
              <w:top w:val="single" w:color="000000" w:sz="6" w:space="0"/>
            </w:tcBorders>
            <w:vAlign w:val="top"/>
          </w:tcPr>
          <w:p>
            <w:pPr>
              <w:spacing w:before="186" w:line="180" w:lineRule="auto"/>
              <w:ind w:firstLine="129"/>
              <w:rPr>
                <w:rFonts w:ascii="方正书宋简体" w:hAnsi="方正书宋简体" w:eastAsia="方正书宋简体" w:cs="方正书宋简体"/>
                <w:sz w:val="8"/>
                <w:szCs w:val="8"/>
              </w:rPr>
            </w:pPr>
            <w:r>
              <w:rPr>
                <w:rFonts w:ascii="方正书宋简体" w:hAnsi="方正书宋简体" w:eastAsia="方正书宋简体" w:cs="方正书宋简体"/>
                <w:spacing w:val="40"/>
                <w:w w:val="206"/>
                <w:sz w:val="8"/>
                <w:szCs w:val="8"/>
              </w:rPr>
              <w:t>一</w:t>
            </w:r>
          </w:p>
          <w:p>
            <w:pPr>
              <w:spacing w:before="136"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般</w:t>
            </w:r>
          </w:p>
        </w:tc>
        <w:tc>
          <w:tcPr>
            <w:tcW w:w="481" w:type="dxa"/>
            <w:tcBorders>
              <w:top w:val="single" w:color="000000" w:sz="6" w:space="0"/>
              <w:right w:val="single" w:color="000000" w:sz="6" w:space="0"/>
            </w:tcBorders>
            <w:textDirection w:val="tbRlV"/>
            <w:vAlign w:val="top"/>
          </w:tcPr>
          <w:p>
            <w:pPr>
              <w:spacing w:before="126" w:line="180" w:lineRule="auto"/>
              <w:ind w:firstLine="9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较</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7"/>
                <w:sz w:val="21"/>
                <w:szCs w:val="21"/>
              </w:rPr>
              <w:t>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27" w:line="180" w:lineRule="auto"/>
              <w:ind w:firstLine="34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6141" w:type="dxa"/>
            <w:vAlign w:val="top"/>
          </w:tcPr>
          <w:p>
            <w:pPr>
              <w:spacing w:before="93" w:line="180" w:lineRule="auto"/>
              <w:ind w:firstLine="1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实验项目合理，符合授课计划。</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28"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6141" w:type="dxa"/>
            <w:vAlign w:val="top"/>
          </w:tcPr>
          <w:p>
            <w:pPr>
              <w:spacing w:before="82" w:line="180" w:lineRule="auto"/>
              <w:ind w:firstLine="1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实验准备充分，环节安排合理。</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29" w:line="180" w:lineRule="auto"/>
              <w:ind w:firstLine="3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6141" w:type="dxa"/>
            <w:vAlign w:val="top"/>
          </w:tcPr>
          <w:p>
            <w:pPr>
              <w:spacing w:before="94" w:line="180" w:lineRule="auto"/>
              <w:ind w:firstLine="15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要领讲解准确，过程简洁明了。</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2" w:line="180" w:lineRule="auto"/>
              <w:ind w:firstLine="3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6141" w:type="dxa"/>
            <w:vAlign w:val="top"/>
          </w:tcPr>
          <w:p>
            <w:pPr>
              <w:spacing w:before="94" w:line="193" w:lineRule="auto"/>
              <w:ind w:firstLine="160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注重因材施教，理论联系实际。</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0"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6141" w:type="dxa"/>
            <w:vAlign w:val="top"/>
          </w:tcPr>
          <w:p>
            <w:pPr>
              <w:spacing w:before="101" w:line="180" w:lineRule="auto"/>
              <w:ind w:firstLine="15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改革实验方法，更新实验手段。</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32"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6141" w:type="dxa"/>
            <w:vAlign w:val="top"/>
          </w:tcPr>
          <w:p>
            <w:pPr>
              <w:spacing w:before="101" w:line="180" w:lineRule="auto"/>
              <w:ind w:firstLine="15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改革实验内容，培养综合技能。</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9" w:line="180" w:lineRule="auto"/>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6141" w:type="dxa"/>
            <w:vAlign w:val="top"/>
          </w:tcPr>
          <w:p>
            <w:pPr>
              <w:spacing w:before="99" w:line="193" w:lineRule="auto"/>
              <w:ind w:firstLine="159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指导耐心细致，示范准确熟练。</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3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6141" w:type="dxa"/>
            <w:vAlign w:val="top"/>
          </w:tcPr>
          <w:p>
            <w:pPr>
              <w:spacing w:before="100" w:line="193" w:lineRule="auto"/>
              <w:ind w:firstLine="1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实验目的明确，训练重点突出。</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759" w:type="dxa"/>
            <w:tcBorders>
              <w:left w:val="single" w:color="000000" w:sz="6" w:space="0"/>
            </w:tcBorders>
            <w:vAlign w:val="top"/>
          </w:tcPr>
          <w:p>
            <w:pPr>
              <w:spacing w:before="139" w:line="180"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6141" w:type="dxa"/>
            <w:vAlign w:val="top"/>
          </w:tcPr>
          <w:p>
            <w:pPr>
              <w:spacing w:before="105" w:line="180" w:lineRule="auto"/>
              <w:ind w:firstLine="159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报告批改认真，反馈信息及时。</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759" w:type="dxa"/>
            <w:tcBorders>
              <w:left w:val="single" w:color="000000" w:sz="6" w:space="0"/>
            </w:tcBorders>
            <w:vAlign w:val="top"/>
          </w:tcPr>
          <w:p>
            <w:pPr>
              <w:spacing w:before="141" w:line="180" w:lineRule="auto"/>
              <w:ind w:firstLine="28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141" w:type="dxa"/>
            <w:vAlign w:val="top"/>
          </w:tcPr>
          <w:p>
            <w:pPr>
              <w:spacing w:before="108" w:line="180" w:lineRule="auto"/>
              <w:ind w:firstLine="159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教学效果明显，能力得到提高。</w:t>
            </w:r>
          </w:p>
        </w:tc>
        <w:tc>
          <w:tcPr>
            <w:tcW w:w="476" w:type="dxa"/>
            <w:vAlign w:val="top"/>
          </w:tcPr>
          <w:p>
            <w:pPr>
              <w:rPr>
                <w:rFonts w:ascii="Malgun Gothic"/>
                <w:sz w:val="21"/>
              </w:rPr>
            </w:pPr>
          </w:p>
        </w:tc>
        <w:tc>
          <w:tcPr>
            <w:tcW w:w="418" w:type="dxa"/>
            <w:vAlign w:val="top"/>
          </w:tcPr>
          <w:p>
            <w:pPr>
              <w:rPr>
                <w:rFonts w:ascii="Malgun Gothic"/>
                <w:sz w:val="21"/>
              </w:rPr>
            </w:pPr>
          </w:p>
        </w:tc>
        <w:tc>
          <w:tcPr>
            <w:tcW w:w="459" w:type="dxa"/>
            <w:vAlign w:val="top"/>
          </w:tcPr>
          <w:p>
            <w:pPr>
              <w:rPr>
                <w:rFonts w:ascii="Malgun Gothic"/>
                <w:sz w:val="21"/>
              </w:rPr>
            </w:pPr>
          </w:p>
        </w:tc>
        <w:tc>
          <w:tcPr>
            <w:tcW w:w="48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6900" w:type="dxa"/>
            <w:gridSpan w:val="2"/>
            <w:tcBorders>
              <w:left w:val="single" w:color="000000" w:sz="6" w:space="0"/>
            </w:tcBorders>
            <w:vAlign w:val="top"/>
          </w:tcPr>
          <w:p>
            <w:pPr>
              <w:spacing w:before="133" w:line="180" w:lineRule="auto"/>
              <w:ind w:firstLine="15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听课后总体评价（优、良、一般、较差）</w:t>
            </w:r>
          </w:p>
        </w:tc>
        <w:tc>
          <w:tcPr>
            <w:tcW w:w="1834" w:type="dxa"/>
            <w:gridSpan w:val="4"/>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4" w:hRule="atLeast"/>
        </w:trPr>
        <w:tc>
          <w:tcPr>
            <w:tcW w:w="8734" w:type="dxa"/>
            <w:gridSpan w:val="6"/>
            <w:tcBorders>
              <w:left w:val="single" w:color="000000" w:sz="6" w:space="0"/>
              <w:bottom w:val="single" w:color="000000" w:sz="6" w:space="0"/>
              <w:right w:val="single" w:color="000000" w:sz="6" w:space="0"/>
            </w:tcBorders>
            <w:vAlign w:val="top"/>
          </w:tcPr>
          <w:p>
            <w:pPr>
              <w:spacing w:before="103" w:line="180" w:lineRule="auto"/>
              <w:ind w:firstLine="257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对实验或技能教学的评价意见或建议：</w:t>
            </w:r>
          </w:p>
        </w:tc>
      </w:tr>
    </w:tbl>
    <w:p>
      <w:pPr>
        <w:spacing w:before="178" w:line="193" w:lineRule="auto"/>
        <w:ind w:firstLine="445"/>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听课人（签名</w:t>
      </w:r>
      <w:r>
        <w:rPr>
          <w:rFonts w:ascii="方正书宋简体" w:hAnsi="方正书宋简体" w:eastAsia="方正书宋简体" w:cs="方正书宋简体"/>
          <w:spacing w:val="-80"/>
          <w:sz w:val="21"/>
          <w:szCs w:val="21"/>
        </w:rPr>
        <w:t>）：</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年</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2"/>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2"/>
          <w:sz w:val="21"/>
          <w:szCs w:val="21"/>
        </w:rPr>
        <w:t>日</w:t>
      </w:r>
    </w:p>
    <w:p>
      <w:pPr>
        <w:spacing w:before="214" w:line="180" w:lineRule="auto"/>
        <w:ind w:firstLine="70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吉首大学教务处制</w:t>
      </w:r>
    </w:p>
    <w:p>
      <w:pPr>
        <w:spacing w:line="266" w:lineRule="auto"/>
        <w:rPr>
          <w:rFonts w:ascii="Malgun Gothic"/>
          <w:sz w:val="21"/>
        </w:rPr>
      </w:pPr>
    </w:p>
    <w:p>
      <w:pPr>
        <w:spacing w:before="62" w:line="144" w:lineRule="exact"/>
        <w:ind w:firstLine="422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284</w:t>
      </w:r>
    </w:p>
    <w:p>
      <w:pPr>
        <w:sectPr>
          <w:type w:val="continuous"/>
          <w:pgSz w:w="11905" w:h="16840"/>
          <w:pgMar w:top="1431" w:right="1577" w:bottom="400" w:left="1578" w:header="0" w:footer="0" w:gutter="0"/>
          <w:cols w:equalWidth="0" w:num="1">
            <w:col w:w="8750"/>
          </w:cols>
        </w:sectPr>
      </w:pPr>
    </w:p>
    <w:p>
      <w:pPr>
        <w:spacing w:before="349" w:line="180" w:lineRule="auto"/>
        <w:ind w:firstLine="165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吉首大学学生教学信息员工作管理办法</w:t>
      </w:r>
    </w:p>
    <w:p>
      <w:pPr>
        <w:spacing w:before="110" w:line="184" w:lineRule="auto"/>
        <w:ind w:firstLine="3193"/>
        <w:rPr>
          <w:rFonts w:ascii="楷体" w:hAnsi="楷体" w:eastAsia="楷体" w:cs="楷体"/>
          <w:sz w:val="24"/>
          <w:szCs w:val="24"/>
        </w:rPr>
      </w:pPr>
      <w:r>
        <w:rPr>
          <w:rFonts w:ascii="楷体" w:hAnsi="楷体" w:eastAsia="楷体" w:cs="楷体"/>
          <w:spacing w:val="-4"/>
          <w:sz w:val="24"/>
          <w:szCs w:val="24"/>
        </w:rPr>
        <w:t>（2013</w:t>
      </w:r>
      <w:r>
        <w:rPr>
          <w:rFonts w:ascii="楷体" w:hAnsi="楷体" w:eastAsia="楷体" w:cs="楷体"/>
          <w:spacing w:val="-51"/>
          <w:sz w:val="24"/>
          <w:szCs w:val="24"/>
        </w:rPr>
        <w:t xml:space="preserve"> </w:t>
      </w:r>
      <w:r>
        <w:rPr>
          <w:rFonts w:ascii="楷体" w:hAnsi="楷体" w:eastAsia="楷体" w:cs="楷体"/>
          <w:spacing w:val="-4"/>
          <w:sz w:val="24"/>
          <w:szCs w:val="24"/>
        </w:rPr>
        <w:t>年</w:t>
      </w:r>
      <w:r>
        <w:rPr>
          <w:rFonts w:ascii="楷体" w:hAnsi="楷体" w:eastAsia="楷体" w:cs="楷体"/>
          <w:spacing w:val="-42"/>
          <w:sz w:val="24"/>
          <w:szCs w:val="24"/>
        </w:rPr>
        <w:t xml:space="preserve"> </w:t>
      </w:r>
      <w:r>
        <w:rPr>
          <w:rFonts w:ascii="楷体" w:hAnsi="楷体" w:eastAsia="楷体" w:cs="楷体"/>
          <w:spacing w:val="-4"/>
          <w:sz w:val="24"/>
          <w:szCs w:val="24"/>
        </w:rPr>
        <w:t>4</w:t>
      </w:r>
      <w:r>
        <w:rPr>
          <w:rFonts w:ascii="楷体" w:hAnsi="楷体" w:eastAsia="楷体" w:cs="楷体"/>
          <w:spacing w:val="-38"/>
          <w:sz w:val="24"/>
          <w:szCs w:val="24"/>
        </w:rPr>
        <w:t xml:space="preserve"> </w:t>
      </w:r>
      <w:r>
        <w:rPr>
          <w:rFonts w:ascii="楷体" w:hAnsi="楷体" w:eastAsia="楷体" w:cs="楷体"/>
          <w:spacing w:val="-4"/>
          <w:sz w:val="24"/>
          <w:szCs w:val="24"/>
        </w:rPr>
        <w:t>月修订）</w:t>
      </w:r>
    </w:p>
    <w:p>
      <w:pPr>
        <w:spacing w:line="381" w:lineRule="auto"/>
        <w:rPr>
          <w:rFonts w:ascii="Malgun Gothic"/>
          <w:sz w:val="21"/>
        </w:rPr>
      </w:pPr>
    </w:p>
    <w:p>
      <w:pPr>
        <w:spacing w:before="86" w:line="265" w:lineRule="auto"/>
        <w:ind w:left="5" w:right="4"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为了及时、客观地了解我校教学及教学管理的动态信息，加强对教学工作的信</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息反馈，充分发挥学生参与教学管理和自我管理、自我教育的作用，强化学生教学</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过程的主体意识，进一步完善教学质量监控体系，特制订本办法。</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一、教学信息员的选拔与聘任</w:t>
      </w:r>
    </w:p>
    <w:p>
      <w:pPr>
        <w:spacing w:before="151" w:line="315" w:lineRule="auto"/>
        <w:ind w:left="2" w:right="6"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1、学生教学信息员设学校和学院两级，</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学校教学信息员由教学督导团、教务处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选拔和聘任，学院教学信息员由学院负责聘任。</w:t>
      </w:r>
    </w:p>
    <w:p>
      <w:pPr>
        <w:spacing w:before="1" w:line="204"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2、学生教学信息员选拔与聘任条件：</w:t>
      </w:r>
    </w:p>
    <w:p>
      <w:pPr>
        <w:spacing w:before="157" w:line="253" w:lineRule="auto"/>
        <w:ind w:left="2" w:right="6"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（1）思想品德优良，有参与教学管理的积极性，秉公办事，敢于发表意见，能</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5"/>
          <w:sz w:val="24"/>
          <w:szCs w:val="24"/>
        </w:rPr>
        <w:t>代表同学反映意见；</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（2）学习态度端正，成绩优良，有良好的学习方法和学习习惯；</w:t>
      </w:r>
    </w:p>
    <w:p>
      <w:pPr>
        <w:spacing w:before="179"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（3）工作责任心强，有较强的组织管理能力和团结协作精神。</w:t>
      </w:r>
    </w:p>
    <w:p>
      <w:pPr>
        <w:spacing w:before="193" w:line="315" w:lineRule="auto"/>
        <w:ind w:left="4" w:right="6"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3、学校教学信息员由学生所在学院推荐，</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也可由学生本人向所在学院自荐，</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经</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教务处审核后聘任。原则上每个专业一名教学信息员。</w:t>
      </w:r>
    </w:p>
    <w:p>
      <w:pPr>
        <w:spacing w:before="1" w:line="315" w:lineRule="auto"/>
        <w:ind w:left="3" w:right="7"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学院教学信息员由班级学习委员兼任，也可采取自愿报名和推荐相结合的方式</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择优聘任。原则上每个学生班级设立学生教学信息员一名。</w:t>
      </w:r>
    </w:p>
    <w:p>
      <w:pPr>
        <w:spacing w:before="2" w:line="204"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4、教学信息员每学年聘任一次，可连聘连任，学生毕业时自动解聘。</w:t>
      </w:r>
    </w:p>
    <w:p>
      <w:pPr>
        <w:spacing w:before="146"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二、教学信息员的职责</w:t>
      </w:r>
    </w:p>
    <w:p>
      <w:pPr>
        <w:spacing w:before="150" w:line="253" w:lineRule="auto"/>
        <w:ind w:left="5" w:right="7"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1、征求和收集学生对教师教学（包括教师教学态度、教学内容、教学方法、教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学手段、教学水平、教学过程各环节及教学效果等方面）的意见和建议；</w:t>
      </w:r>
    </w:p>
    <w:p>
      <w:pPr>
        <w:spacing w:before="181" w:line="252" w:lineRule="auto"/>
        <w:ind w:left="4" w:right="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2、反映学生对教学管理部门（包括教学管理制度的制定与实施、教学活动的组</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织安排、教学质量管理等）的意见和建议；</w:t>
      </w:r>
    </w:p>
    <w:p>
      <w:pPr>
        <w:spacing w:before="175" w:line="315" w:lineRule="auto"/>
        <w:ind w:left="3" w:right="5"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3、反映学生对教学条件（包括教材、教室、教学设备、图书资料等）</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的意见和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建议；</w:t>
      </w:r>
    </w:p>
    <w:p>
      <w:pPr>
        <w:spacing w:before="4" w:line="25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4、反映学生在教学活动中的学风状况（包括出勤情况、课堂纪律、课堂参与、</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课外自习、课外作业、考风考纪等</w:t>
      </w:r>
      <w:r>
        <w:rPr>
          <w:rFonts w:ascii="方正书宋简体" w:hAnsi="方正书宋简体" w:eastAsia="方正书宋简体" w:cs="方正书宋简体"/>
          <w:spacing w:val="-4"/>
          <w:sz w:val="24"/>
          <w:szCs w:val="24"/>
        </w:rPr>
        <w:t>）；</w:t>
      </w:r>
    </w:p>
    <w:p>
      <w:pPr>
        <w:spacing w:before="174" w:line="193"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5、参加教学信息工作会议，协助学校进行教师课堂教学质量评价；</w:t>
      </w:r>
    </w:p>
    <w:p>
      <w:pPr>
        <w:spacing w:before="178"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6、宣传有关教学管理的各项规定和教学信息，对同学的疑问予以解答。</w:t>
      </w:r>
    </w:p>
    <w:p>
      <w:pPr>
        <w:spacing w:before="252" w:line="180" w:lineRule="auto"/>
        <w:ind w:firstLine="42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285</w:t>
      </w:r>
    </w:p>
    <w:p>
      <w:pPr>
        <w:sectPr>
          <w:footerReference r:id="rId289" w:type="default"/>
          <w:pgSz w:w="11905" w:h="16840"/>
          <w:pgMar w:top="1431" w:right="1581" w:bottom="400" w:left="1588" w:header="0" w:footer="0" w:gutter="0"/>
          <w:cols w:space="720" w:num="1"/>
        </w:sectPr>
      </w:pPr>
    </w:p>
    <w:p>
      <w:pPr>
        <w:spacing w:before="426"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7、认真填报“教学信息反馈表”，及时反馈教学信息和信息员工作情况。</w:t>
      </w:r>
    </w:p>
    <w:p>
      <w:pPr>
        <w:spacing w:before="181"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三、教学信息员的指导与管理</w:t>
      </w:r>
    </w:p>
    <w:p>
      <w:pPr>
        <w:spacing w:before="149" w:line="313" w:lineRule="auto"/>
        <w:ind w:left="1"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1、校、院两级教学信息员分别由教务处教学质量管理科和学院教学秘书负责指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导和日常管理。主管部门应定期或不定期组织教学信息员会议，通报学校和学院教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学工作情况，了解信息员工作状况，相互交流工作经验；定期收集、整理学生信息</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员反映的意见和建议，及时向主管领导反映。</w:t>
      </w:r>
    </w:p>
    <w:p>
      <w:pPr>
        <w:spacing w:before="13"/>
        <w:ind w:left="1" w:right="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2、教学信息员在收集教学信息、反映教学意见和建议时，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应在深入调查的基础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上，全面、客观、及时向主管部门书面反馈，以利促进教学和管理工作。</w:t>
      </w:r>
    </w:p>
    <w:p>
      <w:pPr>
        <w:spacing w:before="216"/>
        <w:ind w:right="2"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3、教学信息员每学期要求提供教学信息不少于</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7"/>
          <w:sz w:val="24"/>
          <w:szCs w:val="24"/>
        </w:rPr>
        <w:t>3</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次，</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7"/>
          <w:sz w:val="24"/>
          <w:szCs w:val="24"/>
        </w:rPr>
        <w:t>每学期上报一次信息员工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作总结，每年对表现出色、成绩突出的信息员予以表彰和奖励。</w:t>
      </w:r>
    </w:p>
    <w:p>
      <w:pPr>
        <w:spacing w:before="203" w:line="180"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四、其他</w:t>
      </w:r>
    </w:p>
    <w:p>
      <w:pPr>
        <w:spacing w:before="147" w:line="316" w:lineRule="auto"/>
        <w:ind w:left="1"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1、建立学生教学信息员制度，</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是完善教学质量监控体系的必要环节，</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是强化教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学管理的重要举措。学校对教学信息员反映的情况要进行专门研究、分析，并与教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师评学相结合，向学院（部）反馈、整改。各学院（部）要高度重视，对教学信息</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员收集的教学信息和反映的意见和建议给予支持、配合和及时解决。</w:t>
      </w:r>
    </w:p>
    <w:p>
      <w:pPr>
        <w:spacing w:before="2" w:line="202"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2、本办法自颁布之日起执行。</w:t>
      </w: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62" w:line="180" w:lineRule="auto"/>
        <w:ind w:firstLine="420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286</w:t>
      </w:r>
    </w:p>
    <w:p>
      <w:pPr>
        <w:sectPr>
          <w:footerReference r:id="rId290" w:type="default"/>
          <w:pgSz w:w="11905" w:h="16840"/>
          <w:pgMar w:top="1431" w:right="1585" w:bottom="400" w:left="1591" w:header="0" w:footer="0" w:gutter="0"/>
          <w:cols w:space="720" w:num="1"/>
        </w:sectPr>
      </w:pPr>
    </w:p>
    <w:p>
      <w:pPr>
        <w:spacing w:before="316" w:line="180" w:lineRule="auto"/>
        <w:ind w:firstLine="213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吉首大学本科课程考核质量标准</w:t>
      </w:r>
    </w:p>
    <w:p>
      <w:pPr>
        <w:spacing w:line="262" w:lineRule="auto"/>
        <w:rPr>
          <w:rFonts w:ascii="Malgun Gothic"/>
          <w:sz w:val="21"/>
        </w:rPr>
      </w:pPr>
    </w:p>
    <w:p>
      <w:pPr>
        <w:spacing w:before="86"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1、课程考核命题质量标准</w:t>
      </w:r>
    </w:p>
    <w:p>
      <w:pPr>
        <w:spacing w:before="154" w:line="238" w:lineRule="auto"/>
        <w:ind w:left="7" w:right="78" w:firstLine="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（1）命题以考核大纲为依据，能重视考核学生对基本概念、基本理论和基本技</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能的掌握程度，也能注重考核学生综合应用所学知识分析问题、解决问题的能力；</w:t>
      </w:r>
    </w:p>
    <w:p>
      <w:pPr>
        <w:spacing w:before="135"/>
        <w:ind w:left="4"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（2）</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4"/>
          <w:sz w:val="24"/>
          <w:szCs w:val="24"/>
        </w:rPr>
        <w:t>考核内容以使用教材、课堂讲授内容以及指定的必读参考书和资料为内容，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涵盖难点、重点；</w:t>
      </w:r>
    </w:p>
    <w:p>
      <w:pPr>
        <w:spacing w:before="13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（3）命题题型科学合理，其中基础题、应用题和提高题的所占比例符合要求；</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（4）试题难易度适中，命题重复率符合要求，有相应的试题答案及评分标准；</w:t>
      </w:r>
    </w:p>
    <w:p>
      <w:pPr>
        <w:spacing w:before="140"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（5）试题题量适当，原则上按每门课程</w:t>
      </w:r>
      <w:r>
        <w:rPr>
          <w:rFonts w:ascii="方正书宋简体" w:hAnsi="方正书宋简体" w:eastAsia="方正书宋简体" w:cs="方正书宋简体"/>
          <w:spacing w:val="42"/>
          <w:w w:val="101"/>
          <w:sz w:val="24"/>
          <w:szCs w:val="24"/>
        </w:rPr>
        <w:t xml:space="preserve"> </w:t>
      </w:r>
      <w:r>
        <w:rPr>
          <w:rFonts w:ascii="方正书宋简体" w:hAnsi="方正书宋简体" w:eastAsia="方正书宋简体" w:cs="方正书宋简体"/>
          <w:spacing w:val="-2"/>
          <w:sz w:val="24"/>
          <w:szCs w:val="24"/>
        </w:rPr>
        <w:t>120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分钟的时间确定题量。</w:t>
      </w:r>
    </w:p>
    <w:p>
      <w:pPr>
        <w:spacing w:before="15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2、试卷制作质量标准</w:t>
      </w:r>
    </w:p>
    <w:p>
      <w:pPr>
        <w:spacing w:before="148"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（1）试卷制作标准，试卷内容经过多层审查，达到零错误；</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（2）审查、审批手续齐备；</w:t>
      </w:r>
    </w:p>
    <w:p>
      <w:pPr>
        <w:spacing w:before="139"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（3）试卷保密制度及相关预案齐全，并具有确实可行性。</w:t>
      </w:r>
    </w:p>
    <w:p>
      <w:pPr>
        <w:spacing w:before="155"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3、考试组织与实施质量标准</w:t>
      </w:r>
    </w:p>
    <w:p>
      <w:pPr>
        <w:spacing w:before="147"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（1）考试安排科学合理、及时准确，便于学生查询与组织复习；</w:t>
      </w:r>
    </w:p>
    <w:p>
      <w:pPr>
        <w:spacing w:before="13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（2）考试组织严格谨密、细致入微，保密制度严密，无徇私舞弊；</w:t>
      </w:r>
    </w:p>
    <w:p>
      <w:pPr>
        <w:spacing w:before="138" w:line="239" w:lineRule="auto"/>
        <w:ind w:right="121"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（3）监考人员严格按照《吉首大学考试工作人员职责》执行，维护考场秩序，</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5"/>
          <w:sz w:val="24"/>
          <w:szCs w:val="24"/>
        </w:rPr>
        <w:t>保证考试顺利进行；</w:t>
      </w:r>
    </w:p>
    <w:p>
      <w:pPr>
        <w:spacing w:before="139" w:line="255" w:lineRule="auto"/>
        <w:ind w:left="3" w:right="77"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（4）监考人员考前</w:t>
      </w:r>
      <w:r>
        <w:rPr>
          <w:rFonts w:ascii="方正书宋简体" w:hAnsi="方正书宋简体" w:eastAsia="方正书宋简体" w:cs="方正书宋简体"/>
          <w:spacing w:val="45"/>
          <w:w w:val="101"/>
          <w:sz w:val="24"/>
          <w:szCs w:val="24"/>
        </w:rPr>
        <w:t xml:space="preserve"> </w:t>
      </w:r>
      <w:r>
        <w:rPr>
          <w:rFonts w:ascii="方正书宋简体" w:hAnsi="方正书宋简体" w:eastAsia="方正书宋简体" w:cs="方正书宋简体"/>
          <w:spacing w:val="-2"/>
          <w:sz w:val="24"/>
          <w:szCs w:val="24"/>
        </w:rPr>
        <w:t>40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分钟领取试卷，考前</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20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分钟进入考场，宣布考试纪律，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清理考场，检查桌椅、墙面、地面，制止考生携带除考试必需用具以外的其他学习</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3"/>
          <w:sz w:val="24"/>
          <w:szCs w:val="24"/>
        </w:rPr>
        <w:t>材料进入考场，已经带入的需放在指定位置；</w:t>
      </w:r>
    </w:p>
    <w:p>
      <w:pPr>
        <w:spacing w:before="13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（5）监考人员按要求重新编排考生座位，并逐一核查考生身份；</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（6）监考人员认真履行职责，监考严明，不做与监考无关事情；</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（7）处理违纪、作弊做到公平公正、证据确凿，程序符合要求；</w:t>
      </w:r>
    </w:p>
    <w:p>
      <w:pPr>
        <w:spacing w:before="138"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4、试卷批阅及成绩评定质量标准</w:t>
      </w:r>
    </w:p>
    <w:p>
      <w:pPr>
        <w:spacing w:before="149"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（1）阅卷评分做到严肃认真、科学准确、公正合理；</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（2）试卷批阅方式方法符合要求，采用：小题加分，大题加分外加圆圈标记；</w:t>
      </w:r>
    </w:p>
    <w:p>
      <w:pPr>
        <w:spacing w:before="137"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（3）公共课程由多人流水改卷，评卷人应在第一张答卷评卷人的每一栏内分别</w:t>
      </w:r>
    </w:p>
    <w:p>
      <w:pPr>
        <w:spacing w:before="151"/>
        <w:ind w:left="3" w:right="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签名；专业课由单人改卷的，只需在第一张答卷评卷人的最后一栏内签名，签名应</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签全名，每一份试卷都要签名。试卷批阅有改动的，需在改动处签阅卷教师姓名；</w:t>
      </w:r>
    </w:p>
    <w:p>
      <w:pPr>
        <w:spacing w:before="13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（4）试卷批阅痕迹清晰易懂、工整简洁、科学合理；</w:t>
      </w:r>
    </w:p>
    <w:p>
      <w:pPr>
        <w:spacing w:before="135"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（5）成绩评定准确，有据可依，呈正态分布，及格率在正常值范围；</w:t>
      </w:r>
    </w:p>
    <w:p>
      <w:pPr>
        <w:spacing w:before="199" w:line="180" w:lineRule="auto"/>
        <w:ind w:firstLine="4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287</w:t>
      </w:r>
    </w:p>
    <w:p>
      <w:pPr>
        <w:sectPr>
          <w:footerReference r:id="rId291" w:type="default"/>
          <w:pgSz w:w="11905" w:h="16840"/>
          <w:pgMar w:top="1431" w:right="1508" w:bottom="400" w:left="1590" w:header="0" w:footer="0" w:gutter="0"/>
          <w:cols w:space="720" w:num="1"/>
        </w:sectPr>
      </w:pPr>
    </w:p>
    <w:p>
      <w:pPr>
        <w:spacing w:before="394"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（6）阅后试卷经过复查及教研室主任检查，且签字齐全，实现零问题率。</w:t>
      </w:r>
    </w:p>
    <w:p>
      <w:pPr>
        <w:spacing w:before="154"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5、试卷保存与归档管理质量标准</w:t>
      </w:r>
    </w:p>
    <w:p>
      <w:pPr>
        <w:spacing w:before="147" w:line="193"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（1）归档内容齐全，无缺项；</w:t>
      </w:r>
    </w:p>
    <w:p>
      <w:pPr>
        <w:spacing w:before="134" w:line="193"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（2）试卷按学号排列，便于存查，试卷份数准确；</w:t>
      </w:r>
    </w:p>
    <w:p>
      <w:pPr>
        <w:spacing w:before="141" w:line="238" w:lineRule="auto"/>
        <w:ind w:left="16" w:right="93" w:firstLine="3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（3）试卷归档有登记，归档方式科学合理，查阅迅速、方便，有教研室主任和</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学院教学副院长核查签字；</w:t>
      </w:r>
    </w:p>
    <w:p>
      <w:pPr>
        <w:spacing w:before="135" w:line="193"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（4）重修试卷和补考试卷存档齐全，查阅迅速、方便；</w:t>
      </w:r>
    </w:p>
    <w:p>
      <w:pPr>
        <w:spacing w:before="137" w:line="180"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（5）</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11"/>
          <w:w w:val="97"/>
          <w:sz w:val="24"/>
          <w:szCs w:val="24"/>
        </w:rPr>
        <w:t>试卷（题）</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1"/>
          <w:w w:val="97"/>
          <w:sz w:val="24"/>
          <w:szCs w:val="24"/>
        </w:rPr>
        <w:t>档案封面内容用黑色字迹笔书写，</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7"/>
          <w:sz w:val="24"/>
          <w:szCs w:val="24"/>
        </w:rPr>
        <w:t>内容全面、整齐，</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w w:val="97"/>
          <w:sz w:val="24"/>
          <w:szCs w:val="24"/>
        </w:rPr>
        <w:t>签字齐全。</w:t>
      </w:r>
    </w:p>
    <w:p>
      <w:pPr>
        <w:spacing w:before="157" w:line="180" w:lineRule="auto"/>
        <w:ind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6、指导性评价指标</w:t>
      </w:r>
    </w:p>
    <w:p>
      <w:pPr>
        <w:spacing w:before="108" w:line="162" w:lineRule="auto"/>
        <w:ind w:firstLine="2144"/>
        <w:rPr>
          <w:rFonts w:ascii="Microsoft JhengHei" w:hAnsi="Microsoft JhengHei" w:eastAsia="Microsoft JhengHei" w:cs="Microsoft JhengHei"/>
          <w:sz w:val="28"/>
          <w:szCs w:val="28"/>
        </w:rPr>
      </w:pPr>
      <w:r>
        <w:rPr>
          <w:rFonts w:ascii="Microsoft JhengHei" w:hAnsi="Microsoft JhengHei" w:eastAsia="Microsoft JhengHei" w:cs="Microsoft JhengHei"/>
          <w:spacing w:val="-1"/>
          <w:sz w:val="28"/>
          <w:szCs w:val="28"/>
        </w:rPr>
        <w:t>吉首大学本科课程考核质量评价标准</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613"/>
        <w:gridCol w:w="3825"/>
        <w:gridCol w:w="3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09" w:type="dxa"/>
            <w:gridSpan w:val="2"/>
            <w:tcBorders>
              <w:top w:val="single" w:color="000000" w:sz="6" w:space="0"/>
              <w:left w:val="single" w:color="000000" w:sz="6" w:space="0"/>
            </w:tcBorders>
            <w:vAlign w:val="top"/>
          </w:tcPr>
          <w:p>
            <w:pPr>
              <w:spacing w:before="85" w:line="180" w:lineRule="auto"/>
              <w:ind w:firstLine="2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评价项目</w:t>
            </w:r>
          </w:p>
        </w:tc>
        <w:tc>
          <w:tcPr>
            <w:tcW w:w="7425" w:type="dxa"/>
            <w:gridSpan w:val="2"/>
            <w:tcBorders>
              <w:top w:val="single" w:color="000000" w:sz="6" w:space="0"/>
              <w:right w:val="single" w:color="000000" w:sz="6" w:space="0"/>
            </w:tcBorders>
            <w:vAlign w:val="top"/>
          </w:tcPr>
          <w:p>
            <w:pPr>
              <w:spacing w:before="83" w:line="180" w:lineRule="auto"/>
              <w:ind w:firstLine="328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696" w:type="dxa"/>
            <w:tcBorders>
              <w:left w:val="single" w:color="000000" w:sz="6" w:space="0"/>
            </w:tcBorders>
            <w:vAlign w:val="top"/>
          </w:tcPr>
          <w:p>
            <w:pPr>
              <w:spacing w:before="78" w:line="218" w:lineRule="auto"/>
              <w:ind w:left="133" w:right="134"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一级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指标</w:t>
            </w:r>
          </w:p>
        </w:tc>
        <w:tc>
          <w:tcPr>
            <w:tcW w:w="613" w:type="dxa"/>
            <w:vAlign w:val="top"/>
          </w:tcPr>
          <w:p>
            <w:pPr>
              <w:spacing w:before="78" w:line="218" w:lineRule="auto"/>
              <w:ind w:left="90" w:right="9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二级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指标</w:t>
            </w:r>
          </w:p>
        </w:tc>
        <w:tc>
          <w:tcPr>
            <w:tcW w:w="3825" w:type="dxa"/>
            <w:vAlign w:val="top"/>
          </w:tcPr>
          <w:p>
            <w:pPr>
              <w:spacing w:before="251" w:line="180" w:lineRule="auto"/>
              <w:ind w:firstLine="170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A</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级</w:t>
            </w:r>
          </w:p>
        </w:tc>
        <w:tc>
          <w:tcPr>
            <w:tcW w:w="3600" w:type="dxa"/>
            <w:tcBorders>
              <w:right w:val="single" w:color="000000" w:sz="6" w:space="0"/>
            </w:tcBorders>
            <w:vAlign w:val="top"/>
          </w:tcPr>
          <w:p>
            <w:pPr>
              <w:spacing w:before="251" w:line="180" w:lineRule="auto"/>
              <w:ind w:firstLine="160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C</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696" w:type="dxa"/>
            <w:vMerge w:val="restart"/>
            <w:tcBorders>
              <w:left w:val="single" w:color="000000" w:sz="6" w:space="0"/>
              <w:bottom w:val="nil"/>
            </w:tcBorders>
            <w:vAlign w:val="top"/>
          </w:tcPr>
          <w:p>
            <w:pPr>
              <w:spacing w:line="242"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76" w:line="180" w:lineRule="auto"/>
              <w:ind w:firstLine="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考核</w:t>
            </w:r>
          </w:p>
          <w:p>
            <w:pPr>
              <w:spacing w:before="120" w:line="180" w:lineRule="auto"/>
              <w:ind w:firstLine="12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命题</w:t>
            </w:r>
          </w:p>
          <w:p>
            <w:pPr>
              <w:spacing w:before="120" w:line="193" w:lineRule="auto"/>
              <w:ind w:firstLine="5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(20</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分)</w:t>
            </w:r>
          </w:p>
        </w:tc>
        <w:tc>
          <w:tcPr>
            <w:tcW w:w="613" w:type="dxa"/>
            <w:vAlign w:val="top"/>
          </w:tcPr>
          <w:p>
            <w:pPr>
              <w:spacing w:line="415" w:lineRule="auto"/>
              <w:rPr>
                <w:rFonts w:ascii="Malgun Gothic"/>
                <w:sz w:val="21"/>
              </w:rPr>
            </w:pPr>
          </w:p>
          <w:p>
            <w:pPr>
              <w:spacing w:before="75" w:line="251" w:lineRule="auto"/>
              <w:ind w:left="111" w:right="97" w:hanging="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 xml:space="preserve">命题 </w:t>
            </w:r>
            <w:r>
              <w:rPr>
                <w:rFonts w:ascii="方正书宋简体" w:hAnsi="方正书宋简体" w:eastAsia="方正书宋简体" w:cs="方正书宋简体"/>
                <w:spacing w:val="-14"/>
                <w:sz w:val="21"/>
                <w:szCs w:val="21"/>
              </w:rPr>
              <w:t>内容</w:t>
            </w:r>
          </w:p>
        </w:tc>
        <w:tc>
          <w:tcPr>
            <w:tcW w:w="3825" w:type="dxa"/>
            <w:vAlign w:val="top"/>
          </w:tcPr>
          <w:p>
            <w:pPr>
              <w:spacing w:before="74" w:line="241" w:lineRule="auto"/>
              <w:ind w:left="44" w:right="17"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以考核大纲为依据，</w:t>
            </w:r>
            <w:r>
              <w:rPr>
                <w:rFonts w:ascii="方正书宋简体" w:hAnsi="方正书宋简体" w:eastAsia="方正书宋简体" w:cs="方正书宋简体"/>
                <w:spacing w:val="56"/>
                <w:sz w:val="21"/>
                <w:szCs w:val="21"/>
              </w:rPr>
              <w:t xml:space="preserve"> </w:t>
            </w:r>
            <w:r>
              <w:rPr>
                <w:rFonts w:ascii="方正书宋简体" w:hAnsi="方正书宋简体" w:eastAsia="方正书宋简体" w:cs="方正书宋简体"/>
                <w:spacing w:val="-10"/>
                <w:sz w:val="21"/>
                <w:szCs w:val="21"/>
              </w:rPr>
              <w:t>能重视考核学生对基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本概念、基本理论和基本技能的掌握程</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8"/>
                <w:sz w:val="21"/>
                <w:szCs w:val="21"/>
              </w:rPr>
              <w:t>度，</w:t>
            </w:r>
            <w:r>
              <w:rPr>
                <w:rFonts w:ascii="方正书宋简体" w:hAnsi="方正书宋简体" w:eastAsia="方正书宋简体" w:cs="方正书宋简体"/>
                <w:spacing w:val="39"/>
                <w:sz w:val="21"/>
                <w:szCs w:val="21"/>
              </w:rPr>
              <w:t xml:space="preserve"> </w:t>
            </w:r>
            <w:r>
              <w:rPr>
                <w:rFonts w:ascii="方正书宋简体" w:hAnsi="方正书宋简体" w:eastAsia="方正书宋简体" w:cs="方正书宋简体"/>
                <w:spacing w:val="-8"/>
                <w:sz w:val="21"/>
                <w:szCs w:val="21"/>
              </w:rPr>
              <w:t>也能注重考核学生综合应用所学知识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分析问题、解决问题的能力；</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0"/>
                <w:sz w:val="21"/>
                <w:szCs w:val="21"/>
              </w:rPr>
              <w:t>考核内容以</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使用教材、课堂讲授内容以及指定的必读</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参考书和资料为内容，涵盖难点、重点。</w:t>
            </w:r>
          </w:p>
        </w:tc>
        <w:tc>
          <w:tcPr>
            <w:tcW w:w="3600" w:type="dxa"/>
            <w:tcBorders>
              <w:right w:val="single" w:color="000000" w:sz="6" w:space="0"/>
            </w:tcBorders>
            <w:vAlign w:val="top"/>
          </w:tcPr>
          <w:p>
            <w:pPr>
              <w:spacing w:before="231" w:line="255" w:lineRule="auto"/>
              <w:ind w:left="51" w:right="44"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以考核大纲为依据，</w:t>
            </w:r>
            <w:r>
              <w:rPr>
                <w:rFonts w:ascii="方正书宋简体" w:hAnsi="方正书宋简体" w:eastAsia="方正书宋简体" w:cs="方正书宋简体"/>
                <w:spacing w:val="38"/>
                <w:sz w:val="21"/>
                <w:szCs w:val="21"/>
              </w:rPr>
              <w:t xml:space="preserve"> </w:t>
            </w:r>
            <w:r>
              <w:rPr>
                <w:rFonts w:ascii="方正书宋简体" w:hAnsi="方正书宋简体" w:eastAsia="方正书宋简体" w:cs="方正书宋简体"/>
                <w:spacing w:val="-11"/>
                <w:sz w:val="21"/>
                <w:szCs w:val="21"/>
              </w:rPr>
              <w:t>能重视考核学生对</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基本概念、基本理论和基本技能的掌握</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1"/>
                <w:sz w:val="21"/>
                <w:szCs w:val="21"/>
              </w:rPr>
              <w:t>程度；</w:t>
            </w:r>
            <w:r>
              <w:rPr>
                <w:rFonts w:ascii="方正书宋简体" w:hAnsi="方正书宋简体" w:eastAsia="方正书宋简体" w:cs="方正书宋简体"/>
                <w:spacing w:val="55"/>
                <w:sz w:val="21"/>
                <w:szCs w:val="21"/>
              </w:rPr>
              <w:t xml:space="preserve"> </w:t>
            </w:r>
            <w:r>
              <w:rPr>
                <w:rFonts w:ascii="方正书宋简体" w:hAnsi="方正书宋简体" w:eastAsia="方正书宋简体" w:cs="方正书宋简体"/>
                <w:spacing w:val="-11"/>
                <w:sz w:val="21"/>
                <w:szCs w:val="21"/>
              </w:rPr>
              <w:t>考核内容以使用教材、课堂讲授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内容以及指定的必读参考书和资料为</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内容，能基本涵盖难点、重点。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 w:hRule="atLeast"/>
        </w:trPr>
        <w:tc>
          <w:tcPr>
            <w:tcW w:w="696" w:type="dxa"/>
            <w:vMerge w:val="continue"/>
            <w:tcBorders>
              <w:top w:val="nil"/>
              <w:left w:val="single" w:color="000000" w:sz="6" w:space="0"/>
            </w:tcBorders>
            <w:vAlign w:val="top"/>
          </w:tcPr>
          <w:p>
            <w:pPr>
              <w:rPr>
                <w:rFonts w:ascii="Malgun Gothic"/>
                <w:sz w:val="21"/>
              </w:rPr>
            </w:pPr>
          </w:p>
        </w:tc>
        <w:tc>
          <w:tcPr>
            <w:tcW w:w="613" w:type="dxa"/>
            <w:vAlign w:val="top"/>
          </w:tcPr>
          <w:p>
            <w:pPr>
              <w:spacing w:before="81" w:line="180" w:lineRule="auto"/>
              <w:ind w:firstLine="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题型</w:t>
            </w:r>
          </w:p>
          <w:p>
            <w:pPr>
              <w:spacing w:before="88" w:line="180" w:lineRule="auto"/>
              <w:ind w:firstLine="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题量</w:t>
            </w:r>
          </w:p>
          <w:p>
            <w:pPr>
              <w:spacing w:before="88" w:line="180" w:lineRule="auto"/>
              <w:ind w:firstLine="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难易</w:t>
            </w:r>
          </w:p>
          <w:p>
            <w:pPr>
              <w:spacing w:before="88" w:line="180"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度</w:t>
            </w:r>
          </w:p>
        </w:tc>
        <w:tc>
          <w:tcPr>
            <w:tcW w:w="3825" w:type="dxa"/>
            <w:vAlign w:val="top"/>
          </w:tcPr>
          <w:p>
            <w:pPr>
              <w:spacing w:before="79" w:line="248" w:lineRule="auto"/>
              <w:ind w:left="43" w:right="30"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命题题型科学合理，</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0"/>
                <w:sz w:val="21"/>
                <w:szCs w:val="21"/>
              </w:rPr>
              <w:t>其中基础题、应用题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和提高题的所占比例符合要求；</w:t>
            </w:r>
            <w:r>
              <w:rPr>
                <w:rFonts w:ascii="方正书宋简体" w:hAnsi="方正书宋简体" w:eastAsia="方正书宋简体" w:cs="方正书宋简体"/>
                <w:spacing w:val="39"/>
                <w:sz w:val="21"/>
                <w:szCs w:val="21"/>
              </w:rPr>
              <w:t xml:space="preserve"> </w:t>
            </w:r>
            <w:r>
              <w:rPr>
                <w:rFonts w:ascii="方正书宋简体" w:hAnsi="方正书宋简体" w:eastAsia="方正书宋简体" w:cs="方正书宋简体"/>
                <w:spacing w:val="-8"/>
                <w:sz w:val="21"/>
                <w:szCs w:val="21"/>
              </w:rPr>
              <w:t>试题难易</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度、试题题量适当，成绩能呈正态分布，</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3"/>
                <w:sz w:val="21"/>
                <w:szCs w:val="21"/>
              </w:rPr>
              <w:t>及格率在正常值范围。</w:t>
            </w:r>
          </w:p>
        </w:tc>
        <w:tc>
          <w:tcPr>
            <w:tcW w:w="3600" w:type="dxa"/>
            <w:tcBorders>
              <w:right w:val="single" w:color="000000" w:sz="6" w:space="0"/>
            </w:tcBorders>
            <w:vAlign w:val="top"/>
          </w:tcPr>
          <w:p>
            <w:pPr>
              <w:spacing w:before="77" w:line="248" w:lineRule="auto"/>
              <w:ind w:left="51" w:right="44"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命题题型合理，</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1"/>
                <w:sz w:val="21"/>
                <w:szCs w:val="21"/>
              </w:rPr>
              <w:t>基础题、应用题和提高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题的所占比例基本符合要求；</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9"/>
                <w:sz w:val="21"/>
                <w:szCs w:val="21"/>
              </w:rPr>
              <w:t>试题难易</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1"/>
                <w:sz w:val="21"/>
                <w:szCs w:val="21"/>
              </w:rPr>
              <w:t>度、试题题量适当，</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1"/>
                <w:sz w:val="21"/>
                <w:szCs w:val="21"/>
              </w:rPr>
              <w:t>及格率在正常值范</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96" w:type="dxa"/>
            <w:vMerge w:val="restart"/>
            <w:tcBorders>
              <w:left w:val="single" w:color="000000" w:sz="6" w:space="0"/>
              <w:bottom w:val="nil"/>
            </w:tcBorders>
            <w:vAlign w:val="top"/>
          </w:tcPr>
          <w:p>
            <w:pPr>
              <w:spacing w:before="239" w:line="180" w:lineRule="auto"/>
              <w:ind w:firstLine="12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p>
          <w:p>
            <w:pPr>
              <w:spacing w:before="120" w:line="180" w:lineRule="auto"/>
              <w:ind w:firstLine="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制作</w:t>
            </w:r>
          </w:p>
          <w:p>
            <w:pPr>
              <w:spacing w:before="119" w:line="193" w:lineRule="auto"/>
              <w:ind w:firstLine="5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(10</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分)</w:t>
            </w:r>
          </w:p>
        </w:tc>
        <w:tc>
          <w:tcPr>
            <w:tcW w:w="613" w:type="dxa"/>
            <w:vAlign w:val="top"/>
          </w:tcPr>
          <w:p>
            <w:pPr>
              <w:spacing w:before="82" w:line="204" w:lineRule="auto"/>
              <w:ind w:left="94" w:right="97" w:hanging="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审查</w:t>
            </w:r>
          </w:p>
        </w:tc>
        <w:tc>
          <w:tcPr>
            <w:tcW w:w="3825" w:type="dxa"/>
            <w:vAlign w:val="top"/>
          </w:tcPr>
          <w:p>
            <w:pPr>
              <w:spacing w:before="78" w:line="207" w:lineRule="auto"/>
              <w:ind w:left="45" w:right="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有命题审批单，</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8"/>
                <w:sz w:val="21"/>
                <w:szCs w:val="21"/>
              </w:rPr>
              <w:t>审查、审批手续齐备，</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8"/>
                <w:sz w:val="21"/>
                <w:szCs w:val="21"/>
              </w:rPr>
              <w:t>试</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卷内容经过多层审核，达到零错误。</w:t>
            </w:r>
          </w:p>
        </w:tc>
        <w:tc>
          <w:tcPr>
            <w:tcW w:w="3600" w:type="dxa"/>
            <w:tcBorders>
              <w:right w:val="single" w:color="000000" w:sz="6" w:space="0"/>
            </w:tcBorders>
            <w:vAlign w:val="top"/>
          </w:tcPr>
          <w:p>
            <w:pPr>
              <w:spacing w:before="78" w:line="206" w:lineRule="auto"/>
              <w:ind w:left="49" w:right="6"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有命题审批单，审查、审批手续齐备，</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试卷内容经过多层审核。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696" w:type="dxa"/>
            <w:vMerge w:val="continue"/>
            <w:tcBorders>
              <w:top w:val="nil"/>
              <w:left w:val="single" w:color="000000" w:sz="6" w:space="0"/>
            </w:tcBorders>
            <w:vAlign w:val="top"/>
          </w:tcPr>
          <w:p>
            <w:pPr>
              <w:rPr>
                <w:rFonts w:ascii="Malgun Gothic"/>
                <w:sz w:val="21"/>
              </w:rPr>
            </w:pPr>
          </w:p>
        </w:tc>
        <w:tc>
          <w:tcPr>
            <w:tcW w:w="613" w:type="dxa"/>
            <w:vAlign w:val="top"/>
          </w:tcPr>
          <w:p>
            <w:pPr>
              <w:spacing w:before="86" w:line="204" w:lineRule="auto"/>
              <w:ind w:left="89" w:right="97"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格式</w:t>
            </w:r>
          </w:p>
        </w:tc>
        <w:tc>
          <w:tcPr>
            <w:tcW w:w="3825" w:type="dxa"/>
            <w:vAlign w:val="top"/>
          </w:tcPr>
          <w:p>
            <w:pPr>
              <w:spacing w:before="239" w:line="180" w:lineRule="auto"/>
              <w:ind w:firstLine="4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试卷制作标准。</w:t>
            </w:r>
          </w:p>
        </w:tc>
        <w:tc>
          <w:tcPr>
            <w:tcW w:w="3600" w:type="dxa"/>
            <w:tcBorders>
              <w:right w:val="single" w:color="000000" w:sz="6" w:space="0"/>
            </w:tcBorders>
            <w:vAlign w:val="top"/>
          </w:tcPr>
          <w:p>
            <w:pPr>
              <w:spacing w:before="239" w:line="180" w:lineRule="auto"/>
              <w:ind w:firstLine="4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试卷制作基本标准。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696" w:type="dxa"/>
            <w:vMerge w:val="restart"/>
            <w:tcBorders>
              <w:left w:val="single" w:color="000000" w:sz="6" w:space="0"/>
              <w:bottom w:val="nil"/>
            </w:tcBorders>
            <w:vAlign w:val="top"/>
          </w:tcPr>
          <w:p>
            <w:pPr>
              <w:spacing w:line="283" w:lineRule="auto"/>
              <w:rPr>
                <w:rFonts w:ascii="Malgun Gothic"/>
                <w:sz w:val="21"/>
              </w:rPr>
            </w:pPr>
          </w:p>
          <w:p>
            <w:pPr>
              <w:spacing w:line="284" w:lineRule="auto"/>
              <w:rPr>
                <w:rFonts w:ascii="Malgun Gothic"/>
                <w:sz w:val="21"/>
              </w:rPr>
            </w:pPr>
          </w:p>
          <w:p>
            <w:pPr>
              <w:spacing w:before="74" w:line="180" w:lineRule="auto"/>
              <w:ind w:firstLine="13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考试</w:t>
            </w:r>
          </w:p>
          <w:p>
            <w:pPr>
              <w:spacing w:before="88" w:line="180" w:lineRule="auto"/>
              <w:ind w:firstLine="13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组织</w:t>
            </w:r>
          </w:p>
          <w:p>
            <w:pPr>
              <w:spacing w:before="86" w:line="180" w:lineRule="auto"/>
              <w:ind w:firstLine="13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与实</w:t>
            </w:r>
          </w:p>
          <w:p>
            <w:pPr>
              <w:spacing w:before="92" w:line="180" w:lineRule="auto"/>
              <w:ind w:firstLine="2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施</w:t>
            </w:r>
          </w:p>
          <w:p>
            <w:pPr>
              <w:spacing w:before="115" w:line="193" w:lineRule="auto"/>
              <w:ind w:firstLine="5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分)</w:t>
            </w:r>
          </w:p>
        </w:tc>
        <w:tc>
          <w:tcPr>
            <w:tcW w:w="613" w:type="dxa"/>
            <w:vAlign w:val="top"/>
          </w:tcPr>
          <w:p>
            <w:pPr>
              <w:spacing w:before="89" w:line="204" w:lineRule="auto"/>
              <w:ind w:left="90" w:right="9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考试</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领导</w:t>
            </w:r>
          </w:p>
        </w:tc>
        <w:tc>
          <w:tcPr>
            <w:tcW w:w="3825" w:type="dxa"/>
            <w:vAlign w:val="top"/>
          </w:tcPr>
          <w:p>
            <w:pPr>
              <w:spacing w:before="88" w:line="206" w:lineRule="auto"/>
              <w:ind w:left="47" w:right="43"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考试领导组织健全，</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0"/>
                <w:sz w:val="21"/>
                <w:szCs w:val="21"/>
              </w:rPr>
              <w:t>有巡考、场外巡视设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置，并能认真巡视。</w:t>
            </w:r>
          </w:p>
        </w:tc>
        <w:tc>
          <w:tcPr>
            <w:tcW w:w="3600" w:type="dxa"/>
            <w:tcBorders>
              <w:right w:val="single" w:color="000000" w:sz="6" w:space="0"/>
            </w:tcBorders>
            <w:vAlign w:val="top"/>
          </w:tcPr>
          <w:p>
            <w:pPr>
              <w:spacing w:before="88" w:line="203" w:lineRule="auto"/>
              <w:ind w:left="49" w:right="46"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考试领导组织健全，</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sz w:val="21"/>
                <w:szCs w:val="21"/>
              </w:rPr>
              <w:t>有巡考、场外巡视</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6"/>
                <w:sz w:val="21"/>
                <w:szCs w:val="21"/>
              </w:rPr>
              <w:t>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696" w:type="dxa"/>
            <w:vMerge w:val="continue"/>
            <w:tcBorders>
              <w:top w:val="nil"/>
              <w:left w:val="single" w:color="000000" w:sz="6" w:space="0"/>
              <w:bottom w:val="nil"/>
            </w:tcBorders>
            <w:vAlign w:val="top"/>
          </w:tcPr>
          <w:p>
            <w:pPr>
              <w:rPr>
                <w:rFonts w:ascii="Malgun Gothic"/>
                <w:sz w:val="21"/>
              </w:rPr>
            </w:pPr>
          </w:p>
        </w:tc>
        <w:tc>
          <w:tcPr>
            <w:tcW w:w="613" w:type="dxa"/>
            <w:vAlign w:val="top"/>
          </w:tcPr>
          <w:p>
            <w:pPr>
              <w:spacing w:before="93" w:line="204" w:lineRule="auto"/>
              <w:ind w:left="95" w:right="97"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考试</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5"/>
                <w:sz w:val="21"/>
                <w:szCs w:val="21"/>
              </w:rPr>
              <w:t>编排</w:t>
            </w:r>
          </w:p>
        </w:tc>
        <w:tc>
          <w:tcPr>
            <w:tcW w:w="3825" w:type="dxa"/>
            <w:vAlign w:val="top"/>
          </w:tcPr>
          <w:p>
            <w:pPr>
              <w:spacing w:before="77" w:line="211" w:lineRule="auto"/>
              <w:ind w:left="44" w:right="43"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考试安排科学合理、及时准确，</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0"/>
                <w:sz w:val="21"/>
                <w:szCs w:val="21"/>
              </w:rPr>
              <w:t>便于学生</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查询与组织复习。</w:t>
            </w:r>
          </w:p>
        </w:tc>
        <w:tc>
          <w:tcPr>
            <w:tcW w:w="3600" w:type="dxa"/>
            <w:tcBorders>
              <w:right w:val="single" w:color="000000" w:sz="6" w:space="0"/>
            </w:tcBorders>
            <w:vAlign w:val="top"/>
          </w:tcPr>
          <w:p>
            <w:pPr>
              <w:spacing w:before="77" w:line="211" w:lineRule="auto"/>
              <w:ind w:left="54" w:right="46"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考试安排基本合理、及时，</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sz w:val="21"/>
                <w:szCs w:val="21"/>
              </w:rPr>
              <w:t>便于学生查</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询与组织复习。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2" w:hRule="atLeast"/>
        </w:trPr>
        <w:tc>
          <w:tcPr>
            <w:tcW w:w="696" w:type="dxa"/>
            <w:vMerge w:val="continue"/>
            <w:tcBorders>
              <w:top w:val="nil"/>
              <w:left w:val="single" w:color="000000" w:sz="6" w:space="0"/>
              <w:bottom w:val="single" w:color="000000" w:sz="6" w:space="0"/>
            </w:tcBorders>
            <w:vAlign w:val="top"/>
          </w:tcPr>
          <w:p>
            <w:pPr>
              <w:rPr>
                <w:rFonts w:ascii="Malgun Gothic"/>
                <w:sz w:val="21"/>
              </w:rPr>
            </w:pPr>
          </w:p>
        </w:tc>
        <w:tc>
          <w:tcPr>
            <w:tcW w:w="613" w:type="dxa"/>
            <w:tcBorders>
              <w:bottom w:val="single" w:color="000000" w:sz="6" w:space="0"/>
            </w:tcBorders>
            <w:vAlign w:val="top"/>
          </w:tcPr>
          <w:p>
            <w:pPr>
              <w:spacing w:line="428" w:lineRule="auto"/>
              <w:rPr>
                <w:rFonts w:ascii="Malgun Gothic"/>
                <w:sz w:val="21"/>
              </w:rPr>
            </w:pPr>
          </w:p>
          <w:p>
            <w:pPr>
              <w:spacing w:before="74" w:line="251" w:lineRule="auto"/>
              <w:ind w:left="89" w:right="97"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考试</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监考</w:t>
            </w:r>
          </w:p>
        </w:tc>
        <w:tc>
          <w:tcPr>
            <w:tcW w:w="3825" w:type="dxa"/>
            <w:tcBorders>
              <w:bottom w:val="single" w:color="000000" w:sz="6" w:space="0"/>
            </w:tcBorders>
            <w:vAlign w:val="top"/>
          </w:tcPr>
          <w:p>
            <w:pPr>
              <w:spacing w:before="91" w:line="251" w:lineRule="auto"/>
              <w:ind w:left="44"/>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监考人员严格执行《吉首大学考试工作人</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员职责》，按要求重新编排考生座位，</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13"/>
                <w:sz w:val="21"/>
                <w:szCs w:val="21"/>
              </w:rPr>
              <w:t>并</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逐一核查考生身份。认真监考，</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2"/>
                <w:sz w:val="21"/>
                <w:szCs w:val="21"/>
              </w:rPr>
              <w:t>考试过程</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纪律严明。处理违纪、作弊做到公平公正、</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2"/>
                <w:sz w:val="21"/>
                <w:szCs w:val="21"/>
              </w:rPr>
              <w:t>证据确凿，</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2"/>
                <w:sz w:val="21"/>
                <w:szCs w:val="21"/>
              </w:rPr>
              <w:t>程序符合要求。试卷袋相关签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字齐全，试卷份数准确，试卷装订整齐。</w:t>
            </w:r>
          </w:p>
        </w:tc>
        <w:tc>
          <w:tcPr>
            <w:tcW w:w="3600" w:type="dxa"/>
            <w:tcBorders>
              <w:bottom w:val="single" w:color="000000" w:sz="6" w:space="0"/>
              <w:right w:val="single" w:color="000000" w:sz="6" w:space="0"/>
            </w:tcBorders>
            <w:vAlign w:val="top"/>
          </w:tcPr>
          <w:p>
            <w:pPr>
              <w:spacing w:before="250" w:line="251" w:lineRule="auto"/>
              <w:ind w:left="51" w:right="4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监考人员严格执行《吉首大学考试工作</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21"/>
                <w:w w:val="99"/>
                <w:sz w:val="21"/>
                <w:szCs w:val="21"/>
              </w:rPr>
              <w:t>人员职责》，</w:t>
            </w:r>
            <w:r>
              <w:rPr>
                <w:rFonts w:ascii="方正书宋简体" w:hAnsi="方正书宋简体" w:eastAsia="方正书宋简体" w:cs="方正书宋简体"/>
                <w:spacing w:val="34"/>
                <w:sz w:val="21"/>
                <w:szCs w:val="21"/>
              </w:rPr>
              <w:t xml:space="preserve">  </w:t>
            </w:r>
            <w:r>
              <w:rPr>
                <w:rFonts w:ascii="方正书宋简体" w:hAnsi="方正书宋简体" w:eastAsia="方正书宋简体" w:cs="方正书宋简体"/>
                <w:spacing w:val="-21"/>
                <w:w w:val="99"/>
                <w:sz w:val="21"/>
                <w:szCs w:val="21"/>
              </w:rPr>
              <w:t>能核查考生身份，</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21"/>
                <w:w w:val="99"/>
                <w:sz w:val="21"/>
                <w:szCs w:val="21"/>
              </w:rPr>
              <w:t>认真监</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考。处理违纪、作弊做到公平公正、证</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1"/>
                <w:sz w:val="21"/>
                <w:szCs w:val="21"/>
              </w:rPr>
              <w:t>据确凿。试卷袋相关签字齐全，</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1"/>
                <w:sz w:val="21"/>
                <w:szCs w:val="21"/>
              </w:rPr>
              <w:t>试卷份</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数准确，试卷装订基本整齐。</w:t>
            </w:r>
          </w:p>
        </w:tc>
      </w:tr>
    </w:tbl>
    <w:p>
      <w:pPr>
        <w:spacing w:before="312"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288</w:t>
      </w:r>
    </w:p>
    <w:p>
      <w:pPr>
        <w:sectPr>
          <w:footerReference r:id="rId292" w:type="default"/>
          <w:pgSz w:w="11905" w:h="16840"/>
          <w:pgMar w:top="1431" w:right="1494"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6"/>
        <w:gridCol w:w="613"/>
        <w:gridCol w:w="3825"/>
        <w:gridCol w:w="3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09" w:type="dxa"/>
            <w:gridSpan w:val="2"/>
            <w:tcBorders>
              <w:top w:val="single" w:color="000000" w:sz="6" w:space="0"/>
              <w:left w:val="single" w:color="000000" w:sz="6" w:space="0"/>
            </w:tcBorders>
            <w:vAlign w:val="top"/>
          </w:tcPr>
          <w:p>
            <w:pPr>
              <w:spacing w:before="85" w:line="180" w:lineRule="auto"/>
              <w:ind w:firstLine="2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评价项目</w:t>
            </w:r>
          </w:p>
        </w:tc>
        <w:tc>
          <w:tcPr>
            <w:tcW w:w="7425" w:type="dxa"/>
            <w:gridSpan w:val="2"/>
            <w:tcBorders>
              <w:top w:val="single" w:color="000000" w:sz="6" w:space="0"/>
              <w:right w:val="single" w:color="000000" w:sz="6" w:space="0"/>
            </w:tcBorders>
            <w:vAlign w:val="top"/>
          </w:tcPr>
          <w:p>
            <w:pPr>
              <w:spacing w:before="83" w:line="180" w:lineRule="auto"/>
              <w:ind w:firstLine="328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14:textOutline w14:w="2667" w14:cap="flat" w14:cmpd="sng">
                  <w14:solidFill>
                    <w14:srgbClr w14:val="000000"/>
                  </w14:solidFill>
                  <w14:prstDash w14:val="solid"/>
                  <w14:miter w14:val="1"/>
                </w14:textOutline>
              </w:rPr>
              <w:t>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696" w:type="dxa"/>
            <w:tcBorders>
              <w:left w:val="single" w:color="000000" w:sz="6" w:space="0"/>
            </w:tcBorders>
            <w:vAlign w:val="top"/>
          </w:tcPr>
          <w:p>
            <w:pPr>
              <w:spacing w:before="79" w:line="218" w:lineRule="auto"/>
              <w:ind w:left="133" w:right="134"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一级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指标</w:t>
            </w:r>
          </w:p>
        </w:tc>
        <w:tc>
          <w:tcPr>
            <w:tcW w:w="613" w:type="dxa"/>
            <w:vAlign w:val="top"/>
          </w:tcPr>
          <w:p>
            <w:pPr>
              <w:spacing w:before="79" w:line="218" w:lineRule="auto"/>
              <w:ind w:left="90" w:right="9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二级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指标</w:t>
            </w:r>
          </w:p>
        </w:tc>
        <w:tc>
          <w:tcPr>
            <w:tcW w:w="3825" w:type="dxa"/>
            <w:vAlign w:val="top"/>
          </w:tcPr>
          <w:p>
            <w:pPr>
              <w:spacing w:before="252" w:line="180" w:lineRule="auto"/>
              <w:ind w:firstLine="170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A</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14:textOutline w14:w="2667" w14:cap="flat" w14:cmpd="sng">
                  <w14:solidFill>
                    <w14:srgbClr w14:val="000000"/>
                  </w14:solidFill>
                  <w14:prstDash w14:val="solid"/>
                  <w14:miter w14:val="1"/>
                </w14:textOutline>
              </w:rPr>
              <w:t>级</w:t>
            </w:r>
          </w:p>
        </w:tc>
        <w:tc>
          <w:tcPr>
            <w:tcW w:w="3600" w:type="dxa"/>
            <w:tcBorders>
              <w:right w:val="single" w:color="000000" w:sz="6" w:space="0"/>
            </w:tcBorders>
            <w:vAlign w:val="top"/>
          </w:tcPr>
          <w:p>
            <w:pPr>
              <w:spacing w:before="252" w:line="180" w:lineRule="auto"/>
              <w:ind w:firstLine="160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C</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696" w:type="dxa"/>
            <w:vMerge w:val="restart"/>
            <w:tcBorders>
              <w:left w:val="single" w:color="000000" w:sz="6" w:space="0"/>
              <w:bottom w:val="nil"/>
            </w:tcBorders>
            <w:vAlign w:val="top"/>
          </w:tcPr>
          <w:p>
            <w:pPr>
              <w:spacing w:line="252" w:lineRule="auto"/>
              <w:rPr>
                <w:rFonts w:ascii="Malgun Gothic"/>
                <w:sz w:val="21"/>
              </w:rPr>
            </w:pPr>
          </w:p>
          <w:p>
            <w:pPr>
              <w:spacing w:before="76" w:line="180" w:lineRule="auto"/>
              <w:ind w:firstLine="13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p>
          <w:p>
            <w:pPr>
              <w:spacing w:before="88" w:line="180" w:lineRule="auto"/>
              <w:ind w:firstLine="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批阅</w:t>
            </w:r>
          </w:p>
          <w:p>
            <w:pPr>
              <w:spacing w:before="87" w:line="180" w:lineRule="auto"/>
              <w:ind w:firstLine="13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及成</w:t>
            </w:r>
          </w:p>
          <w:p>
            <w:pPr>
              <w:spacing w:before="85" w:line="180" w:lineRule="auto"/>
              <w:ind w:firstLine="1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绩评</w:t>
            </w:r>
          </w:p>
          <w:p>
            <w:pPr>
              <w:spacing w:before="91"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定</w:t>
            </w:r>
          </w:p>
          <w:p>
            <w:pPr>
              <w:spacing w:before="81" w:line="193" w:lineRule="auto"/>
              <w:ind w:firstLine="5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(20</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分)</w:t>
            </w:r>
          </w:p>
        </w:tc>
        <w:tc>
          <w:tcPr>
            <w:tcW w:w="613" w:type="dxa"/>
            <w:vAlign w:val="top"/>
          </w:tcPr>
          <w:p>
            <w:pPr>
              <w:spacing w:before="409" w:line="250" w:lineRule="auto"/>
              <w:ind w:left="88" w:right="9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批阅</w:t>
            </w:r>
          </w:p>
        </w:tc>
        <w:tc>
          <w:tcPr>
            <w:tcW w:w="3825" w:type="dxa"/>
            <w:vAlign w:val="top"/>
          </w:tcPr>
          <w:p>
            <w:pPr>
              <w:spacing w:before="93" w:line="248" w:lineRule="auto"/>
              <w:ind w:left="44"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阅卷评分做到严肃认真、科学准确、公正</w:t>
            </w:r>
            <w:r>
              <w:rPr>
                <w:rFonts w:ascii="方正书宋简体" w:hAnsi="方正书宋简体" w:eastAsia="方正书宋简体" w:cs="方正书宋简体"/>
                <w:spacing w:val="6"/>
                <w:w w:val="103"/>
                <w:sz w:val="21"/>
                <w:szCs w:val="21"/>
              </w:rPr>
              <w:t xml:space="preserve">  </w:t>
            </w:r>
            <w:r>
              <w:rPr>
                <w:rFonts w:ascii="方正书宋简体" w:hAnsi="方正书宋简体" w:eastAsia="方正书宋简体" w:cs="方正书宋简体"/>
                <w:spacing w:val="-17"/>
                <w:sz w:val="21"/>
                <w:szCs w:val="21"/>
              </w:rPr>
              <w:t>合理；</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7"/>
                <w:sz w:val="21"/>
                <w:szCs w:val="21"/>
              </w:rPr>
              <w:t>试卷批阅方式方法符合要求；</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7"/>
                <w:sz w:val="21"/>
                <w:szCs w:val="21"/>
              </w:rPr>
              <w:t>试卷</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2"/>
                <w:sz w:val="21"/>
                <w:szCs w:val="21"/>
              </w:rPr>
              <w:t>批阅痕迹清晰易懂、工整简洁、科学合理，</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5"/>
                <w:sz w:val="21"/>
                <w:szCs w:val="21"/>
              </w:rPr>
              <w:t>无错误改动。</w:t>
            </w:r>
          </w:p>
        </w:tc>
        <w:tc>
          <w:tcPr>
            <w:tcW w:w="3600" w:type="dxa"/>
            <w:tcBorders>
              <w:right w:val="single" w:color="000000" w:sz="6" w:space="0"/>
            </w:tcBorders>
            <w:vAlign w:val="top"/>
          </w:tcPr>
          <w:p>
            <w:pPr>
              <w:spacing w:before="85" w:line="247" w:lineRule="auto"/>
              <w:ind w:left="52" w:firstLine="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阅卷评分做到严肃认真、准确合理；</w:t>
            </w:r>
            <w:r>
              <w:rPr>
                <w:rFonts w:ascii="方正书宋简体" w:hAnsi="方正书宋简体" w:eastAsia="方正书宋简体" w:cs="方正书宋简体"/>
                <w:spacing w:val="65"/>
                <w:w w:val="101"/>
                <w:sz w:val="21"/>
                <w:szCs w:val="21"/>
              </w:rPr>
              <w:t xml:space="preserve"> </w:t>
            </w:r>
            <w:r>
              <w:rPr>
                <w:rFonts w:ascii="方正书宋简体" w:hAnsi="方正书宋简体" w:eastAsia="方正书宋简体" w:cs="方正书宋简体"/>
                <w:spacing w:val="-14"/>
                <w:sz w:val="21"/>
                <w:szCs w:val="21"/>
              </w:rPr>
              <w:t>试</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卷批阅方式方法符合要求；</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0"/>
                <w:sz w:val="21"/>
                <w:szCs w:val="21"/>
              </w:rPr>
              <w:t>试卷批阅痕</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4"/>
                <w:sz w:val="21"/>
                <w:szCs w:val="21"/>
              </w:rPr>
              <w:t>迹基本清晰、工整简洁，错误改动较少，</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5"/>
                <w:sz w:val="21"/>
                <w:szCs w:val="21"/>
              </w:rPr>
              <w:t>改动处有签名。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696" w:type="dxa"/>
            <w:vMerge w:val="continue"/>
            <w:tcBorders>
              <w:top w:val="nil"/>
              <w:left w:val="single" w:color="000000" w:sz="6" w:space="0"/>
            </w:tcBorders>
            <w:vAlign w:val="top"/>
          </w:tcPr>
          <w:p>
            <w:pPr>
              <w:rPr>
                <w:rFonts w:ascii="Malgun Gothic"/>
                <w:sz w:val="21"/>
              </w:rPr>
            </w:pPr>
          </w:p>
        </w:tc>
        <w:tc>
          <w:tcPr>
            <w:tcW w:w="613" w:type="dxa"/>
            <w:vAlign w:val="top"/>
          </w:tcPr>
          <w:p>
            <w:pPr>
              <w:spacing w:before="407" w:line="252" w:lineRule="auto"/>
              <w:ind w:left="88" w:right="97"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成绩</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评定</w:t>
            </w:r>
          </w:p>
        </w:tc>
        <w:tc>
          <w:tcPr>
            <w:tcW w:w="3825" w:type="dxa"/>
            <w:vAlign w:val="top"/>
          </w:tcPr>
          <w:p>
            <w:pPr>
              <w:spacing w:before="95" w:line="248" w:lineRule="auto"/>
              <w:ind w:left="44" w:right="30"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成绩评定准确，有据可依，呈正态分布，</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0"/>
                <w:sz w:val="21"/>
                <w:szCs w:val="21"/>
              </w:rPr>
              <w:t>及格率在正常值范围；</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0"/>
                <w:sz w:val="21"/>
                <w:szCs w:val="21"/>
              </w:rPr>
              <w:t>阅后试卷经过复查</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7"/>
                <w:sz w:val="21"/>
                <w:szCs w:val="21"/>
              </w:rPr>
              <w:t>及教研室主任检查，</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7"/>
                <w:sz w:val="21"/>
                <w:szCs w:val="21"/>
              </w:rPr>
              <w:t>且签字齐全，</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7"/>
                <w:sz w:val="21"/>
                <w:szCs w:val="21"/>
              </w:rPr>
              <w:t>实现零</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问题率。</w:t>
            </w:r>
          </w:p>
        </w:tc>
        <w:tc>
          <w:tcPr>
            <w:tcW w:w="3600" w:type="dxa"/>
            <w:tcBorders>
              <w:right w:val="single" w:color="000000" w:sz="6" w:space="0"/>
            </w:tcBorders>
            <w:vAlign w:val="top"/>
          </w:tcPr>
          <w:p>
            <w:pPr>
              <w:spacing w:before="250" w:line="246" w:lineRule="auto"/>
              <w:ind w:left="58" w:right="44" w:hanging="6"/>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成绩评定准确，</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8"/>
                <w:sz w:val="21"/>
                <w:szCs w:val="21"/>
              </w:rPr>
              <w:t>有据可依，</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8"/>
                <w:sz w:val="21"/>
                <w:szCs w:val="21"/>
              </w:rPr>
              <w:t>及格率在正</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1"/>
                <w:sz w:val="21"/>
                <w:szCs w:val="21"/>
              </w:rPr>
              <w:t>常值范围；</w:t>
            </w:r>
            <w:r>
              <w:rPr>
                <w:rFonts w:ascii="方正书宋简体" w:hAnsi="方正书宋简体" w:eastAsia="方正书宋简体" w:cs="方正书宋简体"/>
                <w:spacing w:val="49"/>
                <w:sz w:val="21"/>
                <w:szCs w:val="21"/>
              </w:rPr>
              <w:t xml:space="preserve"> </w:t>
            </w:r>
            <w:r>
              <w:rPr>
                <w:rFonts w:ascii="方正书宋简体" w:hAnsi="方正书宋简体" w:eastAsia="方正书宋简体" w:cs="方正书宋简体"/>
                <w:spacing w:val="-11"/>
                <w:sz w:val="21"/>
                <w:szCs w:val="21"/>
              </w:rPr>
              <w:t>阅后试卷经过复查及教研室</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主任检查，且签字齐全。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1" w:hRule="atLeast"/>
        </w:trPr>
        <w:tc>
          <w:tcPr>
            <w:tcW w:w="696" w:type="dxa"/>
            <w:vMerge w:val="restart"/>
            <w:tcBorders>
              <w:left w:val="single" w:color="000000" w:sz="6" w:space="0"/>
              <w:bottom w:val="nil"/>
            </w:tcBorders>
            <w:vAlign w:val="top"/>
          </w:tcPr>
          <w:p>
            <w:pPr>
              <w:spacing w:before="144" w:line="251" w:lineRule="auto"/>
              <w:ind w:left="49" w:right="27" w:firstLine="81"/>
              <w:jc w:val="right"/>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装订、</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2"/>
                <w:w w:val="108"/>
                <w:sz w:val="21"/>
                <w:szCs w:val="21"/>
              </w:rPr>
              <w:t>保存</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2"/>
                <w:w w:val="108"/>
                <w:sz w:val="21"/>
                <w:szCs w:val="21"/>
              </w:rPr>
              <w:t>与归</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档管</w:t>
            </w:r>
          </w:p>
          <w:p>
            <w:pPr>
              <w:spacing w:before="9" w:line="263" w:lineRule="auto"/>
              <w:ind w:left="56" w:right="50" w:firstLine="18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(20</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3"/>
                <w:sz w:val="21"/>
                <w:szCs w:val="21"/>
              </w:rPr>
              <w:t>分)</w:t>
            </w:r>
          </w:p>
        </w:tc>
        <w:tc>
          <w:tcPr>
            <w:tcW w:w="613" w:type="dxa"/>
            <w:vAlign w:val="top"/>
          </w:tcPr>
          <w:p>
            <w:pPr>
              <w:spacing w:before="414" w:line="250" w:lineRule="auto"/>
              <w:ind w:left="88" w:right="9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装订</w:t>
            </w:r>
          </w:p>
        </w:tc>
        <w:tc>
          <w:tcPr>
            <w:tcW w:w="3825" w:type="dxa"/>
            <w:vAlign w:val="top"/>
          </w:tcPr>
          <w:p>
            <w:pPr>
              <w:spacing w:before="84" w:line="253" w:lineRule="auto"/>
              <w:ind w:left="45" w:right="43"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试卷经过装订，</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0"/>
                <w:sz w:val="21"/>
                <w:szCs w:val="21"/>
              </w:rPr>
              <w:t>装订整齐。试卷按学号排</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9"/>
                <w:sz w:val="21"/>
                <w:szCs w:val="21"/>
              </w:rPr>
              <w:t>列，</w:t>
            </w:r>
            <w:r>
              <w:rPr>
                <w:rFonts w:ascii="方正书宋简体" w:hAnsi="方正书宋简体" w:eastAsia="方正书宋简体" w:cs="方正书宋简体"/>
                <w:spacing w:val="55"/>
                <w:w w:val="101"/>
                <w:sz w:val="21"/>
                <w:szCs w:val="21"/>
              </w:rPr>
              <w:t xml:space="preserve"> </w:t>
            </w:r>
            <w:r>
              <w:rPr>
                <w:rFonts w:ascii="方正书宋简体" w:hAnsi="方正书宋简体" w:eastAsia="方正书宋简体" w:cs="方正书宋简体"/>
                <w:spacing w:val="-9"/>
                <w:sz w:val="21"/>
                <w:szCs w:val="21"/>
              </w:rPr>
              <w:t>试卷份数准确。试卷装订书写内容清</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6"/>
                <w:sz w:val="21"/>
                <w:szCs w:val="21"/>
              </w:rPr>
              <w:t>晰工整，</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6"/>
                <w:sz w:val="21"/>
                <w:szCs w:val="21"/>
              </w:rPr>
              <w:t>内容齐全，</w:t>
            </w:r>
            <w:r>
              <w:rPr>
                <w:rFonts w:ascii="方正书宋简体" w:hAnsi="方正书宋简体" w:eastAsia="方正书宋简体" w:cs="方正书宋简体"/>
                <w:spacing w:val="46"/>
                <w:sz w:val="21"/>
                <w:szCs w:val="21"/>
              </w:rPr>
              <w:t xml:space="preserve"> </w:t>
            </w:r>
            <w:r>
              <w:rPr>
                <w:rFonts w:ascii="方正书宋简体" w:hAnsi="方正书宋简体" w:eastAsia="方正书宋简体" w:cs="方正书宋简体"/>
                <w:spacing w:val="-16"/>
                <w:sz w:val="21"/>
                <w:szCs w:val="21"/>
              </w:rPr>
              <w:t>有教研室主任和学院</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教学副院长核查签字。</w:t>
            </w:r>
          </w:p>
        </w:tc>
        <w:tc>
          <w:tcPr>
            <w:tcW w:w="3600" w:type="dxa"/>
            <w:tcBorders>
              <w:right w:val="single" w:color="000000" w:sz="6" w:space="0"/>
            </w:tcBorders>
            <w:vAlign w:val="top"/>
          </w:tcPr>
          <w:p>
            <w:pPr>
              <w:spacing w:before="253" w:line="250" w:lineRule="auto"/>
              <w:ind w:left="52" w:right="44"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试卷经过装订，</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1"/>
                <w:sz w:val="21"/>
                <w:szCs w:val="21"/>
              </w:rPr>
              <w:t>装订基本整齐。试卷装</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订书写内容齐全，</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9"/>
                <w:sz w:val="21"/>
                <w:szCs w:val="21"/>
              </w:rPr>
              <w:t>有教研室主任和学院</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教学副院长核查签字。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696" w:type="dxa"/>
            <w:vMerge w:val="continue"/>
            <w:tcBorders>
              <w:top w:val="nil"/>
              <w:left w:val="single" w:color="000000" w:sz="6" w:space="0"/>
              <w:bottom w:val="single" w:color="000000" w:sz="6" w:space="0"/>
            </w:tcBorders>
            <w:vAlign w:val="top"/>
          </w:tcPr>
          <w:p>
            <w:pPr>
              <w:rPr>
                <w:rFonts w:ascii="Malgun Gothic"/>
                <w:sz w:val="21"/>
              </w:rPr>
            </w:pPr>
          </w:p>
        </w:tc>
        <w:tc>
          <w:tcPr>
            <w:tcW w:w="613" w:type="dxa"/>
            <w:tcBorders>
              <w:bottom w:val="single" w:color="000000" w:sz="6" w:space="0"/>
            </w:tcBorders>
            <w:vAlign w:val="top"/>
          </w:tcPr>
          <w:p>
            <w:pPr>
              <w:spacing w:before="255" w:line="251" w:lineRule="auto"/>
              <w:ind w:left="91" w:right="97"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保存</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sz w:val="21"/>
                <w:szCs w:val="21"/>
              </w:rPr>
              <w:t>归档</w:t>
            </w:r>
          </w:p>
        </w:tc>
        <w:tc>
          <w:tcPr>
            <w:tcW w:w="3825" w:type="dxa"/>
            <w:tcBorders>
              <w:bottom w:val="single" w:color="000000" w:sz="6" w:space="0"/>
            </w:tcBorders>
            <w:vAlign w:val="top"/>
          </w:tcPr>
          <w:p>
            <w:pPr>
              <w:spacing w:before="100" w:line="251" w:lineRule="auto"/>
              <w:ind w:left="46"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归档内容齐全，</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9"/>
                <w:sz w:val="21"/>
                <w:szCs w:val="21"/>
              </w:rPr>
              <w:t>有登记，</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9"/>
                <w:sz w:val="21"/>
                <w:szCs w:val="21"/>
              </w:rPr>
              <w:t>无缺项。期末试</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0"/>
                <w:sz w:val="21"/>
                <w:szCs w:val="21"/>
              </w:rPr>
              <w:t>卷、重修试卷、补考试卷及试卷（题）</w:t>
            </w:r>
            <w:r>
              <w:rPr>
                <w:rFonts w:ascii="方正书宋简体" w:hAnsi="方正书宋简体" w:eastAsia="方正书宋简体" w:cs="方正书宋简体"/>
                <w:spacing w:val="37"/>
                <w:w w:val="101"/>
                <w:sz w:val="21"/>
                <w:szCs w:val="21"/>
              </w:rPr>
              <w:t xml:space="preserve"> </w:t>
            </w:r>
            <w:r>
              <w:rPr>
                <w:rFonts w:ascii="方正书宋简体" w:hAnsi="方正书宋简体" w:eastAsia="方正书宋简体" w:cs="方正书宋简体"/>
                <w:spacing w:val="-10"/>
                <w:sz w:val="21"/>
                <w:szCs w:val="21"/>
              </w:rPr>
              <w:t>档</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1"/>
                <w:sz w:val="21"/>
                <w:szCs w:val="21"/>
              </w:rPr>
              <w:t>案，</w:t>
            </w:r>
            <w:r>
              <w:rPr>
                <w:rFonts w:ascii="方正书宋简体" w:hAnsi="方正书宋简体" w:eastAsia="方正书宋简体" w:cs="方正书宋简体"/>
                <w:spacing w:val="33"/>
                <w:w w:val="101"/>
                <w:sz w:val="21"/>
                <w:szCs w:val="21"/>
              </w:rPr>
              <w:t xml:space="preserve"> </w:t>
            </w:r>
            <w:r>
              <w:rPr>
                <w:rFonts w:ascii="方正书宋简体" w:hAnsi="方正书宋简体" w:eastAsia="方正书宋简体" w:cs="方正书宋简体"/>
                <w:spacing w:val="-21"/>
                <w:sz w:val="21"/>
                <w:szCs w:val="21"/>
              </w:rPr>
              <w:t>归档方式科学合理，</w:t>
            </w:r>
            <w:r>
              <w:rPr>
                <w:rFonts w:ascii="方正书宋简体" w:hAnsi="方正书宋简体" w:eastAsia="方正书宋简体" w:cs="方正书宋简体"/>
                <w:spacing w:val="40"/>
                <w:w w:val="101"/>
                <w:sz w:val="21"/>
                <w:szCs w:val="21"/>
              </w:rPr>
              <w:t xml:space="preserve"> </w:t>
            </w:r>
            <w:r>
              <w:rPr>
                <w:rFonts w:ascii="方正书宋简体" w:hAnsi="方正书宋简体" w:eastAsia="方正书宋简体" w:cs="方正书宋简体"/>
                <w:spacing w:val="-21"/>
                <w:sz w:val="21"/>
                <w:szCs w:val="21"/>
              </w:rPr>
              <w:t>查阅迅速、方便。</w:t>
            </w:r>
          </w:p>
        </w:tc>
        <w:tc>
          <w:tcPr>
            <w:tcW w:w="3600" w:type="dxa"/>
            <w:tcBorders>
              <w:bottom w:val="single" w:color="000000" w:sz="6" w:space="0"/>
              <w:right w:val="single" w:color="000000" w:sz="6" w:space="0"/>
            </w:tcBorders>
            <w:vAlign w:val="top"/>
          </w:tcPr>
          <w:p>
            <w:pPr>
              <w:spacing w:before="100" w:line="251" w:lineRule="auto"/>
              <w:ind w:left="49"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w w:val="99"/>
                <w:sz w:val="21"/>
                <w:szCs w:val="21"/>
              </w:rPr>
              <w:t>归档内容齐全，</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21"/>
                <w:w w:val="99"/>
                <w:sz w:val="21"/>
                <w:szCs w:val="21"/>
              </w:rPr>
              <w:t>有登记，</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1"/>
                <w:w w:val="99"/>
                <w:sz w:val="21"/>
                <w:szCs w:val="21"/>
              </w:rPr>
              <w:t>无缺项。期末</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4"/>
                <w:sz w:val="21"/>
                <w:szCs w:val="21"/>
              </w:rPr>
              <w:t>试卷、重修试卷、补考试卷及试卷（题）</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6"/>
                <w:sz w:val="21"/>
                <w:szCs w:val="21"/>
              </w:rPr>
              <w:t>档案，归档方式合理，查阅基本方便。</w:t>
            </w:r>
          </w:p>
        </w:tc>
      </w:tr>
    </w:tbl>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61"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289</w:t>
      </w:r>
    </w:p>
    <w:p>
      <w:pPr>
        <w:sectPr>
          <w:footerReference r:id="rId293" w:type="default"/>
          <w:pgSz w:w="11905" w:h="16840"/>
          <w:pgMar w:top="1431" w:right="1577" w:bottom="400" w:left="1578" w:header="0" w:footer="0" w:gutter="0"/>
          <w:cols w:space="720" w:num="1"/>
        </w:sectPr>
      </w:pPr>
    </w:p>
    <w:p>
      <w:pPr>
        <w:spacing w:before="349" w:line="180" w:lineRule="auto"/>
        <w:ind w:firstLine="1494"/>
        <w:rPr>
          <w:rFonts w:ascii="Microsoft JhengHei" w:hAnsi="Microsoft JhengHei" w:eastAsia="Microsoft JhengHei" w:cs="Microsoft JhengHei"/>
          <w:sz w:val="32"/>
          <w:szCs w:val="32"/>
        </w:rPr>
      </w:pPr>
      <w:r>
        <w:rPr>
          <w:rFonts w:ascii="Microsoft JhengHei" w:hAnsi="Microsoft JhengHei" w:eastAsia="Microsoft JhengHei" w:cs="Microsoft JhengHei"/>
          <w:sz w:val="32"/>
          <w:szCs w:val="32"/>
        </w:rPr>
        <w:t>吉首大学教师课程教学考核办法（试行）</w:t>
      </w:r>
    </w:p>
    <w:p>
      <w:pPr>
        <w:spacing w:line="314" w:lineRule="auto"/>
        <w:rPr>
          <w:rFonts w:ascii="Malgun Gothic"/>
          <w:sz w:val="21"/>
        </w:rPr>
      </w:pPr>
    </w:p>
    <w:p>
      <w:pPr>
        <w:spacing w:before="85" w:line="290" w:lineRule="auto"/>
        <w:ind w:left="2"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为加强和规范教学管理，加快建立健全教学工作质量评价与激励约束机制，强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化教师教学工作职责，激励教师教学的积极性和创造性，不断提高我校教育教学质</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量和教学水平，根据教育部《关于进一步深化本科教学改革全面提高教学质量的若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6"/>
          <w:sz w:val="24"/>
          <w:szCs w:val="24"/>
        </w:rPr>
        <w:t>干意见》</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6"/>
          <w:sz w:val="24"/>
          <w:szCs w:val="24"/>
        </w:rPr>
        <w:t>（教高〔2007〕2</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6"/>
          <w:sz w:val="24"/>
          <w:szCs w:val="24"/>
        </w:rPr>
        <w:t>号）和湖南省教育厅《关于加强普通高等学校教师课程教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w w:val="96"/>
          <w:sz w:val="24"/>
          <w:szCs w:val="24"/>
        </w:rPr>
        <w:t>学考核的指导意见》（湘教发[2009]7</w:t>
      </w:r>
      <w:r>
        <w:rPr>
          <w:rFonts w:ascii="方正书宋简体" w:hAnsi="方正书宋简体" w:eastAsia="方正书宋简体" w:cs="方正书宋简体"/>
          <w:spacing w:val="93"/>
          <w:sz w:val="24"/>
          <w:szCs w:val="24"/>
        </w:rPr>
        <w:t xml:space="preserve"> </w:t>
      </w:r>
      <w:r>
        <w:rPr>
          <w:rFonts w:ascii="方正书宋简体" w:hAnsi="方正书宋简体" w:eastAsia="方正书宋简体" w:cs="方正书宋简体"/>
          <w:spacing w:val="-6"/>
          <w:w w:val="96"/>
          <w:sz w:val="24"/>
          <w:szCs w:val="24"/>
        </w:rPr>
        <w:t>号）的文件精神，</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6"/>
          <w:w w:val="96"/>
          <w:sz w:val="24"/>
          <w:szCs w:val="24"/>
        </w:rPr>
        <w:t>结合学校教学工作实际，</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w w:val="96"/>
          <w:sz w:val="24"/>
          <w:szCs w:val="24"/>
        </w:rPr>
        <w:t>特制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定本考核办法。</w:t>
      </w:r>
    </w:p>
    <w:p>
      <w:pPr>
        <w:spacing w:before="206"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一、考核对象和范围</w:t>
      </w:r>
    </w:p>
    <w:p>
      <w:pPr>
        <w:spacing w:before="150"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我校担任全日制本、专科学生各类课程教学任务的专、兼职教</w:t>
      </w:r>
    </w:p>
    <w:p>
      <w:pPr>
        <w:spacing w:before="193" w:line="316" w:lineRule="auto"/>
        <w:ind w:left="4" w:right="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师。专职教师如因进修、长期病假等经学校批准的原因未承担教学任务期间不</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予考核，兼职教师未承担教学任务期间不予考核。</w:t>
      </w:r>
    </w:p>
    <w:p>
      <w:pPr>
        <w:spacing w:before="3" w:line="201"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本办法的课程教学考核范围包括教师全年承担的理论课和实验课教学。</w:t>
      </w:r>
    </w:p>
    <w:p>
      <w:pPr>
        <w:spacing w:before="147"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二、考核内容</w:t>
      </w:r>
    </w:p>
    <w:p>
      <w:pPr>
        <w:spacing w:before="153"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考核内容主要包括两个方面：一是教师课程教学数量的考核，即</w:t>
      </w:r>
    </w:p>
    <w:p>
      <w:pPr>
        <w:spacing w:before="186" w:line="314" w:lineRule="auto"/>
        <w:ind w:right="1"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教师完成安排的课程教学工作数量的情况；二是教师课程教学质量的考核，包</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括课堂教学的实际效果（含教学态度、教学行为规范、教学内容、教学方法手段、</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5"/>
          <w:sz w:val="24"/>
          <w:szCs w:val="24"/>
        </w:rPr>
        <w:t>课堂管理、总体教学效果）、课前准备、课后辅导和课程考核（包括试卷质量、评卷</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2"/>
          <w:sz w:val="24"/>
          <w:szCs w:val="24"/>
        </w:rPr>
        <w:t>质量和成绩分布）等教学环节。</w:t>
      </w:r>
    </w:p>
    <w:p>
      <w:pPr>
        <w:spacing w:before="1" w:line="201"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三、考核组织领导</w:t>
      </w:r>
    </w:p>
    <w:p>
      <w:pPr>
        <w:spacing w:before="117" w:line="314" w:lineRule="auto"/>
        <w:ind w:left="3"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1、学校成立教师课程教学考核领导小组，</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2"/>
          <w:sz w:val="24"/>
          <w:szCs w:val="24"/>
        </w:rPr>
        <w:t>由分管校领导任组长，</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成员由校教学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指导委员会、校教学督导团、教务处、人事处和校工会等主要负责人组成，领导小</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组办公室设在教务处。</w:t>
      </w:r>
    </w:p>
    <w:p>
      <w:pPr>
        <w:spacing w:before="5" w:line="239" w:lineRule="auto"/>
        <w:ind w:left="4" w:righ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工作职责：负责统筹和指导全校教师课程教学考核工作，制定教师考核方案和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考核办法，审定教师年度教学考核结果，研究处理考核工作中出现的重大问题。</w:t>
      </w:r>
    </w:p>
    <w:p>
      <w:pPr>
        <w:spacing w:before="210" w:line="312" w:lineRule="auto"/>
        <w:ind w:left="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2、院（部）</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1"/>
          <w:w w:val="96"/>
          <w:sz w:val="24"/>
          <w:szCs w:val="24"/>
        </w:rPr>
        <w:t>成立考核工作小组，</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6"/>
          <w:sz w:val="24"/>
          <w:szCs w:val="24"/>
        </w:rPr>
        <w:t>组长由各学院（部）</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w w:val="96"/>
          <w:sz w:val="24"/>
          <w:szCs w:val="24"/>
        </w:rPr>
        <w:t>院长（主任）</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1"/>
          <w:w w:val="96"/>
          <w:sz w:val="24"/>
          <w:szCs w:val="24"/>
        </w:rPr>
        <w:t>担任，</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w w:val="96"/>
          <w:sz w:val="24"/>
          <w:szCs w:val="24"/>
        </w:rPr>
        <w:t>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副院长（副主任）任副组长，成员由院（部）</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党政领导、督导组成员、教研室（实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验室）负责人、分工会负责人、教师代表和教学秘书等组成。</w:t>
      </w:r>
    </w:p>
    <w:p>
      <w:pPr>
        <w:spacing w:before="21" w:line="315" w:lineRule="auto"/>
        <w:ind w:left="6" w:right="3"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工作职责：依据学校考核办法制定院（部）教师课程教学考核实施细则，组织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落实本单位专、兼职教师课程教学考核工作。</w:t>
      </w:r>
    </w:p>
    <w:p>
      <w:pPr>
        <w:spacing w:before="57" w:line="180" w:lineRule="auto"/>
        <w:ind w:firstLine="421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290</w:t>
      </w:r>
    </w:p>
    <w:p>
      <w:pPr>
        <w:sectPr>
          <w:footerReference r:id="rId294" w:type="default"/>
          <w:pgSz w:w="11905" w:h="16840"/>
          <w:pgMar w:top="1431" w:right="1585" w:bottom="400" w:left="1588" w:header="0" w:footer="0" w:gutter="0"/>
          <w:cols w:space="720" w:num="1"/>
        </w:sectPr>
      </w:pPr>
    </w:p>
    <w:p>
      <w:pPr>
        <w:spacing w:before="414" w:line="180"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四、考核方法与程序</w:t>
      </w:r>
    </w:p>
    <w:p>
      <w:pPr>
        <w:spacing w:before="151" w:line="238" w:lineRule="auto"/>
        <w:ind w:left="2" w:right="91"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1、教师课程教学考核以院（部）</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9"/>
          <w:sz w:val="24"/>
          <w:szCs w:val="24"/>
        </w:rPr>
        <w:t>为单位按自然年度分学期进行考核，</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9"/>
          <w:sz w:val="24"/>
          <w:szCs w:val="24"/>
        </w:rPr>
        <w:t>每年确定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教师课程教学考核结论。</w:t>
      </w:r>
    </w:p>
    <w:p>
      <w:pPr>
        <w:spacing w:before="218" w:line="316" w:lineRule="auto"/>
        <w:ind w:left="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各院（部）每年应组织对教师承担的每门课程进行评价，对讲授</w:t>
      </w:r>
      <w:r>
        <w:rPr>
          <w:rFonts w:ascii="方正书宋简体" w:hAnsi="方正书宋简体" w:eastAsia="方正书宋简体" w:cs="方正书宋简体"/>
          <w:spacing w:val="82"/>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门及以上课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程的教师，</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11"/>
          <w:sz w:val="24"/>
          <w:szCs w:val="24"/>
        </w:rPr>
        <w:t>可根据教师授课情况选择一门主要课程进行考核，</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1"/>
          <w:sz w:val="24"/>
          <w:szCs w:val="24"/>
        </w:rPr>
        <w:t>对其他课程组织抽查。</w:t>
      </w:r>
    </w:p>
    <w:p>
      <w:pPr>
        <w:spacing w:before="4" w:line="199"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2、教师课程教学考核主要由学生评价、同行评价（教研室或系</w:t>
      </w:r>
    </w:p>
    <w:p>
      <w:pPr>
        <w:spacing w:before="157" w:line="313" w:lineRule="auto"/>
        <w:ind w:right="90"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组织）、院（部）</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12"/>
          <w:sz w:val="24"/>
          <w:szCs w:val="24"/>
        </w:rPr>
        <w:t>考核小组评价等三方面构成：</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sz w:val="24"/>
          <w:szCs w:val="24"/>
        </w:rPr>
        <w:t>①学校组织的学生评教结果的平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均得分，占</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1"/>
          <w:sz w:val="24"/>
          <w:szCs w:val="24"/>
        </w:rPr>
        <w:t>40%；②教研室组织的同行评价结果，占</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1"/>
          <w:sz w:val="24"/>
          <w:szCs w:val="24"/>
        </w:rPr>
        <w:t>30%；③院（部）考核小组考</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核评价结果，占</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
          <w:sz w:val="24"/>
          <w:szCs w:val="24"/>
        </w:rPr>
        <w:t>30%。各学院（部）根据以上三项指标所占比例计算教师课程教学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考核最终得分。根据学科专业特点，各学院（部）也可另行提出学生评价分、同行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评价分、学院（部）考核小组评价分的分值比例（方案须报教务处审核备案）。</w:t>
      </w:r>
    </w:p>
    <w:p>
      <w:pPr>
        <w:spacing w:before="26" w:line="185"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（1）学生评价（40%）</w:t>
      </w:r>
    </w:p>
    <w:p>
      <w:pPr>
        <w:spacing w:before="167" w:line="268" w:lineRule="auto"/>
        <w:ind w:left="1" w:right="90"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①学生对教师课程教学质量评价工作由教务处统筹安排，各院（部）负责组织</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3"/>
          <w:sz w:val="24"/>
          <w:szCs w:val="24"/>
        </w:rPr>
        <w:t>实施，采用网上评价方式，每学期进行一次，</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年度评价成绩（得分）取两学期评价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得分的平均值。</w:t>
      </w:r>
    </w:p>
    <w:p>
      <w:pPr>
        <w:spacing w:before="210" w:line="315" w:lineRule="auto"/>
        <w:ind w:left="2" w:right="90"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②每学期学生评教在选课前（第</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0"/>
          <w:sz w:val="24"/>
          <w:szCs w:val="24"/>
        </w:rPr>
        <w:t>16-17</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0"/>
          <w:sz w:val="24"/>
          <w:szCs w:val="24"/>
        </w:rPr>
        <w:t>周）进行，</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0"/>
          <w:sz w:val="24"/>
          <w:szCs w:val="24"/>
        </w:rPr>
        <w:t>学生对本期教师所任课程（包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括课堂教学和实验教学）在网上进行评分，评教结束后，各院（部）负责对本单位</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任课教师学生评教的数据进行统计处理，数据处理按去除前</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
          <w:sz w:val="24"/>
          <w:szCs w:val="24"/>
        </w:rPr>
        <w:t>5%的最高分、后</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
          <w:sz w:val="24"/>
          <w:szCs w:val="24"/>
        </w:rPr>
        <w:t>5%的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最低分统计，所获得的算术平均值即为学生对该教师本期所承担课程的教学质量评</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7"/>
          <w:sz w:val="24"/>
          <w:szCs w:val="24"/>
        </w:rPr>
        <w:t>价得分。</w:t>
      </w:r>
    </w:p>
    <w:p>
      <w:pPr>
        <w:spacing w:before="7" w:line="316" w:lineRule="auto"/>
        <w:ind w:right="8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③学院要重视并组织好学生参加评价。在进行学生评价前要做好宣传和动员工</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3"/>
          <w:sz w:val="24"/>
          <w:szCs w:val="24"/>
        </w:rPr>
        <w:t>作，</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3"/>
          <w:sz w:val="24"/>
          <w:szCs w:val="24"/>
        </w:rPr>
        <w:t>组织学生学习《吉首大学教师课堂教学质量评估指标》，</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力求客观公正地反映教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师课堂教学的情况和效果，使学生评价真正起到对教学工作的促进作用。</w:t>
      </w:r>
    </w:p>
    <w:p>
      <w:pPr>
        <w:spacing w:before="4" w:line="199"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（2）同行评价（30%）</w:t>
      </w:r>
    </w:p>
    <w:p>
      <w:pPr>
        <w:spacing w:before="164" w:line="315" w:lineRule="auto"/>
        <w:ind w:left="2" w:right="90"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同行评价由教研室或系负责组织，评价人员根据平时听课及实际了解情况，按</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照“课程教学质量评价表”对本教研室教师当年度承担的课程教学进行评价，确定</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教师课程教学评价分值。</w:t>
      </w:r>
    </w:p>
    <w:p>
      <w:pPr>
        <w:spacing w:before="1" w:line="202"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（3）院（部）考核小组评价（30%）</w:t>
      </w:r>
    </w:p>
    <w:p>
      <w:pPr>
        <w:spacing w:before="161" w:line="315" w:lineRule="auto"/>
        <w:ind w:left="1" w:right="90"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院（部）考核由各单位根据学校考核要求，结合吉首大学教师教学质量管理手</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册》相关规范和院（部）实际情况自行制定考核办法，内容应包括教师的教学工作</w:t>
      </w:r>
    </w:p>
    <w:p>
      <w:pPr>
        <w:spacing w:before="57" w:line="180" w:lineRule="auto"/>
        <w:ind w:firstLine="4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291</w:t>
      </w:r>
    </w:p>
    <w:p>
      <w:pPr>
        <w:sectPr>
          <w:footerReference r:id="rId295" w:type="default"/>
          <w:pgSz w:w="11905" w:h="16840"/>
          <w:pgMar w:top="1431" w:right="1495" w:bottom="400" w:left="1590" w:header="0" w:footer="0" w:gutter="0"/>
          <w:cols w:space="720" w:num="1"/>
        </w:sectPr>
      </w:pPr>
    </w:p>
    <w:p>
      <w:pPr>
        <w:spacing w:before="428" w:line="313" w:lineRule="auto"/>
        <w:ind w:left="1" w:right="96"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态度、教学行为规范、课堂教学质量与效果、</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课后辅导、课程考核及教师教学工作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量情况等，考核小组对每个教师的每门课程教学情况进行集中评审，形成总体考核</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意见。</w:t>
      </w:r>
    </w:p>
    <w:p>
      <w:pPr>
        <w:spacing w:before="9" w:line="197"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3、考核等级的确定</w:t>
      </w:r>
    </w:p>
    <w:p>
      <w:pPr>
        <w:spacing w:before="170" w:line="315" w:lineRule="auto"/>
        <w:ind w:right="98"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（1）教师课程教学考核实行等级考核制，考核等级分为优秀、良好、合格、不</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5"/>
          <w:sz w:val="24"/>
          <w:szCs w:val="24"/>
        </w:rPr>
        <w:t>合格四个等级。考核等级标准：</w:t>
      </w:r>
      <w:r>
        <w:rPr>
          <w:rFonts w:ascii="方正书宋简体" w:hAnsi="方正书宋简体" w:eastAsia="方正书宋简体" w:cs="方正书宋简体"/>
          <w:spacing w:val="80"/>
          <w:w w:val="101"/>
          <w:sz w:val="24"/>
          <w:szCs w:val="24"/>
        </w:rPr>
        <w:t xml:space="preserve"> </w:t>
      </w:r>
      <w:r>
        <w:rPr>
          <w:rFonts w:ascii="方正书宋简体" w:hAnsi="方正书宋简体" w:eastAsia="方正书宋简体" w:cs="方正书宋简体"/>
          <w:spacing w:val="-15"/>
          <w:sz w:val="24"/>
          <w:szCs w:val="24"/>
        </w:rPr>
        <w:t>优秀为</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5"/>
          <w:sz w:val="24"/>
          <w:szCs w:val="24"/>
        </w:rPr>
        <w:t>90—100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5"/>
          <w:sz w:val="24"/>
          <w:szCs w:val="24"/>
        </w:rPr>
        <w:t>分，</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5"/>
          <w:sz w:val="24"/>
          <w:szCs w:val="24"/>
        </w:rPr>
        <w:t>良好为</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5"/>
          <w:sz w:val="24"/>
          <w:szCs w:val="24"/>
        </w:rPr>
        <w:t>80—89</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5"/>
          <w:sz w:val="24"/>
          <w:szCs w:val="24"/>
        </w:rPr>
        <w:t>分，</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5"/>
          <w:sz w:val="24"/>
          <w:szCs w:val="24"/>
        </w:rPr>
        <w:t>合格为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5"/>
          <w:sz w:val="24"/>
          <w:szCs w:val="24"/>
        </w:rPr>
        <w:t>60-79</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分，60</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3"/>
          <w:sz w:val="24"/>
          <w:szCs w:val="24"/>
        </w:rPr>
        <w:t>分以下为不合格。</w:t>
      </w:r>
    </w:p>
    <w:p>
      <w:pPr>
        <w:spacing w:before="3" w:line="313" w:lineRule="auto"/>
        <w:ind w:right="9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各学院（部）应根据本单位教师课程教学综合考核情况确定当年度考核结果，</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并进行排序。考核等级比例由各院（部）根据实际考核情况确定，其中优秀等级的</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比例不能超过本单位被考核教师总数的</w:t>
      </w:r>
      <w:r>
        <w:rPr>
          <w:rFonts w:ascii="方正书宋简体" w:hAnsi="方正书宋简体" w:eastAsia="方正书宋简体" w:cs="方正书宋简体"/>
          <w:spacing w:val="44"/>
          <w:sz w:val="24"/>
          <w:szCs w:val="24"/>
        </w:rPr>
        <w:t xml:space="preserve"> </w:t>
      </w:r>
      <w:r>
        <w:rPr>
          <w:rFonts w:ascii="方正书宋简体" w:hAnsi="方正书宋简体" w:eastAsia="方正书宋简体" w:cs="方正书宋简体"/>
          <w:spacing w:val="-2"/>
          <w:sz w:val="24"/>
          <w:szCs w:val="24"/>
        </w:rPr>
        <w:t>30%，对不同职称教师应考虑适当比例。</w:t>
      </w:r>
    </w:p>
    <w:p>
      <w:pPr>
        <w:spacing w:before="5" w:line="20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（2）有下列情况之一者不得评为优秀等级：</w:t>
      </w:r>
    </w:p>
    <w:p>
      <w:pPr>
        <w:spacing w:before="161"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①年度内出现教学事故者；</w:t>
      </w:r>
    </w:p>
    <w:p>
      <w:pPr>
        <w:spacing w:before="175"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②年度教学工作量未达到学校额定标准的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70%者；</w:t>
      </w:r>
    </w:p>
    <w:p>
      <w:pPr>
        <w:spacing w:before="175"/>
        <w:ind w:left="481" w:right="285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③年度学生评教得分低于</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4"/>
          <w:sz w:val="24"/>
          <w:szCs w:val="24"/>
        </w:rPr>
        <w:t>80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4"/>
          <w:sz w:val="24"/>
          <w:szCs w:val="24"/>
        </w:rPr>
        <w:t>分者；</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④当年因教学工作受到学校通报批评及以上处分者。</w:t>
      </w:r>
    </w:p>
    <w:p>
      <w:pPr>
        <w:spacing w:before="219"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（3）有下列情况之一者直接定为不合格：</w:t>
      </w:r>
    </w:p>
    <w:p>
      <w:pPr>
        <w:spacing w:before="188"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①年度出现一般教学事故两次及以上或出现重大教学事故者；</w:t>
      </w:r>
    </w:p>
    <w:p>
      <w:pPr>
        <w:spacing w:before="175" w:line="254" w:lineRule="auto"/>
        <w:ind w:left="2" w:right="90"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②本人基本工作量未达到定额标准，且无正当理由拒绝承担学校、学院（部）</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5"/>
          <w:sz w:val="24"/>
          <w:szCs w:val="24"/>
        </w:rPr>
        <w:t>安排的教学任务者；</w:t>
      </w:r>
    </w:p>
    <w:p>
      <w:pPr>
        <w:spacing w:before="177"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③年度学生评价得分低于</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3"/>
          <w:sz w:val="24"/>
          <w:szCs w:val="24"/>
        </w:rPr>
        <w:t>60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分者。</w:t>
      </w:r>
    </w:p>
    <w:p>
      <w:pPr>
        <w:spacing w:before="196" w:line="277" w:lineRule="auto"/>
        <w:ind w:left="1" w:right="96"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4、各学院（部）</w:t>
      </w:r>
      <w:r>
        <w:rPr>
          <w:rFonts w:ascii="方正书宋简体" w:hAnsi="方正书宋简体" w:eastAsia="方正书宋简体" w:cs="方正书宋简体"/>
          <w:spacing w:val="62"/>
          <w:w w:val="101"/>
          <w:sz w:val="24"/>
          <w:szCs w:val="24"/>
        </w:rPr>
        <w:t xml:space="preserve"> </w:t>
      </w:r>
      <w:r>
        <w:rPr>
          <w:rFonts w:ascii="方正书宋简体" w:hAnsi="方正书宋简体" w:eastAsia="方正书宋简体" w:cs="方正书宋简体"/>
          <w:spacing w:val="-9"/>
          <w:sz w:val="24"/>
          <w:szCs w:val="24"/>
        </w:rPr>
        <w:t>对教师课程教学年度考核结果应进行为期一周公示，</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教师如对</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考核结果有异议的，可在公示期内向院（部）</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
          <w:sz w:val="24"/>
          <w:szCs w:val="24"/>
        </w:rPr>
        <w:t>考核小组申诉，学院（部）考核工作</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组应受理教师的申诉，并提出处理意见。如对学院（部）考核工作有意见的可向学</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校考核工作领导小组申诉。</w:t>
      </w:r>
    </w:p>
    <w:p>
      <w:pPr>
        <w:spacing w:before="216" w:line="311" w:lineRule="auto"/>
        <w:ind w:right="96"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年度考核结束，各院（部）汇总和整理相关考核材料报送教务处。教务处汇总</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全校教师课程教学考核结果，报请学校考核领导小组审定后，考核结果由学校行文</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7"/>
          <w:sz w:val="24"/>
          <w:szCs w:val="24"/>
        </w:rPr>
        <w:t>公布。</w:t>
      </w:r>
    </w:p>
    <w:p>
      <w:pPr>
        <w:spacing w:before="8" w:line="197"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五、考核结果的运用</w:t>
      </w:r>
    </w:p>
    <w:p>
      <w:pPr>
        <w:spacing w:before="121" w:line="315"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1、教师年度教学考核结果将记入教师业务档案，</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9"/>
          <w:sz w:val="24"/>
          <w:szCs w:val="24"/>
        </w:rPr>
        <w:t>作为教师岗位聘任、职称评定、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评优、评奖和核发岗位津贴等的重要依据。</w:t>
      </w:r>
    </w:p>
    <w:p>
      <w:pPr>
        <w:spacing w:before="59" w:line="180" w:lineRule="auto"/>
        <w:ind w:firstLine="4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292</w:t>
      </w:r>
    </w:p>
    <w:p>
      <w:pPr>
        <w:sectPr>
          <w:footerReference r:id="rId296" w:type="default"/>
          <w:pgSz w:w="11905" w:h="16840"/>
          <w:pgMar w:top="1431" w:right="1489" w:bottom="400" w:left="1590" w:header="0" w:footer="0" w:gutter="0"/>
          <w:cols w:space="720" w:num="1"/>
        </w:sectPr>
      </w:pPr>
    </w:p>
    <w:p>
      <w:pPr>
        <w:spacing w:before="428" w:line="310" w:lineRule="auto"/>
        <w:ind w:right="9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2、课程教学考核结果不合格的教师暂停教学工作，</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进行整改和教育培训，</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达到</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要求的，方可重新上岗；如整改仍不合格者，</w:t>
      </w:r>
      <w:r>
        <w:rPr>
          <w:rFonts w:ascii="方正书宋简体" w:hAnsi="方正书宋简体" w:eastAsia="方正书宋简体" w:cs="方正书宋简体"/>
          <w:spacing w:val="38"/>
          <w:w w:val="101"/>
          <w:sz w:val="24"/>
          <w:szCs w:val="24"/>
        </w:rPr>
        <w:t xml:space="preserve">  </w:t>
      </w:r>
      <w:r>
        <w:rPr>
          <w:rFonts w:ascii="方正书宋简体" w:hAnsi="方正书宋简体" w:eastAsia="方正书宋简体" w:cs="方正书宋简体"/>
          <w:spacing w:val="-3"/>
          <w:sz w:val="24"/>
          <w:szCs w:val="24"/>
        </w:rPr>
        <w:t>调离教学岗位。外聘教师教学质量考</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核为不合格者，有关单位不能再聘任其上课。</w:t>
      </w:r>
    </w:p>
    <w:p>
      <w:pPr>
        <w:spacing w:before="20" w:line="265" w:lineRule="auto"/>
        <w:ind w:left="2" w:right="92"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3、凡申报高一级职称的教师，课程教学考核等级必须达到合格。申报副教授、</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教授职务的教师，课程教学考核等级必须达到良好标准。课程教学考核达到优秀等</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级的，方可破格副教授、教授职称。</w:t>
      </w:r>
    </w:p>
    <w:p>
      <w:pPr>
        <w:spacing w:before="213" w:line="265" w:lineRule="auto"/>
        <w:ind w:left="3" w:right="96"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4、教师课程教学考核的结果，</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今后将作为参评各级教育质量工程项目的重要依</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据和条件。参评省、校级教学名师、教学能手等教学奖励项目的教师，在规定期限</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2"/>
          <w:sz w:val="24"/>
          <w:szCs w:val="24"/>
        </w:rPr>
        <w:t>内课程教学考核必须连续为优秀等级。</w:t>
      </w:r>
    </w:p>
    <w:p>
      <w:pPr>
        <w:spacing w:before="206"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六、考核有关要求</w:t>
      </w:r>
    </w:p>
    <w:p>
      <w:pPr>
        <w:spacing w:before="150" w:line="265"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5"/>
          <w:sz w:val="24"/>
          <w:szCs w:val="24"/>
        </w:rPr>
        <w:t>1、各学院（部）</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w w:val="95"/>
          <w:sz w:val="24"/>
          <w:szCs w:val="24"/>
        </w:rPr>
        <w:t>要高度重视，</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5"/>
          <w:sz w:val="24"/>
          <w:szCs w:val="24"/>
        </w:rPr>
        <w:t>按照本办法要求，</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5"/>
          <w:sz w:val="24"/>
          <w:szCs w:val="24"/>
        </w:rPr>
        <w:t>建立机制，</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5"/>
          <w:sz w:val="24"/>
          <w:szCs w:val="24"/>
        </w:rPr>
        <w:t>健全组织，</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1"/>
          <w:w w:val="95"/>
          <w:sz w:val="24"/>
          <w:szCs w:val="24"/>
        </w:rPr>
        <w:t>制定和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完善院（部）</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9"/>
          <w:sz w:val="24"/>
          <w:szCs w:val="24"/>
        </w:rPr>
        <w:t>课程教学考核方案和实施细则。考核评价工作要认真组织，</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坚持公开、</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公平、公正原则，确保教师教学考核工作顺利实施。</w:t>
      </w:r>
    </w:p>
    <w:p>
      <w:pPr>
        <w:spacing w:before="215" w:line="265" w:lineRule="auto"/>
        <w:ind w:left="5" w:right="88"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2、正确引导，切实推进。各院（部）要组织全体教师认真学习文件精神，引导教</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4"/>
          <w:sz w:val="24"/>
          <w:szCs w:val="24"/>
        </w:rPr>
        <w:t>师自觉地参与和支持课程教学考核工作。尤其是任课教师要正确对待教学考核意见，</w:t>
      </w:r>
      <w:r>
        <w:rPr>
          <w:rFonts w:ascii="方正书宋简体" w:hAnsi="方正书宋简体" w:eastAsia="方正书宋简体" w:cs="方正书宋简体"/>
          <w:spacing w:val="84"/>
          <w:sz w:val="24"/>
          <w:szCs w:val="24"/>
        </w:rPr>
        <w:t xml:space="preserve"> </w:t>
      </w:r>
      <w:r>
        <w:rPr>
          <w:rFonts w:ascii="方正书宋简体" w:hAnsi="方正书宋简体" w:eastAsia="方正书宋简体" w:cs="方正书宋简体"/>
          <w:spacing w:val="-14"/>
          <w:sz w:val="24"/>
          <w:szCs w:val="24"/>
        </w:rPr>
        <w:t>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实从提高课程教学质量出发，积极进行教学改革，在全校形成良好的教学风气。</w:t>
      </w:r>
    </w:p>
    <w:p>
      <w:pPr>
        <w:spacing w:before="217" w:line="314" w:lineRule="auto"/>
        <w:ind w:left="2" w:right="9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9"/>
          <w:sz w:val="24"/>
          <w:szCs w:val="24"/>
        </w:rPr>
        <w:t>3、各院（部）</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1"/>
          <w:w w:val="99"/>
          <w:sz w:val="24"/>
          <w:szCs w:val="24"/>
        </w:rPr>
        <w:t>要建立健全教师教学考核各类文档资料，</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9"/>
          <w:sz w:val="24"/>
          <w:szCs w:val="24"/>
        </w:rPr>
        <w:t>规范管理，</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w w:val="99"/>
          <w:sz w:val="24"/>
          <w:szCs w:val="24"/>
        </w:rPr>
        <w:t>学校将教师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教学考核的文档建设纳入院（部）年度教学管理考核的重要内容。</w:t>
      </w:r>
    </w:p>
    <w:p>
      <w:pPr>
        <w:spacing w:before="5" w:line="199"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4、本办法从</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2009</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年开始执行，由教务处负责解释。</w:t>
      </w:r>
    </w:p>
    <w:p>
      <w:pPr>
        <w:spacing w:before="167"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附件：1、吉首大学教师课程教学评价表（表一、二、三、四）</w:t>
      </w:r>
    </w:p>
    <w:p>
      <w:pPr>
        <w:spacing w:before="193" w:line="180" w:lineRule="auto"/>
        <w:ind w:firstLine="12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2、吉首大学教师教学工作量登记表</w:t>
      </w:r>
    </w:p>
    <w:p>
      <w:pPr>
        <w:spacing w:before="193" w:line="180" w:lineRule="auto"/>
        <w:ind w:firstLine="120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3、吉首大学教师课程考核结果汇总表</w:t>
      </w: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61" w:line="180" w:lineRule="auto"/>
        <w:ind w:firstLine="420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293</w:t>
      </w:r>
    </w:p>
    <w:p>
      <w:pPr>
        <w:sectPr>
          <w:footerReference r:id="rId297" w:type="default"/>
          <w:pgSz w:w="11905" w:h="16840"/>
          <w:pgMar w:top="1431" w:right="1489" w:bottom="400" w:left="1590"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1：</w:t>
      </w:r>
    </w:p>
    <w:p>
      <w:pPr>
        <w:spacing w:before="112" w:line="180" w:lineRule="auto"/>
        <w:ind w:firstLine="230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吉首大学教师课程教学评价表</w:t>
      </w:r>
    </w:p>
    <w:p>
      <w:pPr>
        <w:spacing w:line="265" w:lineRule="auto"/>
        <w:rPr>
          <w:rFonts w:ascii="Malgun Gothic"/>
          <w:sz w:val="21"/>
        </w:rPr>
      </w:pPr>
    </w:p>
    <w:p>
      <w:pPr>
        <w:spacing w:before="121" w:line="180" w:lineRule="auto"/>
        <w:ind w:firstLine="1587"/>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表一：理论课课堂教学质量评价表（学生用）</w:t>
      </w:r>
    </w:p>
    <w:p>
      <w:pPr>
        <w:spacing w:before="131" w:line="258" w:lineRule="auto"/>
        <w:ind w:left="359" w:firstLine="121"/>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学生根据教师课程教学情况进行如实评价：</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0"/>
          <w:sz w:val="24"/>
          <w:szCs w:val="24"/>
        </w:rPr>
        <w:t>请在下面各栏内打“√”，</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0"/>
          <w:sz w:val="24"/>
          <w:szCs w:val="24"/>
        </w:rPr>
        <w:t>只限选单项。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（评价等级标准：A（90—100</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B（80—89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C（60-79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D（60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以下</w:t>
      </w:r>
      <w:r>
        <w:rPr>
          <w:rFonts w:ascii="方正书宋简体" w:hAnsi="方正书宋简体" w:eastAsia="方正书宋简体" w:cs="方正书宋简体"/>
          <w:spacing w:val="-33"/>
          <w:sz w:val="24"/>
          <w:szCs w:val="24"/>
        </w:rPr>
        <w:t>））</w:t>
      </w:r>
    </w:p>
    <w:p>
      <w:pPr>
        <w:spacing w:line="2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0"/>
        <w:gridCol w:w="5222"/>
        <w:gridCol w:w="558"/>
        <w:gridCol w:w="629"/>
        <w:gridCol w:w="628"/>
        <w:gridCol w:w="558"/>
        <w:gridCol w:w="5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570" w:type="dxa"/>
            <w:vMerge w:val="restart"/>
            <w:tcBorders>
              <w:top w:val="single" w:color="000000" w:sz="6" w:space="0"/>
              <w:left w:val="single" w:color="000000" w:sz="6" w:space="0"/>
              <w:bottom w:val="nil"/>
            </w:tcBorders>
            <w:textDirection w:val="tbRlV"/>
            <w:vAlign w:val="top"/>
          </w:tcPr>
          <w:p>
            <w:pPr>
              <w:spacing w:before="177" w:line="180" w:lineRule="auto"/>
              <w:ind w:firstLine="132"/>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序</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号</w:t>
            </w:r>
          </w:p>
        </w:tc>
        <w:tc>
          <w:tcPr>
            <w:tcW w:w="5222" w:type="dxa"/>
            <w:vMerge w:val="restart"/>
            <w:tcBorders>
              <w:top w:val="single" w:color="000000" w:sz="6" w:space="0"/>
              <w:bottom w:val="nil"/>
            </w:tcBorders>
            <w:vAlign w:val="top"/>
          </w:tcPr>
          <w:p>
            <w:pPr>
              <w:spacing w:before="285" w:line="180" w:lineRule="auto"/>
              <w:ind w:firstLine="1878"/>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评</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7"/>
                <w:sz w:val="21"/>
                <w:szCs w:val="21"/>
              </w:rPr>
              <w:t>价</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7"/>
                <w:sz w:val="21"/>
                <w:szCs w:val="21"/>
              </w:rPr>
              <w:t>项</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7"/>
                <w:sz w:val="21"/>
                <w:szCs w:val="21"/>
              </w:rPr>
              <w:t>目</w:t>
            </w:r>
          </w:p>
        </w:tc>
        <w:tc>
          <w:tcPr>
            <w:tcW w:w="558" w:type="dxa"/>
            <w:vMerge w:val="restart"/>
            <w:tcBorders>
              <w:top w:val="single" w:color="000000" w:sz="6" w:space="0"/>
              <w:bottom w:val="nil"/>
            </w:tcBorders>
            <w:textDirection w:val="tbRlV"/>
            <w:vAlign w:val="top"/>
          </w:tcPr>
          <w:p>
            <w:pPr>
              <w:spacing w:before="164" w:line="180" w:lineRule="auto"/>
              <w:ind w:firstLine="132"/>
              <w:rPr>
                <w:rFonts w:ascii="Microsoft JhengHei" w:hAnsi="Microsoft JhengHei" w:eastAsia="Microsoft JhengHei" w:cs="Microsoft JhengHei"/>
                <w:sz w:val="21"/>
                <w:szCs w:val="21"/>
              </w:rPr>
            </w:pPr>
            <w:r>
              <w:rPr>
                <w:rFonts w:ascii="Microsoft JhengHei" w:hAnsi="Microsoft JhengHei" w:eastAsia="Microsoft JhengHei" w:cs="Microsoft JhengHei"/>
                <w:spacing w:val="13"/>
                <w:sz w:val="21"/>
                <w:szCs w:val="21"/>
              </w:rPr>
              <w:t>权</w:t>
            </w:r>
            <w:r>
              <w:rPr>
                <w:rFonts w:ascii="Microsoft JhengHei" w:hAnsi="Microsoft JhengHei" w:eastAsia="Microsoft JhengHei" w:cs="Microsoft JhengHei"/>
                <w:spacing w:val="39"/>
                <w:w w:val="101"/>
                <w:sz w:val="21"/>
                <w:szCs w:val="21"/>
              </w:rPr>
              <w:t xml:space="preserve"> </w:t>
            </w:r>
            <w:r>
              <w:rPr>
                <w:rFonts w:ascii="Microsoft JhengHei" w:hAnsi="Microsoft JhengHei" w:eastAsia="Microsoft JhengHei" w:cs="Microsoft JhengHei"/>
                <w:spacing w:val="13"/>
                <w:sz w:val="21"/>
                <w:szCs w:val="21"/>
              </w:rPr>
              <w:t>重</w:t>
            </w:r>
          </w:p>
        </w:tc>
        <w:tc>
          <w:tcPr>
            <w:tcW w:w="2384" w:type="dxa"/>
            <w:gridSpan w:val="4"/>
            <w:tcBorders>
              <w:top w:val="single" w:color="000000" w:sz="6" w:space="0"/>
              <w:right w:val="single" w:color="000000" w:sz="6" w:space="0"/>
            </w:tcBorders>
            <w:vAlign w:val="top"/>
          </w:tcPr>
          <w:p>
            <w:pPr>
              <w:spacing w:before="87" w:line="180" w:lineRule="auto"/>
              <w:ind w:firstLine="775"/>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570" w:type="dxa"/>
            <w:vMerge w:val="continue"/>
            <w:tcBorders>
              <w:top w:val="nil"/>
              <w:left w:val="single" w:color="000000" w:sz="6" w:space="0"/>
            </w:tcBorders>
            <w:textDirection w:val="tbRlV"/>
            <w:vAlign w:val="top"/>
          </w:tcPr>
          <w:p>
            <w:pPr>
              <w:rPr>
                <w:rFonts w:ascii="Malgun Gothic"/>
                <w:sz w:val="21"/>
              </w:rPr>
            </w:pPr>
          </w:p>
        </w:tc>
        <w:tc>
          <w:tcPr>
            <w:tcW w:w="5222" w:type="dxa"/>
            <w:vMerge w:val="continue"/>
            <w:tcBorders>
              <w:top w:val="nil"/>
            </w:tcBorders>
            <w:vAlign w:val="top"/>
          </w:tcPr>
          <w:p>
            <w:pPr>
              <w:rPr>
                <w:rFonts w:ascii="Malgun Gothic"/>
                <w:sz w:val="21"/>
              </w:rPr>
            </w:pPr>
          </w:p>
        </w:tc>
        <w:tc>
          <w:tcPr>
            <w:tcW w:w="558" w:type="dxa"/>
            <w:vMerge w:val="continue"/>
            <w:tcBorders>
              <w:top w:val="nil"/>
            </w:tcBorders>
            <w:textDirection w:val="tbRlV"/>
            <w:vAlign w:val="top"/>
          </w:tcPr>
          <w:p>
            <w:pPr>
              <w:rPr>
                <w:rFonts w:ascii="Malgun Gothic"/>
                <w:sz w:val="21"/>
              </w:rPr>
            </w:pPr>
          </w:p>
        </w:tc>
        <w:tc>
          <w:tcPr>
            <w:tcW w:w="629" w:type="dxa"/>
            <w:vAlign w:val="top"/>
          </w:tcPr>
          <w:p>
            <w:pPr>
              <w:spacing w:before="115" w:line="212" w:lineRule="exact"/>
              <w:ind w:firstLine="246"/>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628" w:type="dxa"/>
            <w:vAlign w:val="top"/>
          </w:tcPr>
          <w:p>
            <w:pPr>
              <w:spacing w:before="115" w:line="212" w:lineRule="exact"/>
              <w:ind w:firstLine="260"/>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B</w:t>
            </w:r>
          </w:p>
        </w:tc>
        <w:tc>
          <w:tcPr>
            <w:tcW w:w="558" w:type="dxa"/>
            <w:vAlign w:val="top"/>
          </w:tcPr>
          <w:p>
            <w:pPr>
              <w:spacing w:before="111" w:line="216" w:lineRule="exact"/>
              <w:ind w:firstLine="213"/>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569" w:type="dxa"/>
            <w:tcBorders>
              <w:right w:val="single" w:color="000000" w:sz="6" w:space="0"/>
            </w:tcBorders>
            <w:vAlign w:val="top"/>
          </w:tcPr>
          <w:p>
            <w:pPr>
              <w:spacing w:before="115" w:line="212" w:lineRule="exact"/>
              <w:ind w:firstLine="222"/>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70" w:type="dxa"/>
            <w:tcBorders>
              <w:left w:val="single" w:color="000000" w:sz="6" w:space="0"/>
            </w:tcBorders>
            <w:vAlign w:val="top"/>
          </w:tcPr>
          <w:p>
            <w:pPr>
              <w:spacing w:before="120" w:line="180" w:lineRule="auto"/>
              <w:ind w:firstLine="24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5222" w:type="dxa"/>
            <w:vAlign w:val="top"/>
          </w:tcPr>
          <w:p>
            <w:pPr>
              <w:spacing w:before="86"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课前准备充分，教案、课件等教学文件规范、齐全</w:t>
            </w:r>
          </w:p>
        </w:tc>
        <w:tc>
          <w:tcPr>
            <w:tcW w:w="558" w:type="dxa"/>
            <w:vAlign w:val="top"/>
          </w:tcPr>
          <w:p>
            <w:pPr>
              <w:spacing w:before="119"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22" w:line="180" w:lineRule="auto"/>
              <w:ind w:firstLine="22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5222" w:type="dxa"/>
            <w:vAlign w:val="top"/>
          </w:tcPr>
          <w:p>
            <w:pPr>
              <w:spacing w:before="91"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教学严谨，言行文明，为人师表</w:t>
            </w:r>
          </w:p>
        </w:tc>
        <w:tc>
          <w:tcPr>
            <w:tcW w:w="558" w:type="dxa"/>
            <w:vAlign w:val="top"/>
          </w:tcPr>
          <w:p>
            <w:pPr>
              <w:spacing w:before="121"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23" w:line="180" w:lineRule="auto"/>
              <w:ind w:firstLine="2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5222" w:type="dxa"/>
            <w:vAlign w:val="top"/>
          </w:tcPr>
          <w:p>
            <w:pPr>
              <w:spacing w:before="78"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教学目的明确，安排合理，条理清楚</w:t>
            </w:r>
          </w:p>
        </w:tc>
        <w:tc>
          <w:tcPr>
            <w:tcW w:w="558" w:type="dxa"/>
            <w:vAlign w:val="top"/>
          </w:tcPr>
          <w:p>
            <w:pPr>
              <w:spacing w:before="123"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70" w:type="dxa"/>
            <w:tcBorders>
              <w:left w:val="single" w:color="000000" w:sz="6" w:space="0"/>
            </w:tcBorders>
            <w:vAlign w:val="top"/>
          </w:tcPr>
          <w:p>
            <w:pPr>
              <w:spacing w:before="125" w:line="180" w:lineRule="auto"/>
              <w:ind w:firstLine="22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5222" w:type="dxa"/>
            <w:vAlign w:val="top"/>
          </w:tcPr>
          <w:p>
            <w:pPr>
              <w:spacing w:before="88" w:line="193" w:lineRule="auto"/>
              <w:ind w:firstLine="9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讲课有热情，精神饱满，注意精力和感情投入</w:t>
            </w:r>
          </w:p>
        </w:tc>
        <w:tc>
          <w:tcPr>
            <w:tcW w:w="558" w:type="dxa"/>
            <w:vAlign w:val="top"/>
          </w:tcPr>
          <w:p>
            <w:pPr>
              <w:spacing w:before="124" w:line="180" w:lineRule="auto"/>
              <w:ind w:firstLine="19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24" w:line="180" w:lineRule="auto"/>
              <w:ind w:firstLine="22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5222" w:type="dxa"/>
            <w:vAlign w:val="top"/>
          </w:tcPr>
          <w:p>
            <w:pPr>
              <w:spacing w:before="91"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教学基本功扎实，讲课富有感染力</w:t>
            </w:r>
          </w:p>
        </w:tc>
        <w:tc>
          <w:tcPr>
            <w:tcW w:w="558" w:type="dxa"/>
            <w:vAlign w:val="top"/>
          </w:tcPr>
          <w:p>
            <w:pPr>
              <w:spacing w:before="126"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70" w:type="dxa"/>
            <w:tcBorders>
              <w:left w:val="single" w:color="000000" w:sz="6" w:space="0"/>
            </w:tcBorders>
            <w:vAlign w:val="top"/>
          </w:tcPr>
          <w:p>
            <w:pPr>
              <w:spacing w:before="127" w:line="180" w:lineRule="auto"/>
              <w:ind w:firstLine="22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5222" w:type="dxa"/>
            <w:vAlign w:val="top"/>
          </w:tcPr>
          <w:p>
            <w:pPr>
              <w:spacing w:before="91" w:line="193" w:lineRule="auto"/>
              <w:ind w:firstLine="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对问题的阐述简练准确，深入浅出，重点、难点突出</w:t>
            </w:r>
          </w:p>
        </w:tc>
        <w:tc>
          <w:tcPr>
            <w:tcW w:w="558" w:type="dxa"/>
            <w:vAlign w:val="top"/>
          </w:tcPr>
          <w:p>
            <w:pPr>
              <w:spacing w:before="128"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33" w:line="180" w:lineRule="auto"/>
              <w:ind w:firstLine="2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5222" w:type="dxa"/>
            <w:vAlign w:val="top"/>
          </w:tcPr>
          <w:p>
            <w:pPr>
              <w:spacing w:before="95" w:line="180"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内容充实，信息量大，及时反映学科动态</w:t>
            </w:r>
          </w:p>
        </w:tc>
        <w:tc>
          <w:tcPr>
            <w:tcW w:w="558" w:type="dxa"/>
            <w:vAlign w:val="top"/>
          </w:tcPr>
          <w:p>
            <w:pPr>
              <w:spacing w:before="129"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31" w:line="180" w:lineRule="auto"/>
              <w:ind w:firstLine="2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5222" w:type="dxa"/>
            <w:vAlign w:val="top"/>
          </w:tcPr>
          <w:p>
            <w:pPr>
              <w:spacing w:before="100"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教法灵活多样，富有启发性，充分调动学习兴趣</w:t>
            </w:r>
          </w:p>
        </w:tc>
        <w:tc>
          <w:tcPr>
            <w:tcW w:w="558" w:type="dxa"/>
            <w:vAlign w:val="top"/>
          </w:tcPr>
          <w:p>
            <w:pPr>
              <w:spacing w:before="131"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70" w:type="dxa"/>
            <w:tcBorders>
              <w:left w:val="single" w:color="000000" w:sz="6" w:space="0"/>
            </w:tcBorders>
            <w:vAlign w:val="top"/>
          </w:tcPr>
          <w:p>
            <w:pPr>
              <w:spacing w:before="134" w:line="180" w:lineRule="auto"/>
              <w:ind w:firstLine="22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5222" w:type="dxa"/>
            <w:vAlign w:val="top"/>
          </w:tcPr>
          <w:p>
            <w:pPr>
              <w:spacing w:before="101" w:line="180" w:lineRule="auto"/>
              <w:ind w:firstLine="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及时辅导，耐心解答学生的问题，认真批改作业</w:t>
            </w:r>
          </w:p>
        </w:tc>
        <w:tc>
          <w:tcPr>
            <w:tcW w:w="558" w:type="dxa"/>
            <w:vAlign w:val="top"/>
          </w:tcPr>
          <w:p>
            <w:pPr>
              <w:spacing w:before="133"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0" w:type="dxa"/>
            <w:tcBorders>
              <w:left w:val="single" w:color="000000" w:sz="6" w:space="0"/>
            </w:tcBorders>
            <w:vAlign w:val="top"/>
          </w:tcPr>
          <w:p>
            <w:pPr>
              <w:spacing w:before="135"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222" w:type="dxa"/>
            <w:vAlign w:val="top"/>
          </w:tcPr>
          <w:p>
            <w:pPr>
              <w:spacing w:before="104"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教学效果好，学生收益大</w:t>
            </w:r>
          </w:p>
        </w:tc>
        <w:tc>
          <w:tcPr>
            <w:tcW w:w="558" w:type="dxa"/>
            <w:vAlign w:val="top"/>
          </w:tcPr>
          <w:p>
            <w:pPr>
              <w:spacing w:before="135"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8"/>
                <w:sz w:val="21"/>
                <w:szCs w:val="21"/>
              </w:rPr>
              <w:t>10</w:t>
            </w:r>
          </w:p>
        </w:tc>
        <w:tc>
          <w:tcPr>
            <w:tcW w:w="629" w:type="dxa"/>
            <w:vAlign w:val="top"/>
          </w:tcPr>
          <w:p>
            <w:pPr>
              <w:rPr>
                <w:rFonts w:ascii="Malgun Gothic"/>
                <w:sz w:val="21"/>
              </w:rPr>
            </w:pPr>
          </w:p>
        </w:tc>
        <w:tc>
          <w:tcPr>
            <w:tcW w:w="628" w:type="dxa"/>
            <w:vAlign w:val="top"/>
          </w:tcPr>
          <w:p>
            <w:pPr>
              <w:rPr>
                <w:rFonts w:ascii="Malgun Gothic"/>
                <w:sz w:val="21"/>
              </w:rPr>
            </w:pPr>
          </w:p>
        </w:tc>
        <w:tc>
          <w:tcPr>
            <w:tcW w:w="558" w:type="dxa"/>
            <w:vAlign w:val="top"/>
          </w:tcPr>
          <w:p>
            <w:pPr>
              <w:rPr>
                <w:rFonts w:ascii="Malgun Gothic"/>
                <w:sz w:val="21"/>
              </w:rPr>
            </w:pPr>
          </w:p>
        </w:tc>
        <w:tc>
          <w:tcPr>
            <w:tcW w:w="569"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792" w:type="dxa"/>
            <w:gridSpan w:val="2"/>
            <w:tcBorders>
              <w:left w:val="single" w:color="000000" w:sz="6" w:space="0"/>
            </w:tcBorders>
            <w:vAlign w:val="top"/>
          </w:tcPr>
          <w:p>
            <w:pPr>
              <w:spacing w:before="101"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总体评价等级或得分</w:t>
            </w:r>
          </w:p>
        </w:tc>
        <w:tc>
          <w:tcPr>
            <w:tcW w:w="2942" w:type="dxa"/>
            <w:gridSpan w:val="5"/>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5" w:hRule="atLeast"/>
        </w:trPr>
        <w:tc>
          <w:tcPr>
            <w:tcW w:w="8734" w:type="dxa"/>
            <w:gridSpan w:val="7"/>
            <w:tcBorders>
              <w:left w:val="single" w:color="000000" w:sz="6" w:space="0"/>
              <w:bottom w:val="single" w:color="000000" w:sz="6" w:space="0"/>
              <w:right w:val="single" w:color="000000" w:sz="6" w:space="0"/>
            </w:tcBorders>
            <w:vAlign w:val="top"/>
          </w:tcPr>
          <w:p>
            <w:pPr>
              <w:spacing w:before="199"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对课堂教学的评价意见或建议：</w:t>
            </w:r>
          </w:p>
        </w:tc>
      </w:tr>
    </w:tbl>
    <w:p>
      <w:pPr>
        <w:spacing w:line="368" w:lineRule="auto"/>
        <w:rPr>
          <w:rFonts w:ascii="Malgun Gothic"/>
          <w:sz w:val="21"/>
        </w:rPr>
      </w:pPr>
    </w:p>
    <w:p>
      <w:pPr>
        <w:spacing w:before="60"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294</w:t>
      </w:r>
    </w:p>
    <w:p>
      <w:pPr>
        <w:sectPr>
          <w:footerReference r:id="rId298" w:type="default"/>
          <w:pgSz w:w="11905" w:h="16840"/>
          <w:pgMar w:top="1431" w:right="1491" w:bottom="400" w:left="1578" w:header="0" w:footer="0" w:gutter="0"/>
          <w:cols w:space="720" w:num="1"/>
        </w:sectPr>
      </w:pPr>
    </w:p>
    <w:p>
      <w:pPr>
        <w:spacing w:before="386" w:line="180" w:lineRule="auto"/>
        <w:ind w:firstLine="1587"/>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表二：实验课课堂教学质量评价表（学生用）</w:t>
      </w:r>
    </w:p>
    <w:p>
      <w:pPr>
        <w:spacing w:line="327" w:lineRule="auto"/>
        <w:rPr>
          <w:rFonts w:ascii="Malgun Gothic"/>
          <w:sz w:val="21"/>
        </w:rPr>
      </w:pPr>
    </w:p>
    <w:p>
      <w:pPr>
        <w:spacing w:before="86" w:line="258" w:lineRule="auto"/>
        <w:ind w:left="359" w:firstLine="121"/>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学生根据教师课程教学情况进行如实评价：</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0"/>
          <w:sz w:val="24"/>
          <w:szCs w:val="24"/>
        </w:rPr>
        <w:t>请在下面各栏内打“√”，</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0"/>
          <w:sz w:val="24"/>
          <w:szCs w:val="24"/>
        </w:rPr>
        <w:t>只限选单项。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sz w:val="24"/>
          <w:szCs w:val="24"/>
        </w:rPr>
        <w:t>（评价等级标准：A（90—100</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B（80—89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C（60-79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D（60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以下</w:t>
      </w:r>
      <w:r>
        <w:rPr>
          <w:rFonts w:ascii="方正书宋简体" w:hAnsi="方正书宋简体" w:eastAsia="方正书宋简体" w:cs="方正书宋简体"/>
          <w:spacing w:val="-33"/>
          <w:sz w:val="24"/>
          <w:szCs w:val="24"/>
        </w:rPr>
        <w:t>））</w:t>
      </w:r>
    </w:p>
    <w:p>
      <w:pPr>
        <w:spacing w:line="2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4969"/>
        <w:gridCol w:w="713"/>
        <w:gridCol w:w="647"/>
        <w:gridCol w:w="600"/>
        <w:gridCol w:w="534"/>
        <w:gridCol w:w="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720" w:type="dxa"/>
            <w:vMerge w:val="restart"/>
            <w:tcBorders>
              <w:top w:val="single" w:color="000000" w:sz="6" w:space="0"/>
              <w:left w:val="single" w:color="000000" w:sz="6" w:space="0"/>
              <w:bottom w:val="nil"/>
            </w:tcBorders>
            <w:vAlign w:val="top"/>
          </w:tcPr>
          <w:p>
            <w:pPr>
              <w:spacing w:before="285" w:line="180" w:lineRule="auto"/>
              <w:ind w:firstLine="14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序号</w:t>
            </w:r>
          </w:p>
        </w:tc>
        <w:tc>
          <w:tcPr>
            <w:tcW w:w="4969" w:type="dxa"/>
            <w:vMerge w:val="restart"/>
            <w:tcBorders>
              <w:top w:val="single" w:color="000000" w:sz="6" w:space="0"/>
              <w:bottom w:val="nil"/>
            </w:tcBorders>
            <w:vAlign w:val="top"/>
          </w:tcPr>
          <w:p>
            <w:pPr>
              <w:spacing w:before="285" w:line="180" w:lineRule="auto"/>
              <w:ind w:firstLine="1750"/>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评</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7"/>
                <w:sz w:val="21"/>
                <w:szCs w:val="21"/>
              </w:rPr>
              <w:t>价</w:t>
            </w:r>
            <w:r>
              <w:rPr>
                <w:rFonts w:ascii="Microsoft JhengHei" w:hAnsi="Microsoft JhengHei" w:eastAsia="Microsoft JhengHei" w:cs="Microsoft JhengHei"/>
                <w:spacing w:val="2"/>
                <w:sz w:val="21"/>
                <w:szCs w:val="21"/>
              </w:rPr>
              <w:t xml:space="preserve">    </w:t>
            </w:r>
            <w:r>
              <w:rPr>
                <w:rFonts w:ascii="Microsoft JhengHei" w:hAnsi="Microsoft JhengHei" w:eastAsia="Microsoft JhengHei" w:cs="Microsoft JhengHei"/>
                <w:spacing w:val="-7"/>
                <w:sz w:val="21"/>
                <w:szCs w:val="21"/>
              </w:rPr>
              <w:t>项</w:t>
            </w:r>
            <w:r>
              <w:rPr>
                <w:rFonts w:ascii="Microsoft JhengHei" w:hAnsi="Microsoft JhengHei" w:eastAsia="Microsoft JhengHei" w:cs="Microsoft JhengHei"/>
                <w:spacing w:val="9"/>
                <w:sz w:val="21"/>
                <w:szCs w:val="21"/>
              </w:rPr>
              <w:t xml:space="preserve">    </w:t>
            </w:r>
            <w:r>
              <w:rPr>
                <w:rFonts w:ascii="Microsoft JhengHei" w:hAnsi="Microsoft JhengHei" w:eastAsia="Microsoft JhengHei" w:cs="Microsoft JhengHei"/>
                <w:spacing w:val="-7"/>
                <w:sz w:val="21"/>
                <w:szCs w:val="21"/>
              </w:rPr>
              <w:t>目</w:t>
            </w:r>
          </w:p>
        </w:tc>
        <w:tc>
          <w:tcPr>
            <w:tcW w:w="713" w:type="dxa"/>
            <w:vMerge w:val="restart"/>
            <w:tcBorders>
              <w:top w:val="single" w:color="000000" w:sz="6" w:space="0"/>
              <w:bottom w:val="nil"/>
            </w:tcBorders>
            <w:vAlign w:val="top"/>
          </w:tcPr>
          <w:p>
            <w:pPr>
              <w:spacing w:before="285" w:line="180" w:lineRule="auto"/>
              <w:ind w:firstLine="14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权重</w:t>
            </w:r>
          </w:p>
        </w:tc>
        <w:tc>
          <w:tcPr>
            <w:tcW w:w="2332" w:type="dxa"/>
            <w:gridSpan w:val="4"/>
            <w:tcBorders>
              <w:top w:val="single" w:color="000000" w:sz="6" w:space="0"/>
              <w:right w:val="single" w:color="000000" w:sz="6" w:space="0"/>
            </w:tcBorders>
            <w:vAlign w:val="top"/>
          </w:tcPr>
          <w:p>
            <w:pPr>
              <w:spacing w:before="87" w:line="180" w:lineRule="auto"/>
              <w:ind w:firstLine="75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20" w:type="dxa"/>
            <w:vMerge w:val="continue"/>
            <w:tcBorders>
              <w:top w:val="nil"/>
              <w:left w:val="single" w:color="000000" w:sz="6" w:space="0"/>
            </w:tcBorders>
            <w:vAlign w:val="top"/>
          </w:tcPr>
          <w:p>
            <w:pPr>
              <w:rPr>
                <w:rFonts w:ascii="Malgun Gothic"/>
                <w:sz w:val="21"/>
              </w:rPr>
            </w:pPr>
          </w:p>
        </w:tc>
        <w:tc>
          <w:tcPr>
            <w:tcW w:w="4969" w:type="dxa"/>
            <w:vMerge w:val="continue"/>
            <w:tcBorders>
              <w:top w:val="nil"/>
            </w:tcBorders>
            <w:vAlign w:val="top"/>
          </w:tcPr>
          <w:p>
            <w:pPr>
              <w:rPr>
                <w:rFonts w:ascii="Malgun Gothic"/>
                <w:sz w:val="21"/>
              </w:rPr>
            </w:pPr>
          </w:p>
        </w:tc>
        <w:tc>
          <w:tcPr>
            <w:tcW w:w="713" w:type="dxa"/>
            <w:vMerge w:val="continue"/>
            <w:tcBorders>
              <w:top w:val="nil"/>
            </w:tcBorders>
            <w:vAlign w:val="top"/>
          </w:tcPr>
          <w:p>
            <w:pPr>
              <w:rPr>
                <w:rFonts w:ascii="Malgun Gothic"/>
                <w:sz w:val="21"/>
              </w:rPr>
            </w:pPr>
          </w:p>
        </w:tc>
        <w:tc>
          <w:tcPr>
            <w:tcW w:w="647" w:type="dxa"/>
            <w:vAlign w:val="top"/>
          </w:tcPr>
          <w:p>
            <w:pPr>
              <w:spacing w:before="115" w:line="212" w:lineRule="exact"/>
              <w:ind w:firstLine="256"/>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600" w:type="dxa"/>
            <w:vAlign w:val="top"/>
          </w:tcPr>
          <w:p>
            <w:pPr>
              <w:spacing w:before="115" w:line="212" w:lineRule="exact"/>
              <w:ind w:firstLine="245"/>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B</w:t>
            </w:r>
          </w:p>
        </w:tc>
        <w:tc>
          <w:tcPr>
            <w:tcW w:w="534" w:type="dxa"/>
            <w:vAlign w:val="top"/>
          </w:tcPr>
          <w:p>
            <w:pPr>
              <w:spacing w:before="111" w:line="216" w:lineRule="exact"/>
              <w:ind w:firstLine="201"/>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551" w:type="dxa"/>
            <w:tcBorders>
              <w:right w:val="single" w:color="000000" w:sz="6" w:space="0"/>
            </w:tcBorders>
            <w:vAlign w:val="top"/>
          </w:tcPr>
          <w:p>
            <w:pPr>
              <w:spacing w:before="115" w:line="212" w:lineRule="exact"/>
              <w:ind w:firstLine="213"/>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0" w:type="dxa"/>
            <w:tcBorders>
              <w:left w:val="single" w:color="000000" w:sz="6" w:space="0"/>
            </w:tcBorders>
            <w:vAlign w:val="top"/>
          </w:tcPr>
          <w:p>
            <w:pPr>
              <w:spacing w:before="120" w:line="180" w:lineRule="auto"/>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4969" w:type="dxa"/>
            <w:vAlign w:val="top"/>
          </w:tcPr>
          <w:p>
            <w:pPr>
              <w:spacing w:before="82" w:line="193"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实验准备充分，实验器材、教学资料规范、齐全</w:t>
            </w:r>
          </w:p>
        </w:tc>
        <w:tc>
          <w:tcPr>
            <w:tcW w:w="713" w:type="dxa"/>
            <w:vAlign w:val="top"/>
          </w:tcPr>
          <w:p>
            <w:pPr>
              <w:spacing w:before="119"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22" w:line="180" w:lineRule="auto"/>
              <w:ind w:firstLine="3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969" w:type="dxa"/>
            <w:vAlign w:val="top"/>
          </w:tcPr>
          <w:p>
            <w:pPr>
              <w:spacing w:before="87" w:line="180" w:lineRule="auto"/>
              <w:ind w:firstLine="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遵守实验教学规范，严格要求学生</w:t>
            </w:r>
          </w:p>
        </w:tc>
        <w:tc>
          <w:tcPr>
            <w:tcW w:w="713" w:type="dxa"/>
            <w:vAlign w:val="top"/>
          </w:tcPr>
          <w:p>
            <w:pPr>
              <w:spacing w:before="121"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23" w:line="180" w:lineRule="auto"/>
              <w:ind w:firstLine="30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969" w:type="dxa"/>
            <w:vAlign w:val="top"/>
          </w:tcPr>
          <w:p>
            <w:pPr>
              <w:spacing w:before="78"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实验目的和要求明确，安排合理</w:t>
            </w:r>
          </w:p>
        </w:tc>
        <w:tc>
          <w:tcPr>
            <w:tcW w:w="713" w:type="dxa"/>
            <w:vAlign w:val="top"/>
          </w:tcPr>
          <w:p>
            <w:pPr>
              <w:spacing w:before="123"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0" w:type="dxa"/>
            <w:tcBorders>
              <w:left w:val="single" w:color="000000" w:sz="6" w:space="0"/>
            </w:tcBorders>
            <w:vAlign w:val="top"/>
          </w:tcPr>
          <w:p>
            <w:pPr>
              <w:spacing w:before="125" w:line="180" w:lineRule="auto"/>
              <w:ind w:firstLine="30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4969" w:type="dxa"/>
            <w:vAlign w:val="top"/>
          </w:tcPr>
          <w:p>
            <w:pPr>
              <w:spacing w:before="88" w:line="193"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实验讲解清晰，示范操作熟练、准确</w:t>
            </w:r>
          </w:p>
        </w:tc>
        <w:tc>
          <w:tcPr>
            <w:tcW w:w="713" w:type="dxa"/>
            <w:vAlign w:val="top"/>
          </w:tcPr>
          <w:p>
            <w:pPr>
              <w:spacing w:before="124"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24" w:line="180" w:lineRule="auto"/>
              <w:ind w:firstLine="3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4969" w:type="dxa"/>
            <w:vAlign w:val="top"/>
          </w:tcPr>
          <w:p>
            <w:pPr>
              <w:spacing w:before="89" w:line="193"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教学内容符合实验教学大纲，重点、难点突出</w:t>
            </w:r>
          </w:p>
        </w:tc>
        <w:tc>
          <w:tcPr>
            <w:tcW w:w="713" w:type="dxa"/>
            <w:vAlign w:val="top"/>
          </w:tcPr>
          <w:p>
            <w:pPr>
              <w:spacing w:before="126"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0" w:type="dxa"/>
            <w:tcBorders>
              <w:left w:val="single" w:color="000000" w:sz="6" w:space="0"/>
            </w:tcBorders>
            <w:vAlign w:val="top"/>
          </w:tcPr>
          <w:p>
            <w:pPr>
              <w:spacing w:before="127" w:line="180" w:lineRule="auto"/>
              <w:ind w:firstLine="30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4969" w:type="dxa"/>
            <w:vAlign w:val="top"/>
          </w:tcPr>
          <w:p>
            <w:pPr>
              <w:spacing w:before="95"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理论联系实际，结合学科发展，介绍最新动态</w:t>
            </w:r>
          </w:p>
        </w:tc>
        <w:tc>
          <w:tcPr>
            <w:tcW w:w="713" w:type="dxa"/>
            <w:vAlign w:val="top"/>
          </w:tcPr>
          <w:p>
            <w:pPr>
              <w:spacing w:before="128"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33" w:line="180" w:lineRule="auto"/>
              <w:ind w:firstLine="30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4969" w:type="dxa"/>
            <w:vAlign w:val="top"/>
          </w:tcPr>
          <w:p>
            <w:pPr>
              <w:spacing w:before="9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实验指导耐心细致，及时讲解总结实验中存在问题</w:t>
            </w:r>
          </w:p>
        </w:tc>
        <w:tc>
          <w:tcPr>
            <w:tcW w:w="713" w:type="dxa"/>
            <w:vAlign w:val="top"/>
          </w:tcPr>
          <w:p>
            <w:pPr>
              <w:spacing w:before="129"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31" w:line="180" w:lineRule="auto"/>
              <w:ind w:firstLine="30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4969" w:type="dxa"/>
            <w:vAlign w:val="top"/>
          </w:tcPr>
          <w:p>
            <w:pPr>
              <w:spacing w:before="99"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重视操作能力训练，鼓励创造性思维和实践</w:t>
            </w:r>
          </w:p>
        </w:tc>
        <w:tc>
          <w:tcPr>
            <w:tcW w:w="713" w:type="dxa"/>
            <w:vAlign w:val="top"/>
          </w:tcPr>
          <w:p>
            <w:pPr>
              <w:spacing w:before="131"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0" w:type="dxa"/>
            <w:tcBorders>
              <w:left w:val="single" w:color="000000" w:sz="6" w:space="0"/>
            </w:tcBorders>
            <w:vAlign w:val="top"/>
          </w:tcPr>
          <w:p>
            <w:pPr>
              <w:spacing w:before="134" w:line="180" w:lineRule="auto"/>
              <w:ind w:firstLine="3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4969" w:type="dxa"/>
            <w:vAlign w:val="top"/>
          </w:tcPr>
          <w:p>
            <w:pPr>
              <w:spacing w:before="101"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预习报告审查和实验报告批改认真细致，反馈及时</w:t>
            </w:r>
          </w:p>
        </w:tc>
        <w:tc>
          <w:tcPr>
            <w:tcW w:w="713" w:type="dxa"/>
            <w:vAlign w:val="top"/>
          </w:tcPr>
          <w:p>
            <w:pPr>
              <w:spacing w:before="133"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0" w:type="dxa"/>
            <w:tcBorders>
              <w:left w:val="single" w:color="000000" w:sz="6" w:space="0"/>
            </w:tcBorders>
            <w:vAlign w:val="top"/>
          </w:tcPr>
          <w:p>
            <w:pPr>
              <w:spacing w:before="135" w:line="180"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969" w:type="dxa"/>
            <w:vAlign w:val="top"/>
          </w:tcPr>
          <w:p>
            <w:pPr>
              <w:spacing w:before="104"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教学效果好，学生收益大</w:t>
            </w:r>
          </w:p>
        </w:tc>
        <w:tc>
          <w:tcPr>
            <w:tcW w:w="713" w:type="dxa"/>
            <w:vAlign w:val="top"/>
          </w:tcPr>
          <w:p>
            <w:pPr>
              <w:spacing w:before="135" w:line="180"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647" w:type="dxa"/>
            <w:vAlign w:val="top"/>
          </w:tcPr>
          <w:p>
            <w:pPr>
              <w:rPr>
                <w:rFonts w:ascii="Malgun Gothic"/>
                <w:sz w:val="21"/>
              </w:rPr>
            </w:pPr>
          </w:p>
        </w:tc>
        <w:tc>
          <w:tcPr>
            <w:tcW w:w="600" w:type="dxa"/>
            <w:vAlign w:val="top"/>
          </w:tcPr>
          <w:p>
            <w:pPr>
              <w:rPr>
                <w:rFonts w:ascii="Malgun Gothic"/>
                <w:sz w:val="21"/>
              </w:rPr>
            </w:pPr>
          </w:p>
        </w:tc>
        <w:tc>
          <w:tcPr>
            <w:tcW w:w="534"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689" w:type="dxa"/>
            <w:gridSpan w:val="2"/>
            <w:tcBorders>
              <w:left w:val="single" w:color="000000" w:sz="6" w:space="0"/>
            </w:tcBorders>
            <w:vAlign w:val="top"/>
          </w:tcPr>
          <w:p>
            <w:pPr>
              <w:spacing w:before="101"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总体评价等级或得分</w:t>
            </w:r>
          </w:p>
        </w:tc>
        <w:tc>
          <w:tcPr>
            <w:tcW w:w="3045" w:type="dxa"/>
            <w:gridSpan w:val="5"/>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0" w:hRule="atLeast"/>
        </w:trPr>
        <w:tc>
          <w:tcPr>
            <w:tcW w:w="8734" w:type="dxa"/>
            <w:gridSpan w:val="7"/>
            <w:tcBorders>
              <w:left w:val="single" w:color="000000" w:sz="6" w:space="0"/>
              <w:bottom w:val="single" w:color="000000" w:sz="6" w:space="0"/>
              <w:right w:val="single" w:color="000000" w:sz="6" w:space="0"/>
            </w:tcBorders>
            <w:vAlign w:val="top"/>
          </w:tcPr>
          <w:p>
            <w:pPr>
              <w:spacing w:before="199"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对实验或技能教学的评价意见或建议：</w:t>
            </w:r>
          </w:p>
        </w:tc>
      </w:tr>
    </w:tbl>
    <w:p>
      <w:pPr>
        <w:spacing w:line="246" w:lineRule="auto"/>
        <w:rPr>
          <w:rFonts w:ascii="Malgun Gothic"/>
          <w:sz w:val="21"/>
        </w:rPr>
      </w:pPr>
    </w:p>
    <w:p>
      <w:pPr>
        <w:spacing w:before="60"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295</w:t>
      </w:r>
    </w:p>
    <w:p>
      <w:pPr>
        <w:sectPr>
          <w:footerReference r:id="rId299" w:type="default"/>
          <w:pgSz w:w="11905" w:h="16840"/>
          <w:pgMar w:top="1431" w:right="1491" w:bottom="400" w:left="1578" w:header="0" w:footer="0" w:gutter="0"/>
          <w:cols w:space="720" w:num="1"/>
        </w:sectPr>
      </w:pPr>
    </w:p>
    <w:p>
      <w:pPr>
        <w:spacing w:before="386" w:line="180" w:lineRule="auto"/>
        <w:ind w:firstLine="1166"/>
        <w:rPr>
          <w:rFonts w:ascii="Microsoft JhengHei" w:hAnsi="Microsoft JhengHei" w:eastAsia="Microsoft JhengHei" w:cs="Microsoft JhengHei"/>
          <w:sz w:val="28"/>
          <w:szCs w:val="28"/>
        </w:rPr>
      </w:pPr>
      <w:r>
        <w:rPr>
          <w:rFonts w:ascii="Microsoft JhengHei" w:hAnsi="Microsoft JhengHei" w:eastAsia="Microsoft JhengHei" w:cs="Microsoft JhengHei"/>
          <w:spacing w:val="-5"/>
          <w:sz w:val="28"/>
          <w:szCs w:val="28"/>
        </w:rPr>
        <w:t>表三：理论课课堂教学评价表</w:t>
      </w:r>
      <w:r>
        <w:rPr>
          <w:rFonts w:ascii="Microsoft JhengHei" w:hAnsi="Microsoft JhengHei" w:eastAsia="Microsoft JhengHei" w:cs="Microsoft JhengHei"/>
          <w:spacing w:val="58"/>
          <w:sz w:val="28"/>
          <w:szCs w:val="28"/>
        </w:rPr>
        <w:t xml:space="preserve"> </w:t>
      </w:r>
      <w:r>
        <w:rPr>
          <w:rFonts w:ascii="Microsoft JhengHei" w:hAnsi="Microsoft JhengHei" w:eastAsia="Microsoft JhengHei" w:cs="Microsoft JhengHei"/>
          <w:spacing w:val="-5"/>
          <w:sz w:val="28"/>
          <w:szCs w:val="28"/>
        </w:rPr>
        <w:t>（教师、同行专家用）</w:t>
      </w:r>
    </w:p>
    <w:p>
      <w:pPr>
        <w:spacing w:line="328" w:lineRule="auto"/>
        <w:rPr>
          <w:rFonts w:ascii="Malgun Gothic"/>
          <w:sz w:val="21"/>
        </w:rPr>
      </w:pPr>
    </w:p>
    <w:p>
      <w:pPr>
        <w:spacing w:before="86" w:line="193"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开课单位：</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1"/>
          <w:sz w:val="24"/>
          <w:szCs w:val="24"/>
        </w:rPr>
        <w:t>______</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课程名称：</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_______</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sz w:val="24"/>
          <w:szCs w:val="24"/>
        </w:rPr>
        <w:t>□公共基础课</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sz w:val="24"/>
          <w:szCs w:val="24"/>
        </w:rPr>
        <w:t>□专业基础课</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sz w:val="24"/>
          <w:szCs w:val="24"/>
        </w:rPr>
        <w:t>□专业课</w:t>
      </w:r>
    </w:p>
    <w:p>
      <w:pPr>
        <w:spacing w:before="184" w:line="193" w:lineRule="auto"/>
        <w:ind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授课教师：</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16"/>
          <w:sz w:val="24"/>
          <w:szCs w:val="24"/>
        </w:rPr>
        <w:t>_________</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6"/>
          <w:sz w:val="24"/>
          <w:szCs w:val="24"/>
        </w:rPr>
        <w:t>职</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称：</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6"/>
          <w:sz w:val="24"/>
          <w:szCs w:val="24"/>
        </w:rPr>
        <w:t>__________</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6"/>
          <w:sz w:val="24"/>
          <w:szCs w:val="24"/>
        </w:rPr>
        <w:t>年龄层次：</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□老</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6"/>
          <w:sz w:val="24"/>
          <w:szCs w:val="24"/>
        </w:rPr>
        <w:t>□中</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6"/>
          <w:sz w:val="24"/>
          <w:szCs w:val="24"/>
        </w:rPr>
        <w:t>□青</w:t>
      </w:r>
    </w:p>
    <w:p>
      <w:pPr>
        <w:spacing w:before="184" w:line="258" w:lineRule="auto"/>
        <w:ind w:left="507" w:right="375" w:hanging="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授课班级：___________</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听课时间：__________</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
          <w:sz w:val="24"/>
          <w:szCs w:val="24"/>
        </w:rPr>
        <w:t>地</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点：______________</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听课后按下表进行评价：请在下面各栏内打“√”，只限选单项。</w:t>
      </w:r>
    </w:p>
    <w:p>
      <w:pPr>
        <w:spacing w:before="184" w:line="193"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（评价等级标准：A（90—100</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B（80—89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C（60-79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D（60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以下</w:t>
      </w:r>
      <w:r>
        <w:rPr>
          <w:rFonts w:ascii="方正书宋简体" w:hAnsi="方正书宋简体" w:eastAsia="方正书宋简体" w:cs="方正书宋简体"/>
          <w:spacing w:val="-33"/>
          <w:sz w:val="24"/>
          <w:szCs w:val="24"/>
        </w:rPr>
        <w:t>））</w:t>
      </w:r>
    </w:p>
    <w:p>
      <w:pPr>
        <w:spacing w:line="2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7"/>
        <w:gridCol w:w="5932"/>
        <w:gridCol w:w="587"/>
        <w:gridCol w:w="415"/>
        <w:gridCol w:w="415"/>
        <w:gridCol w:w="413"/>
        <w:gridCol w:w="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547" w:type="dxa"/>
            <w:vMerge w:val="restart"/>
            <w:tcBorders>
              <w:top w:val="single" w:color="000000" w:sz="6" w:space="0"/>
              <w:left w:val="single" w:color="000000" w:sz="6" w:space="0"/>
              <w:bottom w:val="nil"/>
            </w:tcBorders>
            <w:textDirection w:val="tbRlV"/>
            <w:vAlign w:val="top"/>
          </w:tcPr>
          <w:p>
            <w:pPr>
              <w:spacing w:before="165" w:line="180" w:lineRule="auto"/>
              <w:ind w:firstLine="13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5"/>
                <w:sz w:val="21"/>
                <w:szCs w:val="21"/>
              </w:rPr>
              <w:t>号</w:t>
            </w:r>
          </w:p>
        </w:tc>
        <w:tc>
          <w:tcPr>
            <w:tcW w:w="5932" w:type="dxa"/>
            <w:vMerge w:val="restart"/>
            <w:tcBorders>
              <w:top w:val="single" w:color="000000" w:sz="6" w:space="0"/>
              <w:bottom w:val="nil"/>
            </w:tcBorders>
            <w:vAlign w:val="top"/>
          </w:tcPr>
          <w:p>
            <w:pPr>
              <w:spacing w:before="298" w:line="180" w:lineRule="auto"/>
              <w:ind w:firstLine="222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评</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4"/>
                <w:sz w:val="21"/>
                <w:szCs w:val="21"/>
              </w:rPr>
              <w:t>价</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4"/>
                <w:sz w:val="21"/>
                <w:szCs w:val="21"/>
              </w:rPr>
              <w:t>项</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4"/>
                <w:sz w:val="21"/>
                <w:szCs w:val="21"/>
              </w:rPr>
              <w:t>目</w:t>
            </w:r>
          </w:p>
        </w:tc>
        <w:tc>
          <w:tcPr>
            <w:tcW w:w="587" w:type="dxa"/>
            <w:vMerge w:val="restart"/>
            <w:tcBorders>
              <w:top w:val="single" w:color="000000" w:sz="6" w:space="0"/>
              <w:bottom w:val="nil"/>
            </w:tcBorders>
            <w:textDirection w:val="tbRlV"/>
            <w:vAlign w:val="top"/>
          </w:tcPr>
          <w:p>
            <w:pPr>
              <w:spacing w:before="179" w:line="180" w:lineRule="auto"/>
              <w:ind w:firstLine="143"/>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权</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8"/>
                <w:sz w:val="21"/>
                <w:szCs w:val="21"/>
              </w:rPr>
              <w:t>重</w:t>
            </w:r>
          </w:p>
        </w:tc>
        <w:tc>
          <w:tcPr>
            <w:tcW w:w="1668" w:type="dxa"/>
            <w:gridSpan w:val="4"/>
            <w:tcBorders>
              <w:top w:val="single" w:color="000000" w:sz="6" w:space="0"/>
              <w:right w:val="single" w:color="000000" w:sz="6" w:space="0"/>
            </w:tcBorders>
            <w:vAlign w:val="top"/>
          </w:tcPr>
          <w:p>
            <w:pPr>
              <w:spacing w:before="93" w:line="180" w:lineRule="auto"/>
              <w:ind w:firstLine="4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547" w:type="dxa"/>
            <w:vMerge w:val="continue"/>
            <w:tcBorders>
              <w:top w:val="nil"/>
              <w:left w:val="single" w:color="000000" w:sz="6" w:space="0"/>
            </w:tcBorders>
            <w:textDirection w:val="tbRlV"/>
            <w:vAlign w:val="top"/>
          </w:tcPr>
          <w:p>
            <w:pPr>
              <w:rPr>
                <w:rFonts w:ascii="Malgun Gothic"/>
                <w:sz w:val="21"/>
              </w:rPr>
            </w:pPr>
          </w:p>
        </w:tc>
        <w:tc>
          <w:tcPr>
            <w:tcW w:w="5932" w:type="dxa"/>
            <w:vMerge w:val="continue"/>
            <w:tcBorders>
              <w:top w:val="nil"/>
            </w:tcBorders>
            <w:vAlign w:val="top"/>
          </w:tcPr>
          <w:p>
            <w:pPr>
              <w:rPr>
                <w:rFonts w:ascii="Malgun Gothic"/>
                <w:sz w:val="21"/>
              </w:rPr>
            </w:pPr>
          </w:p>
        </w:tc>
        <w:tc>
          <w:tcPr>
            <w:tcW w:w="587" w:type="dxa"/>
            <w:vMerge w:val="continue"/>
            <w:tcBorders>
              <w:top w:val="nil"/>
            </w:tcBorders>
            <w:textDirection w:val="tbRlV"/>
            <w:vAlign w:val="top"/>
          </w:tcPr>
          <w:p>
            <w:pPr>
              <w:rPr>
                <w:rFonts w:ascii="Malgun Gothic"/>
                <w:sz w:val="21"/>
              </w:rPr>
            </w:pPr>
          </w:p>
        </w:tc>
        <w:tc>
          <w:tcPr>
            <w:tcW w:w="415" w:type="dxa"/>
            <w:vAlign w:val="top"/>
          </w:tcPr>
          <w:p>
            <w:pPr>
              <w:spacing w:before="118" w:line="180" w:lineRule="auto"/>
              <w:ind w:firstLine="14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A</w:t>
            </w:r>
          </w:p>
        </w:tc>
        <w:tc>
          <w:tcPr>
            <w:tcW w:w="415" w:type="dxa"/>
            <w:vAlign w:val="top"/>
          </w:tcPr>
          <w:p>
            <w:pPr>
              <w:spacing w:before="120" w:line="180" w:lineRule="auto"/>
              <w:ind w:firstLine="15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B</w:t>
            </w:r>
          </w:p>
        </w:tc>
        <w:tc>
          <w:tcPr>
            <w:tcW w:w="413" w:type="dxa"/>
            <w:vAlign w:val="top"/>
          </w:tcPr>
          <w:p>
            <w:pPr>
              <w:spacing w:before="116" w:line="180" w:lineRule="auto"/>
              <w:ind w:firstLine="15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C</w:t>
            </w:r>
          </w:p>
        </w:tc>
        <w:tc>
          <w:tcPr>
            <w:tcW w:w="425" w:type="dxa"/>
            <w:tcBorders>
              <w:right w:val="single" w:color="000000" w:sz="6" w:space="0"/>
            </w:tcBorders>
            <w:vAlign w:val="top"/>
          </w:tcPr>
          <w:p>
            <w:pPr>
              <w:spacing w:before="120" w:line="180" w:lineRule="auto"/>
              <w:ind w:firstLine="14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47" w:type="dxa"/>
            <w:tcBorders>
              <w:left w:val="single" w:color="000000" w:sz="6" w:space="0"/>
            </w:tcBorders>
            <w:vAlign w:val="top"/>
          </w:tcPr>
          <w:p>
            <w:pPr>
              <w:spacing w:before="119" w:line="180" w:lineRule="auto"/>
              <w:ind w:firstLine="23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5932" w:type="dxa"/>
            <w:vAlign w:val="top"/>
          </w:tcPr>
          <w:p>
            <w:pPr>
              <w:spacing w:before="85" w:line="180"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课前准备充分，课程有关教学文件符合要求和规范</w:t>
            </w:r>
          </w:p>
        </w:tc>
        <w:tc>
          <w:tcPr>
            <w:tcW w:w="587" w:type="dxa"/>
            <w:vAlign w:val="top"/>
          </w:tcPr>
          <w:p>
            <w:pPr>
              <w:spacing w:before="118"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21"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5932" w:type="dxa"/>
            <w:vAlign w:val="top"/>
          </w:tcPr>
          <w:p>
            <w:pPr>
              <w:spacing w:before="83" w:line="193" w:lineRule="auto"/>
              <w:ind w:firstLine="9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讲课有热情，精神饱满，注意精力和感情投入</w:t>
            </w:r>
          </w:p>
        </w:tc>
        <w:tc>
          <w:tcPr>
            <w:tcW w:w="587" w:type="dxa"/>
            <w:vAlign w:val="top"/>
          </w:tcPr>
          <w:p>
            <w:pPr>
              <w:spacing w:before="120"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47" w:type="dxa"/>
            <w:tcBorders>
              <w:left w:val="single" w:color="000000" w:sz="6" w:space="0"/>
            </w:tcBorders>
            <w:vAlign w:val="top"/>
          </w:tcPr>
          <w:p>
            <w:pPr>
              <w:spacing w:before="122" w:line="180" w:lineRule="auto"/>
              <w:ind w:firstLine="22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5932" w:type="dxa"/>
            <w:vAlign w:val="top"/>
          </w:tcPr>
          <w:p>
            <w:pPr>
              <w:spacing w:before="87"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教学基本功扎实，讲课有感染力</w:t>
            </w:r>
          </w:p>
        </w:tc>
        <w:tc>
          <w:tcPr>
            <w:tcW w:w="587" w:type="dxa"/>
            <w:vAlign w:val="top"/>
          </w:tcPr>
          <w:p>
            <w:pPr>
              <w:spacing w:before="122"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24" w:line="180" w:lineRule="auto"/>
              <w:ind w:firstLine="21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5932" w:type="dxa"/>
            <w:vAlign w:val="top"/>
          </w:tcPr>
          <w:p>
            <w:pPr>
              <w:spacing w:before="87" w:line="193"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对问题的阐述简练准确，深入浅出，重点突出，思路清晰</w:t>
            </w:r>
          </w:p>
        </w:tc>
        <w:tc>
          <w:tcPr>
            <w:tcW w:w="587" w:type="dxa"/>
            <w:vAlign w:val="top"/>
          </w:tcPr>
          <w:p>
            <w:pPr>
              <w:spacing w:before="123"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23"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5932" w:type="dxa"/>
            <w:vAlign w:val="top"/>
          </w:tcPr>
          <w:p>
            <w:pPr>
              <w:spacing w:before="88" w:line="193"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对课程内容娴熟，运用自如</w:t>
            </w:r>
          </w:p>
        </w:tc>
        <w:tc>
          <w:tcPr>
            <w:tcW w:w="587" w:type="dxa"/>
            <w:vAlign w:val="top"/>
          </w:tcPr>
          <w:p>
            <w:pPr>
              <w:spacing w:before="125"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47" w:type="dxa"/>
            <w:tcBorders>
              <w:left w:val="single" w:color="000000" w:sz="6" w:space="0"/>
            </w:tcBorders>
            <w:vAlign w:val="top"/>
          </w:tcPr>
          <w:p>
            <w:pPr>
              <w:spacing w:before="126"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5932" w:type="dxa"/>
            <w:vAlign w:val="top"/>
          </w:tcPr>
          <w:p>
            <w:pPr>
              <w:spacing w:before="92" w:line="180" w:lineRule="auto"/>
              <w:ind w:firstLine="9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讲述内容充实，信息量大，不脱离教学大纲</w:t>
            </w:r>
          </w:p>
        </w:tc>
        <w:tc>
          <w:tcPr>
            <w:tcW w:w="587" w:type="dxa"/>
            <w:vAlign w:val="top"/>
          </w:tcPr>
          <w:p>
            <w:pPr>
              <w:spacing w:before="127"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32" w:line="180" w:lineRule="auto"/>
              <w:ind w:firstLine="21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5932" w:type="dxa"/>
            <w:vAlign w:val="top"/>
          </w:tcPr>
          <w:p>
            <w:pPr>
              <w:spacing w:before="98"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教学内容能反映或联系学科发展的新思想，新概念，新成果</w:t>
            </w:r>
          </w:p>
        </w:tc>
        <w:tc>
          <w:tcPr>
            <w:tcW w:w="587" w:type="dxa"/>
            <w:vAlign w:val="top"/>
          </w:tcPr>
          <w:p>
            <w:pPr>
              <w:spacing w:before="129"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30" w:line="180" w:lineRule="auto"/>
              <w:ind w:firstLine="2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5932" w:type="dxa"/>
            <w:vAlign w:val="top"/>
          </w:tcPr>
          <w:p>
            <w:pPr>
              <w:spacing w:before="99"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注意启发学生思考和联想，给学生以创新的启迪</w:t>
            </w:r>
          </w:p>
        </w:tc>
        <w:tc>
          <w:tcPr>
            <w:tcW w:w="587" w:type="dxa"/>
            <w:vAlign w:val="top"/>
          </w:tcPr>
          <w:p>
            <w:pPr>
              <w:spacing w:before="130"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547" w:type="dxa"/>
            <w:tcBorders>
              <w:left w:val="single" w:color="000000" w:sz="6" w:space="0"/>
            </w:tcBorders>
            <w:vAlign w:val="top"/>
          </w:tcPr>
          <w:p>
            <w:pPr>
              <w:spacing w:before="133"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5932" w:type="dxa"/>
            <w:vAlign w:val="top"/>
          </w:tcPr>
          <w:p>
            <w:pPr>
              <w:spacing w:before="100"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能有效调控课堂秩序，并通过适当互动，调动学生学习情绪</w:t>
            </w:r>
          </w:p>
        </w:tc>
        <w:tc>
          <w:tcPr>
            <w:tcW w:w="587" w:type="dxa"/>
            <w:vAlign w:val="top"/>
          </w:tcPr>
          <w:p>
            <w:pPr>
              <w:spacing w:before="132"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47" w:type="dxa"/>
            <w:tcBorders>
              <w:left w:val="single" w:color="000000" w:sz="6" w:space="0"/>
            </w:tcBorders>
            <w:vAlign w:val="top"/>
          </w:tcPr>
          <w:p>
            <w:pPr>
              <w:spacing w:before="134" w:line="180" w:lineRule="auto"/>
              <w:ind w:firstLine="181"/>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932" w:type="dxa"/>
            <w:vAlign w:val="top"/>
          </w:tcPr>
          <w:p>
            <w:pPr>
              <w:spacing w:before="99"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能合理、有效地利用各种教学媒体</w:t>
            </w:r>
          </w:p>
        </w:tc>
        <w:tc>
          <w:tcPr>
            <w:tcW w:w="587" w:type="dxa"/>
            <w:vAlign w:val="top"/>
          </w:tcPr>
          <w:p>
            <w:pPr>
              <w:spacing w:before="134" w:line="180" w:lineRule="auto"/>
              <w:ind w:firstLine="21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415" w:type="dxa"/>
            <w:vAlign w:val="top"/>
          </w:tcPr>
          <w:p>
            <w:pPr>
              <w:rPr>
                <w:rFonts w:ascii="Malgun Gothic"/>
                <w:sz w:val="21"/>
              </w:rPr>
            </w:pPr>
          </w:p>
        </w:tc>
        <w:tc>
          <w:tcPr>
            <w:tcW w:w="415" w:type="dxa"/>
            <w:vAlign w:val="top"/>
          </w:tcPr>
          <w:p>
            <w:pPr>
              <w:rPr>
                <w:rFonts w:ascii="Malgun Gothic"/>
                <w:sz w:val="21"/>
              </w:rPr>
            </w:pPr>
          </w:p>
        </w:tc>
        <w:tc>
          <w:tcPr>
            <w:tcW w:w="413" w:type="dxa"/>
            <w:vAlign w:val="top"/>
          </w:tcPr>
          <w:p>
            <w:pPr>
              <w:rPr>
                <w:rFonts w:ascii="Malgun Gothic"/>
                <w:sz w:val="21"/>
              </w:rPr>
            </w:pPr>
          </w:p>
        </w:tc>
        <w:tc>
          <w:tcPr>
            <w:tcW w:w="425"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6479" w:type="dxa"/>
            <w:gridSpan w:val="2"/>
            <w:tcBorders>
              <w:left w:val="single" w:color="000000" w:sz="6" w:space="0"/>
            </w:tcBorders>
            <w:vAlign w:val="top"/>
          </w:tcPr>
          <w:p>
            <w:pPr>
              <w:spacing w:before="106"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总体评价等级或得分</w:t>
            </w:r>
          </w:p>
        </w:tc>
        <w:tc>
          <w:tcPr>
            <w:tcW w:w="2255" w:type="dxa"/>
            <w:gridSpan w:val="5"/>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3" w:hRule="atLeast"/>
        </w:trPr>
        <w:tc>
          <w:tcPr>
            <w:tcW w:w="8734" w:type="dxa"/>
            <w:gridSpan w:val="7"/>
            <w:tcBorders>
              <w:left w:val="single" w:color="000000" w:sz="6" w:space="0"/>
              <w:bottom w:val="single" w:color="000000" w:sz="6" w:space="0"/>
              <w:right w:val="single" w:color="000000" w:sz="6" w:space="0"/>
            </w:tcBorders>
            <w:vAlign w:val="top"/>
          </w:tcPr>
          <w:p>
            <w:pPr>
              <w:spacing w:before="104"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对课堂教学的评价意见或建议：</w:t>
            </w:r>
          </w:p>
        </w:tc>
      </w:tr>
    </w:tbl>
    <w:p>
      <w:pPr>
        <w:spacing w:before="159" w:line="180" w:lineRule="auto"/>
        <w:ind w:firstLine="1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评价人（签名）</w:t>
      </w:r>
      <w:r>
        <w:rPr>
          <w:rFonts w:ascii="方正书宋简体" w:hAnsi="方正书宋简体" w:eastAsia="方正书宋简体" w:cs="方正书宋简体"/>
          <w:sz w:val="24"/>
          <w:szCs w:val="24"/>
          <w:u w:val="single" w:color="auto"/>
        </w:rPr>
        <w:t xml:space="preserve">                                                                   </w:t>
      </w:r>
      <w:r>
        <w:rPr>
          <w:rFonts w:ascii="方正书宋简体" w:hAnsi="方正书宋简体" w:eastAsia="方正书宋简体" w:cs="方正书宋简体"/>
          <w:spacing w:val="-13"/>
          <w:sz w:val="24"/>
          <w:szCs w:val="24"/>
        </w:rPr>
        <w:t>年</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3"/>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日</w:t>
      </w:r>
    </w:p>
    <w:p>
      <w:pPr>
        <w:spacing w:line="294" w:lineRule="auto"/>
        <w:rPr>
          <w:rFonts w:ascii="Malgun Gothic"/>
          <w:sz w:val="21"/>
        </w:rPr>
      </w:pPr>
    </w:p>
    <w:p>
      <w:pPr>
        <w:spacing w:before="61"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296</w:t>
      </w:r>
    </w:p>
    <w:p>
      <w:pPr>
        <w:sectPr>
          <w:footerReference r:id="rId300" w:type="default"/>
          <w:pgSz w:w="11905" w:h="16840"/>
          <w:pgMar w:top="1431" w:right="1577" w:bottom="400" w:left="1578" w:header="0" w:footer="0" w:gutter="0"/>
          <w:cols w:space="720" w:num="1"/>
        </w:sectPr>
      </w:pPr>
    </w:p>
    <w:p>
      <w:pPr>
        <w:spacing w:before="386" w:line="180" w:lineRule="auto"/>
        <w:ind w:firstLine="886"/>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表四：实验课课堂教学质量评价表（教师、同行专家用）</w:t>
      </w:r>
    </w:p>
    <w:p>
      <w:pPr>
        <w:spacing w:line="328" w:lineRule="auto"/>
        <w:rPr>
          <w:rFonts w:ascii="Malgun Gothic"/>
          <w:sz w:val="21"/>
        </w:rPr>
      </w:pPr>
    </w:p>
    <w:p>
      <w:pPr>
        <w:spacing w:before="86" w:line="193" w:lineRule="auto"/>
        <w:ind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开课单位：</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11"/>
          <w:sz w:val="24"/>
          <w:szCs w:val="24"/>
        </w:rPr>
        <w:t>______</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sz w:val="24"/>
          <w:szCs w:val="24"/>
        </w:rPr>
        <w:t>课程名称：</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_______</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sz w:val="24"/>
          <w:szCs w:val="24"/>
        </w:rPr>
        <w:t>□公共基础课</w:t>
      </w:r>
      <w:r>
        <w:rPr>
          <w:rFonts w:ascii="方正书宋简体" w:hAnsi="方正书宋简体" w:eastAsia="方正书宋简体" w:cs="方正书宋简体"/>
          <w:spacing w:val="12"/>
          <w:w w:val="101"/>
          <w:sz w:val="24"/>
          <w:szCs w:val="24"/>
        </w:rPr>
        <w:t xml:space="preserve">  </w:t>
      </w:r>
      <w:r>
        <w:rPr>
          <w:rFonts w:ascii="方正书宋简体" w:hAnsi="方正书宋简体" w:eastAsia="方正书宋简体" w:cs="方正书宋简体"/>
          <w:spacing w:val="-11"/>
          <w:sz w:val="24"/>
          <w:szCs w:val="24"/>
        </w:rPr>
        <w:t>□专业基础课</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1"/>
          <w:sz w:val="24"/>
          <w:szCs w:val="24"/>
        </w:rPr>
        <w:t>□专业课</w:t>
      </w:r>
    </w:p>
    <w:p>
      <w:pPr>
        <w:spacing w:before="184" w:line="193" w:lineRule="auto"/>
        <w:ind w:firstLine="494"/>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授课教师：</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6"/>
          <w:sz w:val="24"/>
          <w:szCs w:val="24"/>
        </w:rPr>
        <w:t>__________</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16"/>
          <w:sz w:val="24"/>
          <w:szCs w:val="24"/>
        </w:rPr>
        <w:t>职</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称：</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6"/>
          <w:sz w:val="24"/>
          <w:szCs w:val="24"/>
        </w:rPr>
        <w:t>_________</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6"/>
          <w:sz w:val="24"/>
          <w:szCs w:val="24"/>
        </w:rPr>
        <w:t>年龄层次：</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□老</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6"/>
          <w:sz w:val="24"/>
          <w:szCs w:val="24"/>
        </w:rPr>
        <w:t>□中</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6"/>
          <w:sz w:val="24"/>
          <w:szCs w:val="24"/>
        </w:rPr>
        <w:t>□青</w:t>
      </w:r>
    </w:p>
    <w:p>
      <w:pPr>
        <w:spacing w:before="184" w:line="258" w:lineRule="auto"/>
        <w:ind w:left="507" w:right="135" w:hanging="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授课班级：____________</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1"/>
          <w:sz w:val="24"/>
          <w:szCs w:val="24"/>
        </w:rPr>
        <w:t>听课时间：___________</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地</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点：______________</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听课后按下表进行评价：请在下面各栏内打“√”，只限选单项。</w:t>
      </w:r>
    </w:p>
    <w:p>
      <w:pPr>
        <w:spacing w:before="184" w:line="193" w:lineRule="auto"/>
        <w:ind w:firstLine="35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（评价等级标准：A（90—100</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1"/>
          <w:sz w:val="24"/>
          <w:szCs w:val="24"/>
        </w:rPr>
        <w:t>B（80—89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C（60-79</w:t>
      </w:r>
      <w:r>
        <w:rPr>
          <w:rFonts w:ascii="方正书宋简体" w:hAnsi="方正书宋简体" w:eastAsia="方正书宋简体" w:cs="方正书宋简体"/>
          <w:spacing w:val="-33"/>
          <w:sz w:val="24"/>
          <w:szCs w:val="24"/>
        </w:rPr>
        <w:t>），</w:t>
      </w:r>
      <w:r>
        <w:rPr>
          <w:rFonts w:ascii="方正书宋简体" w:hAnsi="方正书宋简体" w:eastAsia="方正书宋简体" w:cs="方正书宋简体"/>
          <w:spacing w:val="-11"/>
          <w:sz w:val="24"/>
          <w:szCs w:val="24"/>
        </w:rPr>
        <w:t>D（60</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1"/>
          <w:sz w:val="24"/>
          <w:szCs w:val="24"/>
        </w:rPr>
        <w:t>以下</w:t>
      </w:r>
      <w:r>
        <w:rPr>
          <w:rFonts w:ascii="方正书宋简体" w:hAnsi="方正书宋简体" w:eastAsia="方正书宋简体" w:cs="方正书宋简体"/>
          <w:spacing w:val="-33"/>
          <w:sz w:val="24"/>
          <w:szCs w:val="24"/>
        </w:rPr>
        <w:t>））</w:t>
      </w:r>
    </w:p>
    <w:p>
      <w:pPr>
        <w:spacing w:line="22"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5240"/>
        <w:gridCol w:w="602"/>
        <w:gridCol w:w="540"/>
        <w:gridCol w:w="540"/>
        <w:gridCol w:w="539"/>
        <w:gridCol w:w="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722" w:type="dxa"/>
            <w:vMerge w:val="restart"/>
            <w:tcBorders>
              <w:top w:val="single" w:color="000000" w:sz="6" w:space="0"/>
              <w:left w:val="single" w:color="000000" w:sz="6" w:space="0"/>
              <w:bottom w:val="nil"/>
            </w:tcBorders>
            <w:vAlign w:val="top"/>
          </w:tcPr>
          <w:p>
            <w:pPr>
              <w:spacing w:before="285" w:line="180" w:lineRule="auto"/>
              <w:ind w:firstLine="145"/>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序号</w:t>
            </w:r>
          </w:p>
        </w:tc>
        <w:tc>
          <w:tcPr>
            <w:tcW w:w="5240" w:type="dxa"/>
            <w:vMerge w:val="restart"/>
            <w:tcBorders>
              <w:top w:val="single" w:color="000000" w:sz="6" w:space="0"/>
              <w:bottom w:val="nil"/>
            </w:tcBorders>
            <w:vAlign w:val="top"/>
          </w:tcPr>
          <w:p>
            <w:pPr>
              <w:spacing w:before="285" w:line="180" w:lineRule="auto"/>
              <w:ind w:firstLine="1362"/>
              <w:rPr>
                <w:rFonts w:ascii="Microsoft JhengHei" w:hAnsi="Microsoft JhengHei" w:eastAsia="Microsoft JhengHei" w:cs="Microsoft JhengHei"/>
                <w:sz w:val="21"/>
                <w:szCs w:val="21"/>
              </w:rPr>
            </w:pPr>
            <w:r>
              <w:rPr>
                <w:rFonts w:ascii="Microsoft JhengHei" w:hAnsi="Microsoft JhengHei" w:eastAsia="Microsoft JhengHei" w:cs="Microsoft JhengHei"/>
                <w:spacing w:val="-7"/>
                <w:sz w:val="21"/>
                <w:szCs w:val="21"/>
              </w:rPr>
              <w:t>评</w:t>
            </w:r>
            <w:r>
              <w:rPr>
                <w:rFonts w:ascii="Microsoft JhengHei" w:hAnsi="Microsoft JhengHei" w:eastAsia="Microsoft JhengHei" w:cs="Microsoft JhengHei"/>
                <w:w w:val="101"/>
                <w:sz w:val="21"/>
                <w:szCs w:val="21"/>
              </w:rPr>
              <w:t xml:space="preserve">          </w:t>
            </w:r>
            <w:r>
              <w:rPr>
                <w:rFonts w:ascii="Microsoft JhengHei" w:hAnsi="Microsoft JhengHei" w:eastAsia="Microsoft JhengHei" w:cs="Microsoft JhengHei"/>
                <w:spacing w:val="-7"/>
                <w:sz w:val="21"/>
                <w:szCs w:val="21"/>
              </w:rPr>
              <w:t>价</w:t>
            </w:r>
            <w:r>
              <w:rPr>
                <w:rFonts w:ascii="Microsoft JhengHei" w:hAnsi="Microsoft JhengHei" w:eastAsia="Microsoft JhengHei" w:cs="Microsoft JhengHei"/>
                <w:spacing w:val="1"/>
                <w:sz w:val="21"/>
                <w:szCs w:val="21"/>
              </w:rPr>
              <w:t xml:space="preserve">          </w:t>
            </w:r>
            <w:r>
              <w:rPr>
                <w:rFonts w:ascii="Microsoft JhengHei" w:hAnsi="Microsoft JhengHei" w:eastAsia="Microsoft JhengHei" w:cs="Microsoft JhengHei"/>
                <w:spacing w:val="-7"/>
                <w:sz w:val="21"/>
                <w:szCs w:val="21"/>
              </w:rPr>
              <w:t>项</w:t>
            </w:r>
            <w:r>
              <w:rPr>
                <w:rFonts w:ascii="Microsoft JhengHei" w:hAnsi="Microsoft JhengHei" w:eastAsia="Microsoft JhengHei" w:cs="Microsoft JhengHei"/>
                <w:spacing w:val="3"/>
                <w:sz w:val="21"/>
                <w:szCs w:val="21"/>
              </w:rPr>
              <w:t xml:space="preserve">            </w:t>
            </w:r>
            <w:r>
              <w:rPr>
                <w:rFonts w:ascii="Microsoft JhengHei" w:hAnsi="Microsoft JhengHei" w:eastAsia="Microsoft JhengHei" w:cs="Microsoft JhengHei"/>
                <w:spacing w:val="-7"/>
                <w:sz w:val="21"/>
                <w:szCs w:val="21"/>
              </w:rPr>
              <w:t>目</w:t>
            </w:r>
          </w:p>
        </w:tc>
        <w:tc>
          <w:tcPr>
            <w:tcW w:w="602" w:type="dxa"/>
            <w:vMerge w:val="restart"/>
            <w:tcBorders>
              <w:top w:val="single" w:color="000000" w:sz="6" w:space="0"/>
              <w:bottom w:val="nil"/>
            </w:tcBorders>
            <w:textDirection w:val="tbRlV"/>
            <w:vAlign w:val="top"/>
          </w:tcPr>
          <w:p>
            <w:pPr>
              <w:spacing w:before="187" w:line="180" w:lineRule="auto"/>
              <w:ind w:firstLine="132"/>
              <w:rPr>
                <w:rFonts w:ascii="Microsoft JhengHei" w:hAnsi="Microsoft JhengHei" w:eastAsia="Microsoft JhengHei" w:cs="Microsoft JhengHei"/>
                <w:sz w:val="21"/>
                <w:szCs w:val="21"/>
              </w:rPr>
            </w:pPr>
            <w:r>
              <w:rPr>
                <w:rFonts w:ascii="Microsoft JhengHei" w:hAnsi="Microsoft JhengHei" w:eastAsia="Microsoft JhengHei" w:cs="Microsoft JhengHei"/>
                <w:spacing w:val="13"/>
                <w:sz w:val="21"/>
                <w:szCs w:val="21"/>
              </w:rPr>
              <w:t>权</w:t>
            </w:r>
            <w:r>
              <w:rPr>
                <w:rFonts w:ascii="Microsoft JhengHei" w:hAnsi="Microsoft JhengHei" w:eastAsia="Microsoft JhengHei" w:cs="Microsoft JhengHei"/>
                <w:spacing w:val="39"/>
                <w:w w:val="101"/>
                <w:sz w:val="21"/>
                <w:szCs w:val="21"/>
              </w:rPr>
              <w:t xml:space="preserve"> </w:t>
            </w:r>
            <w:r>
              <w:rPr>
                <w:rFonts w:ascii="Microsoft JhengHei" w:hAnsi="Microsoft JhengHei" w:eastAsia="Microsoft JhengHei" w:cs="Microsoft JhengHei"/>
                <w:spacing w:val="13"/>
                <w:sz w:val="21"/>
                <w:szCs w:val="21"/>
              </w:rPr>
              <w:t>重</w:t>
            </w:r>
          </w:p>
        </w:tc>
        <w:tc>
          <w:tcPr>
            <w:tcW w:w="2170" w:type="dxa"/>
            <w:gridSpan w:val="4"/>
            <w:tcBorders>
              <w:top w:val="single" w:color="000000" w:sz="6" w:space="0"/>
              <w:right w:val="single" w:color="000000" w:sz="6" w:space="0"/>
            </w:tcBorders>
            <w:vAlign w:val="top"/>
          </w:tcPr>
          <w:p>
            <w:pPr>
              <w:spacing w:before="87" w:line="180" w:lineRule="auto"/>
              <w:ind w:firstLine="66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722" w:type="dxa"/>
            <w:vMerge w:val="continue"/>
            <w:tcBorders>
              <w:top w:val="nil"/>
              <w:left w:val="single" w:color="000000" w:sz="6" w:space="0"/>
            </w:tcBorders>
            <w:vAlign w:val="top"/>
          </w:tcPr>
          <w:p>
            <w:pPr>
              <w:rPr>
                <w:rFonts w:ascii="Malgun Gothic"/>
                <w:sz w:val="21"/>
              </w:rPr>
            </w:pPr>
          </w:p>
        </w:tc>
        <w:tc>
          <w:tcPr>
            <w:tcW w:w="5240" w:type="dxa"/>
            <w:vMerge w:val="continue"/>
            <w:tcBorders>
              <w:top w:val="nil"/>
            </w:tcBorders>
            <w:vAlign w:val="top"/>
          </w:tcPr>
          <w:p>
            <w:pPr>
              <w:rPr>
                <w:rFonts w:ascii="Malgun Gothic"/>
                <w:sz w:val="21"/>
              </w:rPr>
            </w:pPr>
          </w:p>
        </w:tc>
        <w:tc>
          <w:tcPr>
            <w:tcW w:w="602" w:type="dxa"/>
            <w:vMerge w:val="continue"/>
            <w:tcBorders>
              <w:top w:val="nil"/>
            </w:tcBorders>
            <w:textDirection w:val="tbRlV"/>
            <w:vAlign w:val="top"/>
          </w:tcPr>
          <w:p>
            <w:pPr>
              <w:rPr>
                <w:rFonts w:ascii="Malgun Gothic"/>
                <w:sz w:val="21"/>
              </w:rPr>
            </w:pPr>
          </w:p>
        </w:tc>
        <w:tc>
          <w:tcPr>
            <w:tcW w:w="540" w:type="dxa"/>
            <w:vAlign w:val="top"/>
          </w:tcPr>
          <w:p>
            <w:pPr>
              <w:spacing w:before="115" w:line="212" w:lineRule="exact"/>
              <w:ind w:firstLine="202"/>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540" w:type="dxa"/>
            <w:vAlign w:val="top"/>
          </w:tcPr>
          <w:p>
            <w:pPr>
              <w:spacing w:before="115" w:line="212" w:lineRule="exact"/>
              <w:ind w:firstLine="215"/>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B</w:t>
            </w:r>
          </w:p>
        </w:tc>
        <w:tc>
          <w:tcPr>
            <w:tcW w:w="539" w:type="dxa"/>
            <w:vAlign w:val="top"/>
          </w:tcPr>
          <w:p>
            <w:pPr>
              <w:spacing w:before="111" w:line="216" w:lineRule="exact"/>
              <w:ind w:firstLine="204"/>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551" w:type="dxa"/>
            <w:tcBorders>
              <w:right w:val="single" w:color="000000" w:sz="6" w:space="0"/>
            </w:tcBorders>
            <w:vAlign w:val="top"/>
          </w:tcPr>
          <w:p>
            <w:pPr>
              <w:spacing w:before="115" w:line="212" w:lineRule="exact"/>
              <w:ind w:firstLine="213"/>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2" w:type="dxa"/>
            <w:tcBorders>
              <w:left w:val="single" w:color="000000" w:sz="6" w:space="0"/>
            </w:tcBorders>
            <w:vAlign w:val="top"/>
          </w:tcPr>
          <w:p>
            <w:pPr>
              <w:spacing w:before="120" w:line="180" w:lineRule="auto"/>
              <w:ind w:firstLine="32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5240" w:type="dxa"/>
            <w:vAlign w:val="top"/>
          </w:tcPr>
          <w:p>
            <w:pPr>
              <w:spacing w:before="82" w:line="193" w:lineRule="auto"/>
              <w:ind w:firstLine="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课前准备充分，实验器材、教学资料规范、齐全</w:t>
            </w:r>
          </w:p>
        </w:tc>
        <w:tc>
          <w:tcPr>
            <w:tcW w:w="602" w:type="dxa"/>
            <w:vAlign w:val="top"/>
          </w:tcPr>
          <w:p>
            <w:pPr>
              <w:spacing w:before="119"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22"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5240" w:type="dxa"/>
            <w:vAlign w:val="top"/>
          </w:tcPr>
          <w:p>
            <w:pPr>
              <w:spacing w:before="76"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实验目的和要求明确，安排合理</w:t>
            </w:r>
          </w:p>
        </w:tc>
        <w:tc>
          <w:tcPr>
            <w:tcW w:w="602" w:type="dxa"/>
            <w:vAlign w:val="top"/>
          </w:tcPr>
          <w:p>
            <w:pPr>
              <w:spacing w:before="121"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23"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5240" w:type="dxa"/>
            <w:vAlign w:val="top"/>
          </w:tcPr>
          <w:p>
            <w:pPr>
              <w:spacing w:before="86" w:line="193" w:lineRule="auto"/>
              <w:ind w:firstLine="9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讲课有热情，精神饱满，注意力集中</w:t>
            </w:r>
          </w:p>
        </w:tc>
        <w:tc>
          <w:tcPr>
            <w:tcW w:w="602" w:type="dxa"/>
            <w:vAlign w:val="top"/>
          </w:tcPr>
          <w:p>
            <w:pPr>
              <w:spacing w:before="123"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2" w:type="dxa"/>
            <w:tcBorders>
              <w:left w:val="single" w:color="000000" w:sz="6" w:space="0"/>
            </w:tcBorders>
            <w:vAlign w:val="top"/>
          </w:tcPr>
          <w:p>
            <w:pPr>
              <w:spacing w:before="125" w:line="180" w:lineRule="auto"/>
              <w:ind w:firstLine="30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5240" w:type="dxa"/>
            <w:vAlign w:val="top"/>
          </w:tcPr>
          <w:p>
            <w:pPr>
              <w:spacing w:before="88" w:line="193"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实验讲解清晰，示范操作熟练、准确</w:t>
            </w:r>
          </w:p>
        </w:tc>
        <w:tc>
          <w:tcPr>
            <w:tcW w:w="602" w:type="dxa"/>
            <w:vAlign w:val="top"/>
          </w:tcPr>
          <w:p>
            <w:pPr>
              <w:spacing w:before="124" w:line="180" w:lineRule="auto"/>
              <w:ind w:firstLine="21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24"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5240" w:type="dxa"/>
            <w:vAlign w:val="top"/>
          </w:tcPr>
          <w:p>
            <w:pPr>
              <w:spacing w:before="89" w:line="193"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教学内容符合实验教学大纲，重点、难点突出</w:t>
            </w:r>
          </w:p>
        </w:tc>
        <w:tc>
          <w:tcPr>
            <w:tcW w:w="602" w:type="dxa"/>
            <w:vAlign w:val="top"/>
          </w:tcPr>
          <w:p>
            <w:pPr>
              <w:spacing w:before="126"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2" w:type="dxa"/>
            <w:tcBorders>
              <w:left w:val="single" w:color="000000" w:sz="6" w:space="0"/>
            </w:tcBorders>
            <w:vAlign w:val="top"/>
          </w:tcPr>
          <w:p>
            <w:pPr>
              <w:spacing w:before="127"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5240" w:type="dxa"/>
            <w:vAlign w:val="top"/>
          </w:tcPr>
          <w:p>
            <w:pPr>
              <w:spacing w:before="95"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理论联系实际，结合学科发展，介绍最新动态</w:t>
            </w:r>
          </w:p>
        </w:tc>
        <w:tc>
          <w:tcPr>
            <w:tcW w:w="602" w:type="dxa"/>
            <w:vAlign w:val="top"/>
          </w:tcPr>
          <w:p>
            <w:pPr>
              <w:spacing w:before="128"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33" w:line="180" w:lineRule="auto"/>
              <w:ind w:firstLine="30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5240" w:type="dxa"/>
            <w:vAlign w:val="top"/>
          </w:tcPr>
          <w:p>
            <w:pPr>
              <w:spacing w:before="95"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实验指导耐心细致，及时讲解总结实验中存在问题</w:t>
            </w:r>
          </w:p>
        </w:tc>
        <w:tc>
          <w:tcPr>
            <w:tcW w:w="602" w:type="dxa"/>
            <w:vAlign w:val="top"/>
          </w:tcPr>
          <w:p>
            <w:pPr>
              <w:spacing w:before="129"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31" w:line="180" w:lineRule="auto"/>
              <w:ind w:firstLine="30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5240" w:type="dxa"/>
            <w:vAlign w:val="top"/>
          </w:tcPr>
          <w:p>
            <w:pPr>
              <w:spacing w:before="99"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重视操作能力训练，鼓励创造性思维和实践</w:t>
            </w:r>
          </w:p>
        </w:tc>
        <w:tc>
          <w:tcPr>
            <w:tcW w:w="602" w:type="dxa"/>
            <w:vAlign w:val="top"/>
          </w:tcPr>
          <w:p>
            <w:pPr>
              <w:spacing w:before="131"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722" w:type="dxa"/>
            <w:tcBorders>
              <w:left w:val="single" w:color="000000" w:sz="6" w:space="0"/>
            </w:tcBorders>
            <w:vAlign w:val="top"/>
          </w:tcPr>
          <w:p>
            <w:pPr>
              <w:spacing w:before="134"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5240" w:type="dxa"/>
            <w:vAlign w:val="top"/>
          </w:tcPr>
          <w:p>
            <w:pPr>
              <w:spacing w:before="101"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能有效调控课堂秩序，充分调动学生学习兴趣</w:t>
            </w:r>
          </w:p>
        </w:tc>
        <w:tc>
          <w:tcPr>
            <w:tcW w:w="602" w:type="dxa"/>
            <w:vAlign w:val="top"/>
          </w:tcPr>
          <w:p>
            <w:pPr>
              <w:spacing w:before="133"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722" w:type="dxa"/>
            <w:tcBorders>
              <w:left w:val="single" w:color="000000" w:sz="6" w:space="0"/>
            </w:tcBorders>
            <w:vAlign w:val="top"/>
          </w:tcPr>
          <w:p>
            <w:pPr>
              <w:spacing w:before="135" w:line="180" w:lineRule="auto"/>
              <w:ind w:firstLine="269"/>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240" w:type="dxa"/>
            <w:vAlign w:val="top"/>
          </w:tcPr>
          <w:p>
            <w:pPr>
              <w:spacing w:before="104" w:line="180" w:lineRule="auto"/>
              <w:ind w:firstLine="1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教学效果好，学生收益大</w:t>
            </w:r>
          </w:p>
        </w:tc>
        <w:tc>
          <w:tcPr>
            <w:tcW w:w="602" w:type="dxa"/>
            <w:vAlign w:val="top"/>
          </w:tcPr>
          <w:p>
            <w:pPr>
              <w:spacing w:before="135" w:line="180"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540" w:type="dxa"/>
            <w:vAlign w:val="top"/>
          </w:tcPr>
          <w:p>
            <w:pPr>
              <w:rPr>
                <w:rFonts w:ascii="Malgun Gothic"/>
                <w:sz w:val="21"/>
              </w:rPr>
            </w:pPr>
          </w:p>
        </w:tc>
        <w:tc>
          <w:tcPr>
            <w:tcW w:w="540" w:type="dxa"/>
            <w:vAlign w:val="top"/>
          </w:tcPr>
          <w:p>
            <w:pPr>
              <w:rPr>
                <w:rFonts w:ascii="Malgun Gothic"/>
                <w:sz w:val="21"/>
              </w:rPr>
            </w:pPr>
          </w:p>
        </w:tc>
        <w:tc>
          <w:tcPr>
            <w:tcW w:w="539" w:type="dxa"/>
            <w:vAlign w:val="top"/>
          </w:tcPr>
          <w:p>
            <w:pPr>
              <w:rPr>
                <w:rFonts w:ascii="Malgun Gothic"/>
                <w:sz w:val="21"/>
              </w:rPr>
            </w:pPr>
          </w:p>
        </w:tc>
        <w:tc>
          <w:tcPr>
            <w:tcW w:w="55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5962" w:type="dxa"/>
            <w:gridSpan w:val="2"/>
            <w:tcBorders>
              <w:left w:val="single" w:color="000000" w:sz="6" w:space="0"/>
            </w:tcBorders>
            <w:vAlign w:val="top"/>
          </w:tcPr>
          <w:p>
            <w:pPr>
              <w:spacing w:before="101"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总体评价等级或得分</w:t>
            </w:r>
          </w:p>
        </w:tc>
        <w:tc>
          <w:tcPr>
            <w:tcW w:w="2772" w:type="dxa"/>
            <w:gridSpan w:val="5"/>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4" w:hRule="atLeast"/>
        </w:trPr>
        <w:tc>
          <w:tcPr>
            <w:tcW w:w="8734" w:type="dxa"/>
            <w:gridSpan w:val="7"/>
            <w:tcBorders>
              <w:left w:val="single" w:color="000000" w:sz="6" w:space="0"/>
              <w:bottom w:val="single" w:color="000000" w:sz="6" w:space="0"/>
              <w:right w:val="single" w:color="000000" w:sz="6" w:space="0"/>
            </w:tcBorders>
            <w:vAlign w:val="top"/>
          </w:tcPr>
          <w:p>
            <w:pPr>
              <w:spacing w:before="105" w:line="180" w:lineRule="auto"/>
              <w:ind w:firstLine="257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对实验或技能教学的评价意见或建议：</w:t>
            </w:r>
          </w:p>
        </w:tc>
      </w:tr>
    </w:tbl>
    <w:p>
      <w:pPr>
        <w:spacing w:before="159" w:line="180" w:lineRule="auto"/>
        <w:ind w:firstLine="1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评价人（签名）</w:t>
      </w:r>
      <w:r>
        <w:rPr>
          <w:rFonts w:ascii="方正书宋简体" w:hAnsi="方正书宋简体" w:eastAsia="方正书宋简体" w:cs="方正书宋简体"/>
          <w:sz w:val="24"/>
          <w:szCs w:val="24"/>
          <w:u w:val="single" w:color="auto"/>
        </w:rPr>
        <w:t xml:space="preserve">                                                                                           </w:t>
      </w:r>
      <w:r>
        <w:rPr>
          <w:rFonts w:ascii="方正书宋简体" w:hAnsi="方正书宋简体" w:eastAsia="方正书宋简体" w:cs="方正书宋简体"/>
          <w:spacing w:val="-13"/>
          <w:sz w:val="24"/>
          <w:szCs w:val="24"/>
        </w:rPr>
        <w:t>年</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3"/>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日</w:t>
      </w:r>
    </w:p>
    <w:p>
      <w:pPr>
        <w:spacing w:line="311" w:lineRule="auto"/>
        <w:rPr>
          <w:rFonts w:ascii="Malgun Gothic"/>
          <w:sz w:val="21"/>
        </w:rPr>
      </w:pPr>
    </w:p>
    <w:p>
      <w:pPr>
        <w:spacing w:before="61"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297</w:t>
      </w:r>
    </w:p>
    <w:p>
      <w:pPr>
        <w:sectPr>
          <w:footerReference r:id="rId301" w:type="default"/>
          <w:pgSz w:w="11905" w:h="16840"/>
          <w:pgMar w:top="1431" w:right="1577" w:bottom="400" w:left="1578" w:header="0" w:footer="0" w:gutter="0"/>
          <w:cols w:space="720" w:num="1"/>
        </w:sectPr>
      </w:pPr>
    </w:p>
    <w:p>
      <w:pPr>
        <w:spacing w:before="384" w:line="180" w:lineRule="auto"/>
        <w:ind w:firstLine="1912"/>
        <w:rPr>
          <w:rFonts w:ascii="Microsoft JhengHei" w:hAnsi="Microsoft JhengHei" w:eastAsia="Microsoft JhengHei" w:cs="Microsoft JhengHei"/>
          <w:sz w:val="28"/>
          <w:szCs w:val="28"/>
        </w:rPr>
      </w:pPr>
      <w:r>
        <w:rPr>
          <w:rFonts w:ascii="Malgun Gothic" w:hAnsi="Malgun Gothic" w:eastAsia="Malgun Gothic" w:cs="Malgun Gothic"/>
          <w:spacing w:val="-3"/>
          <w:sz w:val="28"/>
          <w:szCs w:val="28"/>
        </w:rPr>
        <w:t>附件</w:t>
      </w:r>
      <w:r>
        <w:rPr>
          <w:rFonts w:ascii="Malgun Gothic" w:hAnsi="Malgun Gothic" w:eastAsia="Malgun Gothic" w:cs="Malgun Gothic"/>
          <w:spacing w:val="-18"/>
          <w:sz w:val="28"/>
          <w:szCs w:val="28"/>
        </w:rPr>
        <w:t xml:space="preserve"> </w:t>
      </w:r>
      <w:r>
        <w:rPr>
          <w:rFonts w:ascii="Microsoft JhengHei" w:hAnsi="Microsoft JhengHei" w:eastAsia="Microsoft JhengHei" w:cs="Microsoft JhengHei"/>
          <w:spacing w:val="-3"/>
          <w:sz w:val="28"/>
          <w:szCs w:val="28"/>
        </w:rPr>
        <w:t>2：吉首大学教师教学工作量登记表</w:t>
      </w:r>
    </w:p>
    <w:p>
      <w:pPr>
        <w:spacing w:line="361" w:lineRule="auto"/>
        <w:rPr>
          <w:rFonts w:ascii="Malgun Gothic"/>
          <w:sz w:val="21"/>
        </w:rPr>
      </w:pPr>
    </w:p>
    <w:p>
      <w:pPr>
        <w:spacing w:before="75"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年度</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学期（春、秋）</w:t>
      </w:r>
    </w:p>
    <w:p>
      <w:pPr>
        <w:spacing w:line="41"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774"/>
        <w:gridCol w:w="174"/>
        <w:gridCol w:w="1043"/>
        <w:gridCol w:w="145"/>
        <w:gridCol w:w="1076"/>
        <w:gridCol w:w="227"/>
        <w:gridCol w:w="483"/>
        <w:gridCol w:w="148"/>
        <w:gridCol w:w="265"/>
        <w:gridCol w:w="390"/>
        <w:gridCol w:w="402"/>
        <w:gridCol w:w="169"/>
        <w:gridCol w:w="515"/>
        <w:gridCol w:w="563"/>
        <w:gridCol w:w="1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3" w:hRule="atLeast"/>
        </w:trPr>
        <w:tc>
          <w:tcPr>
            <w:tcW w:w="749" w:type="dxa"/>
            <w:tcBorders>
              <w:top w:val="single" w:color="000000" w:sz="6" w:space="0"/>
              <w:left w:val="single" w:color="000000" w:sz="6" w:space="0"/>
            </w:tcBorders>
            <w:vAlign w:val="top"/>
          </w:tcPr>
          <w:p>
            <w:pPr>
              <w:spacing w:before="241" w:line="180" w:lineRule="auto"/>
              <w:ind w:firstLine="1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948" w:type="dxa"/>
            <w:gridSpan w:val="2"/>
            <w:tcBorders>
              <w:top w:val="single" w:color="000000" w:sz="6" w:space="0"/>
            </w:tcBorders>
            <w:vAlign w:val="top"/>
          </w:tcPr>
          <w:p>
            <w:pPr>
              <w:rPr>
                <w:rFonts w:ascii="Malgun Gothic"/>
                <w:sz w:val="21"/>
              </w:rPr>
            </w:pPr>
          </w:p>
        </w:tc>
        <w:tc>
          <w:tcPr>
            <w:tcW w:w="1043" w:type="dxa"/>
            <w:tcBorders>
              <w:top w:val="single" w:color="000000" w:sz="6" w:space="0"/>
            </w:tcBorders>
            <w:vAlign w:val="top"/>
          </w:tcPr>
          <w:p>
            <w:pPr>
              <w:spacing w:before="75" w:line="334" w:lineRule="exact"/>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position w:val="10"/>
                <w:sz w:val="21"/>
                <w:szCs w:val="21"/>
              </w:rPr>
              <w:t>出生</w:t>
            </w:r>
          </w:p>
          <w:p>
            <w:pPr>
              <w:spacing w:line="204"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年月</w:t>
            </w:r>
          </w:p>
        </w:tc>
        <w:tc>
          <w:tcPr>
            <w:tcW w:w="1221" w:type="dxa"/>
            <w:gridSpan w:val="2"/>
            <w:tcBorders>
              <w:top w:val="single" w:color="000000" w:sz="6" w:space="0"/>
            </w:tcBorders>
            <w:vAlign w:val="top"/>
          </w:tcPr>
          <w:p>
            <w:pPr>
              <w:rPr>
                <w:rFonts w:ascii="Malgun Gothic"/>
                <w:sz w:val="21"/>
              </w:rPr>
            </w:pPr>
          </w:p>
        </w:tc>
        <w:tc>
          <w:tcPr>
            <w:tcW w:w="710" w:type="dxa"/>
            <w:gridSpan w:val="2"/>
            <w:tcBorders>
              <w:top w:val="single" w:color="000000" w:sz="6" w:space="0"/>
            </w:tcBorders>
            <w:vAlign w:val="top"/>
          </w:tcPr>
          <w:p>
            <w:pPr>
              <w:spacing w:before="240" w:line="180" w:lineRule="auto"/>
              <w:ind w:firstLine="13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职称</w:t>
            </w:r>
          </w:p>
        </w:tc>
        <w:tc>
          <w:tcPr>
            <w:tcW w:w="1205" w:type="dxa"/>
            <w:gridSpan w:val="4"/>
            <w:tcBorders>
              <w:top w:val="single" w:color="000000" w:sz="6" w:space="0"/>
            </w:tcBorders>
            <w:vAlign w:val="top"/>
          </w:tcPr>
          <w:p>
            <w:pPr>
              <w:rPr>
                <w:rFonts w:ascii="Malgun Gothic"/>
                <w:sz w:val="21"/>
              </w:rPr>
            </w:pPr>
          </w:p>
        </w:tc>
        <w:tc>
          <w:tcPr>
            <w:tcW w:w="1247" w:type="dxa"/>
            <w:gridSpan w:val="3"/>
            <w:tcBorders>
              <w:top w:val="single" w:color="000000" w:sz="6" w:space="0"/>
            </w:tcBorders>
            <w:vAlign w:val="top"/>
          </w:tcPr>
          <w:p>
            <w:pPr>
              <w:spacing w:before="83" w:line="251" w:lineRule="auto"/>
              <w:ind w:left="236" w:right="203" w:hanging="4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所在学院</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（部）</w:t>
            </w:r>
          </w:p>
        </w:tc>
        <w:tc>
          <w:tcPr>
            <w:tcW w:w="1611"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8734" w:type="dxa"/>
            <w:gridSpan w:val="16"/>
            <w:tcBorders>
              <w:left w:val="single" w:color="000000" w:sz="6" w:space="0"/>
              <w:right w:val="single" w:color="000000" w:sz="6" w:space="0"/>
            </w:tcBorders>
            <w:vAlign w:val="top"/>
          </w:tcPr>
          <w:p>
            <w:pPr>
              <w:spacing w:before="102" w:line="180" w:lineRule="auto"/>
              <w:ind w:firstLine="39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工作内容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749" w:type="dxa"/>
            <w:vMerge w:val="restart"/>
            <w:tcBorders>
              <w:left w:val="single" w:color="000000" w:sz="6" w:space="0"/>
              <w:bottom w:val="nil"/>
            </w:tcBorders>
            <w:vAlign w:val="top"/>
          </w:tcPr>
          <w:p>
            <w:pPr>
              <w:spacing w:line="247" w:lineRule="auto"/>
              <w:rPr>
                <w:rFonts w:ascii="Malgun Gothic"/>
                <w:sz w:val="21"/>
              </w:rPr>
            </w:pPr>
          </w:p>
          <w:p>
            <w:pPr>
              <w:spacing w:line="247" w:lineRule="auto"/>
              <w:rPr>
                <w:rFonts w:ascii="Malgun Gothic"/>
                <w:sz w:val="21"/>
              </w:rPr>
            </w:pPr>
          </w:p>
          <w:p>
            <w:pPr>
              <w:spacing w:line="248" w:lineRule="auto"/>
              <w:rPr>
                <w:rFonts w:ascii="Malgun Gothic"/>
                <w:sz w:val="21"/>
              </w:rPr>
            </w:pPr>
          </w:p>
          <w:p>
            <w:pPr>
              <w:spacing w:before="75" w:line="314" w:lineRule="exact"/>
              <w:ind w:firstLine="1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8"/>
                <w:sz w:val="21"/>
                <w:szCs w:val="21"/>
              </w:rPr>
              <w:t>课程</w:t>
            </w:r>
          </w:p>
          <w:p>
            <w:pPr>
              <w:spacing w:line="204" w:lineRule="auto"/>
              <w:ind w:firstLine="1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tc>
        <w:tc>
          <w:tcPr>
            <w:tcW w:w="2136" w:type="dxa"/>
            <w:gridSpan w:val="4"/>
            <w:vAlign w:val="top"/>
          </w:tcPr>
          <w:p>
            <w:pPr>
              <w:spacing w:before="233" w:line="180" w:lineRule="auto"/>
              <w:ind w:firstLine="6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课程名称</w:t>
            </w:r>
          </w:p>
        </w:tc>
        <w:tc>
          <w:tcPr>
            <w:tcW w:w="1076" w:type="dxa"/>
            <w:vAlign w:val="top"/>
          </w:tcPr>
          <w:p>
            <w:pPr>
              <w:spacing w:before="65" w:line="335" w:lineRule="exact"/>
              <w:ind w:firstLine="32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rPr>
              <w:t>课程</w:t>
            </w:r>
          </w:p>
          <w:p>
            <w:pPr>
              <w:spacing w:line="204" w:lineRule="auto"/>
              <w:ind w:firstLine="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类型</w:t>
            </w:r>
          </w:p>
        </w:tc>
        <w:tc>
          <w:tcPr>
            <w:tcW w:w="1123" w:type="dxa"/>
            <w:gridSpan w:val="4"/>
            <w:vAlign w:val="top"/>
          </w:tcPr>
          <w:p>
            <w:pPr>
              <w:spacing w:before="63" w:line="337" w:lineRule="exact"/>
              <w:ind w:firstLine="35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rPr>
              <w:t>计划</w:t>
            </w:r>
          </w:p>
          <w:p>
            <w:pPr>
              <w:spacing w:line="204" w:lineRule="auto"/>
              <w:ind w:firstLine="24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学时数</w:t>
            </w:r>
          </w:p>
        </w:tc>
        <w:tc>
          <w:tcPr>
            <w:tcW w:w="961" w:type="dxa"/>
            <w:gridSpan w:val="3"/>
            <w:vAlign w:val="top"/>
          </w:tcPr>
          <w:p>
            <w:pPr>
              <w:spacing w:before="65" w:line="334" w:lineRule="exact"/>
              <w:ind w:firstLine="2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0"/>
                <w:sz w:val="21"/>
                <w:szCs w:val="21"/>
              </w:rPr>
              <w:t>教学</w:t>
            </w:r>
          </w:p>
          <w:p>
            <w:pPr>
              <w:spacing w:line="204" w:lineRule="auto"/>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对象</w:t>
            </w:r>
          </w:p>
        </w:tc>
        <w:tc>
          <w:tcPr>
            <w:tcW w:w="1078" w:type="dxa"/>
            <w:gridSpan w:val="2"/>
            <w:vAlign w:val="top"/>
          </w:tcPr>
          <w:p>
            <w:pPr>
              <w:spacing w:before="65" w:line="335" w:lineRule="exact"/>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0"/>
                <w:sz w:val="21"/>
                <w:szCs w:val="21"/>
              </w:rPr>
              <w:t>学生</w:t>
            </w:r>
          </w:p>
          <w:p>
            <w:pPr>
              <w:spacing w:line="204" w:lineRule="auto"/>
              <w:ind w:firstLine="33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人数</w:t>
            </w:r>
          </w:p>
        </w:tc>
        <w:tc>
          <w:tcPr>
            <w:tcW w:w="1611" w:type="dxa"/>
            <w:tcBorders>
              <w:right w:val="single" w:color="000000" w:sz="6" w:space="0"/>
            </w:tcBorders>
            <w:vAlign w:val="top"/>
          </w:tcPr>
          <w:p>
            <w:pPr>
              <w:spacing w:before="231"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标准课时数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6" w:space="0"/>
            </w:tcBorders>
            <w:vAlign w:val="top"/>
          </w:tcPr>
          <w:p>
            <w:pPr>
              <w:rPr>
                <w:rFonts w:ascii="Malgun Gothic"/>
                <w:sz w:val="21"/>
              </w:rPr>
            </w:pPr>
          </w:p>
        </w:tc>
        <w:tc>
          <w:tcPr>
            <w:tcW w:w="2136" w:type="dxa"/>
            <w:gridSpan w:val="4"/>
            <w:vAlign w:val="top"/>
          </w:tcPr>
          <w:p>
            <w:pPr>
              <w:rPr>
                <w:rFonts w:ascii="Malgun Gothic"/>
                <w:sz w:val="21"/>
              </w:rPr>
            </w:pPr>
          </w:p>
        </w:tc>
        <w:tc>
          <w:tcPr>
            <w:tcW w:w="1076" w:type="dxa"/>
            <w:vAlign w:val="top"/>
          </w:tcPr>
          <w:p>
            <w:pPr>
              <w:rPr>
                <w:rFonts w:ascii="Malgun Gothic"/>
                <w:sz w:val="21"/>
              </w:rPr>
            </w:pPr>
          </w:p>
        </w:tc>
        <w:tc>
          <w:tcPr>
            <w:tcW w:w="1123" w:type="dxa"/>
            <w:gridSpan w:val="4"/>
            <w:vAlign w:val="top"/>
          </w:tcPr>
          <w:p>
            <w:pPr>
              <w:rPr>
                <w:rFonts w:ascii="Malgun Gothic"/>
                <w:sz w:val="21"/>
              </w:rPr>
            </w:pPr>
          </w:p>
        </w:tc>
        <w:tc>
          <w:tcPr>
            <w:tcW w:w="961" w:type="dxa"/>
            <w:gridSpan w:val="3"/>
            <w:vAlign w:val="top"/>
          </w:tcPr>
          <w:p>
            <w:pPr>
              <w:rPr>
                <w:rFonts w:ascii="Malgun Gothic"/>
                <w:sz w:val="21"/>
              </w:rPr>
            </w:pPr>
          </w:p>
        </w:tc>
        <w:tc>
          <w:tcPr>
            <w:tcW w:w="1078" w:type="dxa"/>
            <w:gridSpan w:val="2"/>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9" w:type="dxa"/>
            <w:vMerge w:val="restart"/>
            <w:tcBorders>
              <w:left w:val="single" w:color="000000" w:sz="6" w:space="0"/>
              <w:bottom w:val="nil"/>
            </w:tcBorders>
            <w:vAlign w:val="top"/>
          </w:tcPr>
          <w:p>
            <w:pPr>
              <w:spacing w:line="386" w:lineRule="auto"/>
              <w:rPr>
                <w:rFonts w:ascii="Malgun Gothic"/>
                <w:sz w:val="21"/>
              </w:rPr>
            </w:pPr>
          </w:p>
          <w:p>
            <w:pPr>
              <w:spacing w:before="76" w:line="314" w:lineRule="exact"/>
              <w:ind w:firstLine="1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实践</w:t>
            </w:r>
          </w:p>
          <w:p>
            <w:pPr>
              <w:spacing w:line="204" w:lineRule="auto"/>
              <w:ind w:firstLine="15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w:t>
            </w:r>
          </w:p>
        </w:tc>
        <w:tc>
          <w:tcPr>
            <w:tcW w:w="2136" w:type="dxa"/>
            <w:gridSpan w:val="4"/>
            <w:vAlign w:val="top"/>
          </w:tcPr>
          <w:p>
            <w:pPr>
              <w:spacing w:before="72"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实践教学名称</w:t>
            </w:r>
          </w:p>
        </w:tc>
        <w:tc>
          <w:tcPr>
            <w:tcW w:w="1303" w:type="dxa"/>
            <w:gridSpan w:val="2"/>
            <w:vAlign w:val="top"/>
          </w:tcPr>
          <w:p>
            <w:pPr>
              <w:spacing w:before="73" w:line="180" w:lineRule="auto"/>
              <w:ind w:firstLine="448"/>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时间</w:t>
            </w:r>
          </w:p>
        </w:tc>
        <w:tc>
          <w:tcPr>
            <w:tcW w:w="1286" w:type="dxa"/>
            <w:gridSpan w:val="4"/>
            <w:vAlign w:val="top"/>
          </w:tcPr>
          <w:p>
            <w:pPr>
              <w:spacing w:before="70" w:line="180" w:lineRule="auto"/>
              <w:ind w:firstLine="2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计划周数</w:t>
            </w:r>
          </w:p>
        </w:tc>
        <w:tc>
          <w:tcPr>
            <w:tcW w:w="1649" w:type="dxa"/>
            <w:gridSpan w:val="4"/>
            <w:vAlign w:val="top"/>
          </w:tcPr>
          <w:p>
            <w:pPr>
              <w:spacing w:before="70" w:line="180" w:lineRule="auto"/>
              <w:ind w:firstLine="1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学生人数/批次</w:t>
            </w:r>
          </w:p>
        </w:tc>
        <w:tc>
          <w:tcPr>
            <w:tcW w:w="1611" w:type="dxa"/>
            <w:tcBorders>
              <w:right w:val="single" w:color="000000" w:sz="6" w:space="0"/>
            </w:tcBorders>
            <w:vAlign w:val="top"/>
          </w:tcPr>
          <w:p>
            <w:pPr>
              <w:spacing w:before="70" w:line="180" w:lineRule="auto"/>
              <w:ind w:firstLine="2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标准课时数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303" w:type="dxa"/>
            <w:gridSpan w:val="2"/>
            <w:vAlign w:val="top"/>
          </w:tcPr>
          <w:p>
            <w:pPr>
              <w:rPr>
                <w:rFonts w:ascii="Malgun Gothic"/>
                <w:sz w:val="21"/>
              </w:rPr>
            </w:pPr>
          </w:p>
        </w:tc>
        <w:tc>
          <w:tcPr>
            <w:tcW w:w="1286" w:type="dxa"/>
            <w:gridSpan w:val="4"/>
            <w:vAlign w:val="top"/>
          </w:tcPr>
          <w:p>
            <w:pPr>
              <w:rPr>
                <w:rFonts w:ascii="Malgun Gothic"/>
                <w:sz w:val="21"/>
              </w:rPr>
            </w:pPr>
          </w:p>
        </w:tc>
        <w:tc>
          <w:tcPr>
            <w:tcW w:w="1649" w:type="dxa"/>
            <w:gridSpan w:val="4"/>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303" w:type="dxa"/>
            <w:gridSpan w:val="2"/>
            <w:vAlign w:val="top"/>
          </w:tcPr>
          <w:p>
            <w:pPr>
              <w:rPr>
                <w:rFonts w:ascii="Malgun Gothic"/>
                <w:sz w:val="21"/>
              </w:rPr>
            </w:pPr>
          </w:p>
        </w:tc>
        <w:tc>
          <w:tcPr>
            <w:tcW w:w="1286" w:type="dxa"/>
            <w:gridSpan w:val="4"/>
            <w:vAlign w:val="top"/>
          </w:tcPr>
          <w:p>
            <w:pPr>
              <w:rPr>
                <w:rFonts w:ascii="Malgun Gothic"/>
                <w:sz w:val="21"/>
              </w:rPr>
            </w:pPr>
          </w:p>
        </w:tc>
        <w:tc>
          <w:tcPr>
            <w:tcW w:w="1649" w:type="dxa"/>
            <w:gridSpan w:val="4"/>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303" w:type="dxa"/>
            <w:gridSpan w:val="2"/>
            <w:vAlign w:val="top"/>
          </w:tcPr>
          <w:p>
            <w:pPr>
              <w:rPr>
                <w:rFonts w:ascii="Malgun Gothic"/>
                <w:sz w:val="21"/>
              </w:rPr>
            </w:pPr>
          </w:p>
        </w:tc>
        <w:tc>
          <w:tcPr>
            <w:tcW w:w="1286" w:type="dxa"/>
            <w:gridSpan w:val="4"/>
            <w:vAlign w:val="top"/>
          </w:tcPr>
          <w:p>
            <w:pPr>
              <w:rPr>
                <w:rFonts w:ascii="Malgun Gothic"/>
                <w:sz w:val="21"/>
              </w:rPr>
            </w:pPr>
          </w:p>
        </w:tc>
        <w:tc>
          <w:tcPr>
            <w:tcW w:w="1649" w:type="dxa"/>
            <w:gridSpan w:val="4"/>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6" w:space="0"/>
            </w:tcBorders>
            <w:vAlign w:val="top"/>
          </w:tcPr>
          <w:p>
            <w:pPr>
              <w:rPr>
                <w:rFonts w:ascii="Malgun Gothic"/>
                <w:sz w:val="21"/>
              </w:rPr>
            </w:pPr>
          </w:p>
        </w:tc>
        <w:tc>
          <w:tcPr>
            <w:tcW w:w="2136" w:type="dxa"/>
            <w:gridSpan w:val="4"/>
            <w:vAlign w:val="top"/>
          </w:tcPr>
          <w:p>
            <w:pPr>
              <w:rPr>
                <w:rFonts w:ascii="Malgun Gothic"/>
                <w:sz w:val="21"/>
              </w:rPr>
            </w:pPr>
          </w:p>
        </w:tc>
        <w:tc>
          <w:tcPr>
            <w:tcW w:w="1303" w:type="dxa"/>
            <w:gridSpan w:val="2"/>
            <w:vAlign w:val="top"/>
          </w:tcPr>
          <w:p>
            <w:pPr>
              <w:rPr>
                <w:rFonts w:ascii="Malgun Gothic"/>
                <w:sz w:val="21"/>
              </w:rPr>
            </w:pPr>
          </w:p>
        </w:tc>
        <w:tc>
          <w:tcPr>
            <w:tcW w:w="1286" w:type="dxa"/>
            <w:gridSpan w:val="4"/>
            <w:vAlign w:val="top"/>
          </w:tcPr>
          <w:p>
            <w:pPr>
              <w:rPr>
                <w:rFonts w:ascii="Malgun Gothic"/>
                <w:sz w:val="21"/>
              </w:rPr>
            </w:pPr>
          </w:p>
        </w:tc>
        <w:tc>
          <w:tcPr>
            <w:tcW w:w="1649" w:type="dxa"/>
            <w:gridSpan w:val="4"/>
            <w:vAlign w:val="top"/>
          </w:tcPr>
          <w:p>
            <w:pPr>
              <w:rPr>
                <w:rFonts w:ascii="Malgun Gothic"/>
                <w:sz w:val="21"/>
              </w:rPr>
            </w:pPr>
          </w:p>
        </w:tc>
        <w:tc>
          <w:tcPr>
            <w:tcW w:w="1611"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749" w:type="dxa"/>
            <w:vMerge w:val="restart"/>
            <w:tcBorders>
              <w:left w:val="single" w:color="000000" w:sz="6" w:space="0"/>
              <w:bottom w:val="nil"/>
            </w:tcBorders>
            <w:vAlign w:val="top"/>
          </w:tcPr>
          <w:p>
            <w:pPr>
              <w:spacing w:line="273" w:lineRule="auto"/>
              <w:rPr>
                <w:rFonts w:ascii="Malgun Gothic"/>
                <w:sz w:val="21"/>
              </w:rPr>
            </w:pPr>
          </w:p>
          <w:p>
            <w:pPr>
              <w:spacing w:before="75" w:line="180" w:lineRule="auto"/>
              <w:ind w:firstLine="1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其它</w:t>
            </w:r>
          </w:p>
        </w:tc>
        <w:tc>
          <w:tcPr>
            <w:tcW w:w="2136" w:type="dxa"/>
            <w:gridSpan w:val="4"/>
            <w:vAlign w:val="top"/>
          </w:tcPr>
          <w:p>
            <w:pPr>
              <w:spacing w:before="120"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承担任务名称</w:t>
            </w:r>
          </w:p>
        </w:tc>
        <w:tc>
          <w:tcPr>
            <w:tcW w:w="1934" w:type="dxa"/>
            <w:gridSpan w:val="4"/>
            <w:vAlign w:val="top"/>
          </w:tcPr>
          <w:p>
            <w:pPr>
              <w:spacing w:before="123" w:line="180" w:lineRule="auto"/>
              <w:ind w:firstLine="765"/>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时间</w:t>
            </w:r>
          </w:p>
        </w:tc>
        <w:tc>
          <w:tcPr>
            <w:tcW w:w="1741" w:type="dxa"/>
            <w:gridSpan w:val="5"/>
            <w:vAlign w:val="top"/>
          </w:tcPr>
          <w:p>
            <w:pPr>
              <w:spacing w:before="120" w:line="180" w:lineRule="auto"/>
              <w:ind w:firstLine="4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学生人数</w:t>
            </w:r>
          </w:p>
        </w:tc>
        <w:tc>
          <w:tcPr>
            <w:tcW w:w="2174" w:type="dxa"/>
            <w:gridSpan w:val="2"/>
            <w:tcBorders>
              <w:right w:val="single" w:color="000000" w:sz="6" w:space="0"/>
            </w:tcBorders>
            <w:vAlign w:val="top"/>
          </w:tcPr>
          <w:p>
            <w:pPr>
              <w:spacing w:before="120" w:line="180" w:lineRule="auto"/>
              <w:ind w:firstLine="56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标准课时数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749" w:type="dxa"/>
            <w:vMerge w:val="continue"/>
            <w:tcBorders>
              <w:top w:val="nil"/>
              <w:left w:val="single" w:color="000000" w:sz="6" w:space="0"/>
              <w:bottom w:val="nil"/>
            </w:tcBorders>
            <w:vAlign w:val="top"/>
          </w:tcPr>
          <w:p>
            <w:pPr>
              <w:rPr>
                <w:rFonts w:ascii="Malgun Gothic"/>
                <w:sz w:val="21"/>
              </w:rPr>
            </w:pPr>
          </w:p>
        </w:tc>
        <w:tc>
          <w:tcPr>
            <w:tcW w:w="2136" w:type="dxa"/>
            <w:gridSpan w:val="4"/>
            <w:vAlign w:val="top"/>
          </w:tcPr>
          <w:p>
            <w:pPr>
              <w:rPr>
                <w:rFonts w:ascii="Malgun Gothic"/>
                <w:sz w:val="21"/>
              </w:rPr>
            </w:pPr>
          </w:p>
        </w:tc>
        <w:tc>
          <w:tcPr>
            <w:tcW w:w="1934" w:type="dxa"/>
            <w:gridSpan w:val="4"/>
            <w:vAlign w:val="top"/>
          </w:tcPr>
          <w:p>
            <w:pPr>
              <w:rPr>
                <w:rFonts w:ascii="Malgun Gothic"/>
                <w:sz w:val="21"/>
              </w:rPr>
            </w:pPr>
          </w:p>
        </w:tc>
        <w:tc>
          <w:tcPr>
            <w:tcW w:w="1741" w:type="dxa"/>
            <w:gridSpan w:val="5"/>
            <w:vAlign w:val="top"/>
          </w:tcPr>
          <w:p>
            <w:pPr>
              <w:rPr>
                <w:rFonts w:ascii="Malgun Gothic"/>
                <w:sz w:val="21"/>
              </w:rPr>
            </w:pPr>
          </w:p>
        </w:tc>
        <w:tc>
          <w:tcPr>
            <w:tcW w:w="2174" w:type="dxa"/>
            <w:gridSpan w:val="2"/>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49" w:type="dxa"/>
            <w:vMerge w:val="continue"/>
            <w:tcBorders>
              <w:top w:val="nil"/>
              <w:left w:val="single" w:color="000000" w:sz="6" w:space="0"/>
            </w:tcBorders>
            <w:vAlign w:val="top"/>
          </w:tcPr>
          <w:p>
            <w:pPr>
              <w:rPr>
                <w:rFonts w:ascii="Malgun Gothic"/>
                <w:sz w:val="21"/>
              </w:rPr>
            </w:pPr>
          </w:p>
        </w:tc>
        <w:tc>
          <w:tcPr>
            <w:tcW w:w="2136" w:type="dxa"/>
            <w:gridSpan w:val="4"/>
            <w:vAlign w:val="top"/>
          </w:tcPr>
          <w:p>
            <w:pPr>
              <w:rPr>
                <w:rFonts w:ascii="Malgun Gothic"/>
                <w:sz w:val="21"/>
              </w:rPr>
            </w:pPr>
          </w:p>
        </w:tc>
        <w:tc>
          <w:tcPr>
            <w:tcW w:w="1934" w:type="dxa"/>
            <w:gridSpan w:val="4"/>
            <w:vAlign w:val="top"/>
          </w:tcPr>
          <w:p>
            <w:pPr>
              <w:rPr>
                <w:rFonts w:ascii="Malgun Gothic"/>
                <w:sz w:val="21"/>
              </w:rPr>
            </w:pPr>
          </w:p>
        </w:tc>
        <w:tc>
          <w:tcPr>
            <w:tcW w:w="1741" w:type="dxa"/>
            <w:gridSpan w:val="5"/>
            <w:vAlign w:val="top"/>
          </w:tcPr>
          <w:p>
            <w:pPr>
              <w:rPr>
                <w:rFonts w:ascii="Malgun Gothic"/>
                <w:sz w:val="21"/>
              </w:rPr>
            </w:pPr>
          </w:p>
        </w:tc>
        <w:tc>
          <w:tcPr>
            <w:tcW w:w="2174" w:type="dxa"/>
            <w:gridSpan w:val="2"/>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49" w:type="dxa"/>
            <w:tcBorders>
              <w:left w:val="single" w:color="000000" w:sz="6" w:space="0"/>
            </w:tcBorders>
            <w:vAlign w:val="top"/>
          </w:tcPr>
          <w:p>
            <w:pPr>
              <w:spacing w:line="362" w:lineRule="exact"/>
              <w:rPr>
                <w:rFonts w:ascii="Malgun Gothic"/>
                <w:sz w:val="21"/>
              </w:rPr>
            </w:pPr>
          </w:p>
        </w:tc>
        <w:tc>
          <w:tcPr>
            <w:tcW w:w="2136" w:type="dxa"/>
            <w:gridSpan w:val="4"/>
            <w:vAlign w:val="top"/>
          </w:tcPr>
          <w:p>
            <w:pPr>
              <w:spacing w:line="362" w:lineRule="exact"/>
              <w:rPr>
                <w:rFonts w:ascii="Malgun Gothic"/>
                <w:sz w:val="21"/>
              </w:rPr>
            </w:pPr>
          </w:p>
        </w:tc>
        <w:tc>
          <w:tcPr>
            <w:tcW w:w="1934" w:type="dxa"/>
            <w:gridSpan w:val="4"/>
            <w:vAlign w:val="top"/>
          </w:tcPr>
          <w:p>
            <w:pPr>
              <w:spacing w:line="362" w:lineRule="exact"/>
              <w:rPr>
                <w:rFonts w:ascii="Malgun Gothic"/>
                <w:sz w:val="21"/>
              </w:rPr>
            </w:pPr>
          </w:p>
        </w:tc>
        <w:tc>
          <w:tcPr>
            <w:tcW w:w="1741" w:type="dxa"/>
            <w:gridSpan w:val="5"/>
            <w:vAlign w:val="top"/>
          </w:tcPr>
          <w:p>
            <w:pPr>
              <w:spacing w:line="362" w:lineRule="exact"/>
              <w:rPr>
                <w:rFonts w:ascii="Malgun Gothic"/>
                <w:sz w:val="21"/>
              </w:rPr>
            </w:pPr>
          </w:p>
        </w:tc>
        <w:tc>
          <w:tcPr>
            <w:tcW w:w="2174" w:type="dxa"/>
            <w:gridSpan w:val="2"/>
            <w:tcBorders>
              <w:right w:val="single" w:color="000000" w:sz="6" w:space="0"/>
            </w:tcBorders>
            <w:vAlign w:val="top"/>
          </w:tcPr>
          <w:p>
            <w:pPr>
              <w:spacing w:line="362" w:lineRule="exact"/>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819" w:type="dxa"/>
            <w:gridSpan w:val="9"/>
            <w:tcBorders>
              <w:left w:val="single" w:color="000000" w:sz="6" w:space="0"/>
            </w:tcBorders>
            <w:vAlign w:val="top"/>
          </w:tcPr>
          <w:p>
            <w:pPr>
              <w:spacing w:before="112" w:line="180" w:lineRule="auto"/>
              <w:ind w:firstLine="18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总计课时数</w:t>
            </w:r>
          </w:p>
        </w:tc>
        <w:tc>
          <w:tcPr>
            <w:tcW w:w="3915" w:type="dxa"/>
            <w:gridSpan w:val="7"/>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6" w:hRule="atLeast"/>
        </w:trPr>
        <w:tc>
          <w:tcPr>
            <w:tcW w:w="1523" w:type="dxa"/>
            <w:gridSpan w:val="2"/>
            <w:tcBorders>
              <w:left w:val="single" w:color="000000" w:sz="6" w:space="0"/>
            </w:tcBorders>
            <w:vAlign w:val="top"/>
          </w:tcPr>
          <w:p>
            <w:pPr>
              <w:spacing w:line="356" w:lineRule="auto"/>
              <w:rPr>
                <w:rFonts w:ascii="Malgun Gothic"/>
                <w:sz w:val="21"/>
              </w:rPr>
            </w:pPr>
          </w:p>
          <w:p>
            <w:pPr>
              <w:spacing w:before="76" w:line="180" w:lineRule="auto"/>
              <w:ind w:firstLine="12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学院（部）考</w:t>
            </w:r>
          </w:p>
          <w:p>
            <w:pPr>
              <w:spacing w:before="88" w:line="180" w:lineRule="auto"/>
              <w:ind w:firstLine="1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核工作组审核</w:t>
            </w:r>
          </w:p>
          <w:p>
            <w:pPr>
              <w:spacing w:before="88" w:line="180" w:lineRule="auto"/>
              <w:ind w:firstLine="54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意见</w:t>
            </w:r>
          </w:p>
        </w:tc>
        <w:tc>
          <w:tcPr>
            <w:tcW w:w="7211" w:type="dxa"/>
            <w:gridSpan w:val="14"/>
            <w:tcBorders>
              <w:right w:val="single" w:color="000000" w:sz="6" w:space="0"/>
            </w:tcBorders>
            <w:vAlign w:val="top"/>
          </w:tcPr>
          <w:p>
            <w:pPr>
              <w:spacing w:line="298" w:lineRule="auto"/>
              <w:rPr>
                <w:rFonts w:ascii="Malgun Gothic"/>
                <w:sz w:val="21"/>
              </w:rPr>
            </w:pPr>
          </w:p>
          <w:p>
            <w:pPr>
              <w:spacing w:line="298" w:lineRule="auto"/>
              <w:rPr>
                <w:rFonts w:ascii="Malgun Gothic"/>
                <w:sz w:val="21"/>
              </w:rPr>
            </w:pPr>
          </w:p>
          <w:p>
            <w:pPr>
              <w:spacing w:line="299" w:lineRule="auto"/>
              <w:rPr>
                <w:rFonts w:ascii="Malgun Gothic"/>
                <w:sz w:val="21"/>
              </w:rPr>
            </w:pPr>
          </w:p>
          <w:p>
            <w:pPr>
              <w:spacing w:before="75" w:line="193" w:lineRule="auto"/>
              <w:ind w:firstLine="192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学院（部）考核工作组组长（签字</w:t>
            </w:r>
            <w:r>
              <w:rPr>
                <w:rFonts w:ascii="方正书宋简体" w:hAnsi="方正书宋简体" w:eastAsia="方正书宋简体" w:cs="方正书宋简体"/>
                <w:spacing w:val="1"/>
                <w:sz w:val="21"/>
                <w:szCs w:val="21"/>
              </w:rPr>
              <w:t>）：</w:t>
            </w:r>
          </w:p>
          <w:p>
            <w:pPr>
              <w:spacing w:before="102" w:line="180" w:lineRule="auto"/>
              <w:ind w:firstLine="5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0" w:hRule="atLeast"/>
        </w:trPr>
        <w:tc>
          <w:tcPr>
            <w:tcW w:w="1523" w:type="dxa"/>
            <w:gridSpan w:val="2"/>
            <w:tcBorders>
              <w:left w:val="single" w:color="000000" w:sz="6" w:space="0"/>
              <w:bottom w:val="single" w:color="000000" w:sz="6" w:space="0"/>
            </w:tcBorders>
            <w:vAlign w:val="top"/>
          </w:tcPr>
          <w:p>
            <w:pPr>
              <w:spacing w:line="339" w:lineRule="auto"/>
              <w:rPr>
                <w:rFonts w:ascii="Malgun Gothic"/>
                <w:sz w:val="21"/>
              </w:rPr>
            </w:pPr>
          </w:p>
          <w:p>
            <w:pPr>
              <w:spacing w:before="76" w:line="337" w:lineRule="exact"/>
              <w:ind w:firstLine="44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0"/>
                <w:sz w:val="21"/>
                <w:szCs w:val="21"/>
              </w:rPr>
              <w:t>教务处</w:t>
            </w:r>
          </w:p>
          <w:p>
            <w:pPr>
              <w:spacing w:line="204" w:lineRule="auto"/>
              <w:ind w:firstLine="3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审查意见</w:t>
            </w:r>
          </w:p>
        </w:tc>
        <w:tc>
          <w:tcPr>
            <w:tcW w:w="7211" w:type="dxa"/>
            <w:gridSpan w:val="14"/>
            <w:tcBorders>
              <w:bottom w:val="single" w:color="000000" w:sz="6" w:space="0"/>
              <w:right w:val="single" w:color="000000" w:sz="6" w:space="0"/>
            </w:tcBorders>
            <w:vAlign w:val="top"/>
          </w:tcPr>
          <w:p>
            <w:pPr>
              <w:spacing w:line="336" w:lineRule="auto"/>
              <w:rPr>
                <w:rFonts w:ascii="Malgun Gothic"/>
                <w:sz w:val="21"/>
              </w:rPr>
            </w:pPr>
          </w:p>
          <w:p>
            <w:pPr>
              <w:spacing w:line="337" w:lineRule="auto"/>
              <w:rPr>
                <w:rFonts w:ascii="Malgun Gothic"/>
                <w:sz w:val="21"/>
              </w:rPr>
            </w:pPr>
          </w:p>
          <w:p>
            <w:pPr>
              <w:spacing w:before="75" w:line="180" w:lineRule="auto"/>
              <w:ind w:firstLine="34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负责人签字（公章）</w:t>
            </w:r>
          </w:p>
          <w:p>
            <w:pPr>
              <w:spacing w:before="114" w:line="180" w:lineRule="auto"/>
              <w:ind w:firstLine="543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bl>
    <w:p>
      <w:pPr>
        <w:spacing w:line="275" w:lineRule="auto"/>
        <w:rPr>
          <w:rFonts w:ascii="Malgun Gothic"/>
          <w:sz w:val="21"/>
        </w:rPr>
      </w:pPr>
    </w:p>
    <w:p>
      <w:pPr>
        <w:spacing w:before="60" w:line="180" w:lineRule="auto"/>
        <w:ind w:firstLine="4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298</w:t>
      </w:r>
    </w:p>
    <w:p>
      <w:pPr>
        <w:sectPr>
          <w:footerReference r:id="rId302" w:type="default"/>
          <w:pgSz w:w="11905" w:h="16840"/>
          <w:pgMar w:top="1431" w:right="1577" w:bottom="400" w:left="1578" w:header="0" w:footer="0" w:gutter="0"/>
          <w:cols w:space="720" w:num="1"/>
        </w:sectPr>
      </w:pPr>
    </w:p>
    <w:p>
      <w:pPr>
        <w:spacing w:before="384" w:line="180" w:lineRule="auto"/>
        <w:ind w:firstLine="1494"/>
        <w:rPr>
          <w:rFonts w:ascii="Microsoft JhengHei" w:hAnsi="Microsoft JhengHei" w:eastAsia="Microsoft JhengHei" w:cs="Microsoft JhengHei"/>
          <w:sz w:val="28"/>
          <w:szCs w:val="28"/>
        </w:rPr>
      </w:pPr>
      <w:r>
        <w:rPr>
          <w:rFonts w:ascii="Malgun Gothic" w:hAnsi="Malgun Gothic" w:eastAsia="Malgun Gothic" w:cs="Malgun Gothic"/>
          <w:spacing w:val="-3"/>
          <w:sz w:val="28"/>
          <w:szCs w:val="28"/>
        </w:rPr>
        <w:t>附件</w:t>
      </w:r>
      <w:r>
        <w:rPr>
          <w:rFonts w:ascii="Malgun Gothic" w:hAnsi="Malgun Gothic" w:eastAsia="Malgun Gothic" w:cs="Malgun Gothic"/>
          <w:spacing w:val="-11"/>
          <w:sz w:val="28"/>
          <w:szCs w:val="28"/>
        </w:rPr>
        <w:t xml:space="preserve"> </w:t>
      </w:r>
      <w:r>
        <w:rPr>
          <w:rFonts w:ascii="Microsoft JhengHei" w:hAnsi="Microsoft JhengHei" w:eastAsia="Microsoft JhengHei" w:cs="Microsoft JhengHei"/>
          <w:spacing w:val="-3"/>
          <w:sz w:val="28"/>
          <w:szCs w:val="28"/>
        </w:rPr>
        <w:t>4：吉首大学教师课程教学考核结果汇总表</w:t>
      </w:r>
    </w:p>
    <w:p/>
    <w:p/>
    <w:p>
      <w:pPr>
        <w:spacing w:line="72" w:lineRule="exact"/>
      </w:pPr>
    </w:p>
    <w:p>
      <w:pPr>
        <w:sectPr>
          <w:footerReference r:id="rId303" w:type="default"/>
          <w:pgSz w:w="11905" w:h="16840"/>
          <w:pgMar w:top="1431" w:right="1577" w:bottom="400" w:left="1578" w:header="0" w:footer="0" w:gutter="0"/>
          <w:cols w:equalWidth="0" w:num="1">
            <w:col w:w="8750"/>
          </w:cols>
        </w:sectPr>
      </w:pPr>
    </w:p>
    <w:p>
      <w:pPr>
        <w:spacing w:before="48" w:line="180" w:lineRule="auto"/>
        <w:ind w:firstLine="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5"/>
          <w:sz w:val="21"/>
          <w:szCs w:val="21"/>
        </w:rPr>
        <w:t>院（部</w:t>
      </w:r>
      <w:r>
        <w:rPr>
          <w:rFonts w:ascii="方正书宋简体" w:hAnsi="方正书宋简体" w:eastAsia="方正书宋简体" w:cs="方正书宋简体"/>
          <w:spacing w:val="-32"/>
          <w:sz w:val="21"/>
          <w:szCs w:val="21"/>
        </w:rPr>
        <w:t>）：</w:t>
      </w:r>
      <w:r>
        <w:rPr>
          <w:rFonts w:ascii="方正书宋简体" w:hAnsi="方正书宋简体" w:eastAsia="方正书宋简体" w:cs="方正书宋简体"/>
          <w:sz w:val="21"/>
          <w:szCs w:val="21"/>
          <w:u w:val="single" w:color="auto"/>
        </w:rPr>
        <w:t xml:space="preserve">                                        </w:t>
      </w:r>
    </w:p>
    <w:p>
      <w:pPr>
        <w:spacing w:before="225" w:line="160" w:lineRule="auto"/>
        <w:ind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sz w:val="21"/>
          <w:szCs w:val="21"/>
        </w:rPr>
        <w:t>填报日期：</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1"/>
          <w:sz w:val="21"/>
          <w:szCs w:val="21"/>
        </w:rPr>
        <w:t>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1"/>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1"/>
          <w:sz w:val="21"/>
          <w:szCs w:val="21"/>
        </w:rPr>
        <w:t>日</w:t>
      </w:r>
    </w:p>
    <w:p>
      <w:pPr>
        <w:spacing w:line="14" w:lineRule="auto"/>
        <w:rPr>
          <w:rFonts w:ascii="Malgun Gothic"/>
          <w:sz w:val="2"/>
        </w:rPr>
      </w:pPr>
      <w:r>
        <w:rPr>
          <w:rFonts w:ascii="Malgun Gothic" w:hAnsi="Malgun Gothic" w:eastAsia="Malgun Gothic" w:cs="Malgun Gothic"/>
          <w:sz w:val="2"/>
          <w:szCs w:val="2"/>
        </w:rPr>
        <w:br w:type="column"/>
      </w:r>
    </w:p>
    <w:p>
      <w:pPr>
        <w:spacing w:before="40" w:line="193" w:lineRule="auto"/>
        <w:ind w:firstLine="14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w w:val="85"/>
          <w:sz w:val="21"/>
          <w:szCs w:val="21"/>
        </w:rPr>
        <w:t>年度：</w:t>
      </w:r>
      <w:r>
        <w:rPr>
          <w:rFonts w:ascii="方正书宋简体" w:hAnsi="方正书宋简体" w:eastAsia="方正书宋简体" w:cs="方正书宋简体"/>
          <w:sz w:val="21"/>
          <w:szCs w:val="21"/>
          <w:u w:val="single" w:color="auto"/>
        </w:rPr>
        <w:t xml:space="preserve">                                                </w:t>
      </w:r>
    </w:p>
    <w:p>
      <w:pPr>
        <w:spacing w:before="215" w:line="159" w:lineRule="auto"/>
        <w:ind w:firstLine="7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教务处核定日期：</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5"/>
          <w:sz w:val="21"/>
          <w:szCs w:val="21"/>
        </w:rPr>
        <w:t>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5"/>
          <w:sz w:val="21"/>
          <w:szCs w:val="21"/>
        </w:rPr>
        <w:t>日</w:t>
      </w:r>
    </w:p>
    <w:p>
      <w:pPr>
        <w:sectPr>
          <w:type w:val="continuous"/>
          <w:pgSz w:w="11905" w:h="16840"/>
          <w:pgMar w:top="1431" w:right="1577" w:bottom="400" w:left="1578" w:header="0" w:footer="0" w:gutter="0"/>
          <w:cols w:equalWidth="0" w:num="2">
            <w:col w:w="3686" w:space="0"/>
            <w:col w:w="5064"/>
          </w:cols>
        </w:sectPr>
      </w:pPr>
    </w:p>
    <w:p>
      <w:pPr>
        <w:spacing w:line="65"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2348"/>
        <w:gridCol w:w="1132"/>
        <w:gridCol w:w="1145"/>
        <w:gridCol w:w="1410"/>
        <w:gridCol w:w="894"/>
        <w:gridCol w:w="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atLeast"/>
        </w:trPr>
        <w:tc>
          <w:tcPr>
            <w:tcW w:w="1141" w:type="dxa"/>
            <w:tcBorders>
              <w:top w:val="single" w:color="000000" w:sz="6" w:space="0"/>
              <w:left w:val="single" w:color="000000" w:sz="6" w:space="0"/>
            </w:tcBorders>
            <w:vAlign w:val="top"/>
          </w:tcPr>
          <w:p>
            <w:pPr>
              <w:spacing w:line="253" w:lineRule="auto"/>
              <w:rPr>
                <w:rFonts w:ascii="Malgun Gothic"/>
                <w:sz w:val="21"/>
              </w:rPr>
            </w:pPr>
          </w:p>
          <w:p>
            <w:pPr>
              <w:spacing w:before="75" w:line="180" w:lineRule="auto"/>
              <w:ind w:firstLine="1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教师姓名</w:t>
            </w:r>
          </w:p>
        </w:tc>
        <w:tc>
          <w:tcPr>
            <w:tcW w:w="2348" w:type="dxa"/>
            <w:tcBorders>
              <w:top w:val="single" w:color="000000" w:sz="6" w:space="0"/>
            </w:tcBorders>
            <w:vAlign w:val="top"/>
          </w:tcPr>
          <w:p>
            <w:pPr>
              <w:spacing w:line="253" w:lineRule="auto"/>
              <w:rPr>
                <w:rFonts w:ascii="Malgun Gothic"/>
                <w:sz w:val="21"/>
              </w:rPr>
            </w:pPr>
          </w:p>
          <w:p>
            <w:pPr>
              <w:spacing w:before="75" w:line="180" w:lineRule="auto"/>
              <w:ind w:firstLine="74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课程名称</w:t>
            </w:r>
          </w:p>
        </w:tc>
        <w:tc>
          <w:tcPr>
            <w:tcW w:w="1132" w:type="dxa"/>
            <w:tcBorders>
              <w:top w:val="single" w:color="000000" w:sz="6" w:space="0"/>
            </w:tcBorders>
            <w:vAlign w:val="top"/>
          </w:tcPr>
          <w:p>
            <w:pPr>
              <w:spacing w:before="97" w:line="245" w:lineRule="auto"/>
              <w:ind w:left="96" w:right="203" w:firstLine="153"/>
              <w:jc w:val="right"/>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7"/>
                <w:sz w:val="21"/>
                <w:szCs w:val="21"/>
              </w:rPr>
              <w:t>生</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22"/>
                <w:w w:val="113"/>
                <w:sz w:val="21"/>
                <w:szCs w:val="21"/>
              </w:rPr>
              <w:t>评价分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（30%）</w:t>
            </w:r>
          </w:p>
        </w:tc>
        <w:tc>
          <w:tcPr>
            <w:tcW w:w="1145" w:type="dxa"/>
            <w:tcBorders>
              <w:top w:val="single" w:color="000000" w:sz="6" w:space="0"/>
            </w:tcBorders>
            <w:vAlign w:val="top"/>
          </w:tcPr>
          <w:p>
            <w:pPr>
              <w:spacing w:before="97" w:line="245" w:lineRule="auto"/>
              <w:ind w:left="105" w:right="209" w:firstLine="151"/>
              <w:jc w:val="right"/>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教研室</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21"/>
                <w:w w:val="113"/>
                <w:sz w:val="21"/>
                <w:szCs w:val="21"/>
              </w:rPr>
              <w:t>评价分</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（30%）</w:t>
            </w:r>
          </w:p>
        </w:tc>
        <w:tc>
          <w:tcPr>
            <w:tcW w:w="1410" w:type="dxa"/>
            <w:tcBorders>
              <w:top w:val="single" w:color="000000" w:sz="6" w:space="0"/>
            </w:tcBorders>
            <w:vAlign w:val="top"/>
          </w:tcPr>
          <w:p>
            <w:pPr>
              <w:spacing w:before="118" w:line="270" w:lineRule="auto"/>
              <w:ind w:left="240" w:right="66" w:hanging="14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院部考核小组</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21"/>
                <w:w w:val="113"/>
                <w:sz w:val="21"/>
                <w:szCs w:val="21"/>
              </w:rPr>
              <w:t>评价分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（40%）</w:t>
            </w:r>
          </w:p>
        </w:tc>
        <w:tc>
          <w:tcPr>
            <w:tcW w:w="894" w:type="dxa"/>
            <w:tcBorders>
              <w:top w:val="single" w:color="000000" w:sz="6" w:space="0"/>
            </w:tcBorders>
            <w:vAlign w:val="top"/>
          </w:tcPr>
          <w:p>
            <w:pPr>
              <w:spacing w:before="277" w:line="360" w:lineRule="exact"/>
              <w:ind w:firstLine="24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评价</w:t>
            </w:r>
          </w:p>
          <w:p>
            <w:pPr>
              <w:spacing w:line="204"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总分</w:t>
            </w:r>
          </w:p>
        </w:tc>
        <w:tc>
          <w:tcPr>
            <w:tcW w:w="664" w:type="dxa"/>
            <w:tcBorders>
              <w:top w:val="single" w:color="000000" w:sz="6" w:space="0"/>
              <w:right w:val="single" w:color="000000" w:sz="6" w:space="0"/>
            </w:tcBorders>
            <w:vAlign w:val="top"/>
          </w:tcPr>
          <w:p>
            <w:pPr>
              <w:spacing w:before="301" w:line="250" w:lineRule="auto"/>
              <w:ind w:left="125" w:right="112"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考核</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sz w:val="21"/>
                <w:szCs w:val="21"/>
              </w:rPr>
              <w:t>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41" w:type="dxa"/>
            <w:tcBorders>
              <w:left w:val="single" w:color="000000" w:sz="6" w:space="0"/>
            </w:tcBorders>
            <w:vAlign w:val="top"/>
          </w:tcPr>
          <w:p>
            <w:pPr>
              <w:rPr>
                <w:rFonts w:ascii="Malgun Gothic"/>
                <w:sz w:val="21"/>
              </w:rPr>
            </w:pPr>
          </w:p>
        </w:tc>
        <w:tc>
          <w:tcPr>
            <w:tcW w:w="2348" w:type="dxa"/>
            <w:vAlign w:val="top"/>
          </w:tcPr>
          <w:p>
            <w:pPr>
              <w:rPr>
                <w:rFonts w:ascii="Malgun Gothic"/>
                <w:sz w:val="21"/>
              </w:rPr>
            </w:pPr>
          </w:p>
        </w:tc>
        <w:tc>
          <w:tcPr>
            <w:tcW w:w="1132" w:type="dxa"/>
            <w:vAlign w:val="top"/>
          </w:tcPr>
          <w:p>
            <w:pPr>
              <w:rPr>
                <w:rFonts w:ascii="Malgun Gothic"/>
                <w:sz w:val="21"/>
              </w:rPr>
            </w:pPr>
          </w:p>
        </w:tc>
        <w:tc>
          <w:tcPr>
            <w:tcW w:w="1145" w:type="dxa"/>
            <w:vAlign w:val="top"/>
          </w:tcPr>
          <w:p>
            <w:pPr>
              <w:rPr>
                <w:rFonts w:ascii="Malgun Gothic"/>
                <w:sz w:val="21"/>
              </w:rPr>
            </w:pPr>
          </w:p>
        </w:tc>
        <w:tc>
          <w:tcPr>
            <w:tcW w:w="1410" w:type="dxa"/>
            <w:vAlign w:val="top"/>
          </w:tcPr>
          <w:p>
            <w:pPr>
              <w:rPr>
                <w:rFonts w:ascii="Malgun Gothic"/>
                <w:sz w:val="21"/>
              </w:rPr>
            </w:pPr>
          </w:p>
        </w:tc>
        <w:tc>
          <w:tcPr>
            <w:tcW w:w="894" w:type="dxa"/>
            <w:vAlign w:val="top"/>
          </w:tcPr>
          <w:p>
            <w:pPr>
              <w:rPr>
                <w:rFonts w:ascii="Malgun Gothic"/>
                <w:sz w:val="21"/>
              </w:rPr>
            </w:pPr>
          </w:p>
        </w:tc>
        <w:tc>
          <w:tcPr>
            <w:tcW w:w="664"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141" w:type="dxa"/>
            <w:tcBorders>
              <w:left w:val="single" w:color="000000" w:sz="6" w:space="0"/>
              <w:bottom w:val="single" w:color="000000" w:sz="6" w:space="0"/>
            </w:tcBorders>
            <w:vAlign w:val="top"/>
          </w:tcPr>
          <w:p>
            <w:pPr>
              <w:rPr>
                <w:rFonts w:ascii="Malgun Gothic"/>
                <w:sz w:val="21"/>
              </w:rPr>
            </w:pPr>
          </w:p>
        </w:tc>
        <w:tc>
          <w:tcPr>
            <w:tcW w:w="2348" w:type="dxa"/>
            <w:tcBorders>
              <w:bottom w:val="single" w:color="000000" w:sz="6" w:space="0"/>
            </w:tcBorders>
            <w:vAlign w:val="top"/>
          </w:tcPr>
          <w:p>
            <w:pPr>
              <w:rPr>
                <w:rFonts w:ascii="Malgun Gothic"/>
                <w:sz w:val="21"/>
              </w:rPr>
            </w:pPr>
          </w:p>
        </w:tc>
        <w:tc>
          <w:tcPr>
            <w:tcW w:w="1132" w:type="dxa"/>
            <w:tcBorders>
              <w:bottom w:val="single" w:color="000000" w:sz="6" w:space="0"/>
            </w:tcBorders>
            <w:vAlign w:val="top"/>
          </w:tcPr>
          <w:p>
            <w:pPr>
              <w:rPr>
                <w:rFonts w:ascii="Malgun Gothic"/>
                <w:sz w:val="21"/>
              </w:rPr>
            </w:pPr>
          </w:p>
        </w:tc>
        <w:tc>
          <w:tcPr>
            <w:tcW w:w="1145" w:type="dxa"/>
            <w:tcBorders>
              <w:bottom w:val="single" w:color="000000" w:sz="6" w:space="0"/>
            </w:tcBorders>
            <w:vAlign w:val="top"/>
          </w:tcPr>
          <w:p>
            <w:pPr>
              <w:rPr>
                <w:rFonts w:ascii="Malgun Gothic"/>
                <w:sz w:val="21"/>
              </w:rPr>
            </w:pPr>
          </w:p>
        </w:tc>
        <w:tc>
          <w:tcPr>
            <w:tcW w:w="1410" w:type="dxa"/>
            <w:tcBorders>
              <w:bottom w:val="single" w:color="000000" w:sz="6" w:space="0"/>
            </w:tcBorders>
            <w:vAlign w:val="top"/>
          </w:tcPr>
          <w:p>
            <w:pPr>
              <w:rPr>
                <w:rFonts w:ascii="Malgun Gothic"/>
                <w:sz w:val="21"/>
              </w:rPr>
            </w:pPr>
          </w:p>
        </w:tc>
        <w:tc>
          <w:tcPr>
            <w:tcW w:w="894" w:type="dxa"/>
            <w:tcBorders>
              <w:bottom w:val="single" w:color="000000" w:sz="6" w:space="0"/>
            </w:tcBorders>
            <w:vAlign w:val="top"/>
          </w:tcPr>
          <w:p>
            <w:pPr>
              <w:rPr>
                <w:rFonts w:ascii="Malgun Gothic"/>
                <w:sz w:val="21"/>
              </w:rPr>
            </w:pPr>
          </w:p>
        </w:tc>
        <w:tc>
          <w:tcPr>
            <w:tcW w:w="664" w:type="dxa"/>
            <w:tcBorders>
              <w:bottom w:val="single" w:color="000000" w:sz="6" w:space="0"/>
              <w:right w:val="single" w:color="000000" w:sz="6" w:space="0"/>
            </w:tcBorders>
            <w:vAlign w:val="top"/>
          </w:tcPr>
          <w:p>
            <w:pPr>
              <w:rPr>
                <w:rFonts w:ascii="Malgun Gothic"/>
                <w:sz w:val="21"/>
              </w:rPr>
            </w:pPr>
          </w:p>
        </w:tc>
      </w:tr>
    </w:tbl>
    <w:p>
      <w:pPr>
        <w:spacing w:before="183" w:line="180" w:lineRule="auto"/>
        <w:ind w:firstLine="4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院（部）盖章：</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4"/>
          <w:sz w:val="21"/>
          <w:szCs w:val="21"/>
        </w:rPr>
        <w:t>教务处审核盖章：</w:t>
      </w:r>
    </w:p>
    <w:p>
      <w:pPr>
        <w:spacing w:line="340" w:lineRule="auto"/>
        <w:rPr>
          <w:rFonts w:ascii="Malgun Gothic"/>
          <w:sz w:val="21"/>
        </w:rPr>
      </w:pPr>
    </w:p>
    <w:p>
      <w:pPr>
        <w:spacing w:before="61" w:line="145" w:lineRule="exact"/>
        <w:ind w:firstLine="4221"/>
        <w:rPr>
          <w:rFonts w:ascii="Times New Roman" w:hAnsi="Times New Roman" w:eastAsia="Times New Roman" w:cs="Times New Roman"/>
          <w:sz w:val="21"/>
          <w:szCs w:val="21"/>
        </w:rPr>
      </w:pPr>
      <w:r>
        <w:rPr>
          <w:rFonts w:ascii="Times New Roman" w:hAnsi="Times New Roman" w:eastAsia="Times New Roman" w:cs="Times New Roman"/>
          <w:spacing w:val="-2"/>
          <w:position w:val="-3"/>
          <w:sz w:val="21"/>
          <w:szCs w:val="21"/>
        </w:rPr>
        <w:t>299</w:t>
      </w:r>
    </w:p>
    <w:p>
      <w:pPr>
        <w:sectPr>
          <w:type w:val="continuous"/>
          <w:pgSz w:w="11905" w:h="16840"/>
          <w:pgMar w:top="1431" w:right="1577" w:bottom="400" w:left="1578" w:header="0" w:footer="0" w:gutter="0"/>
          <w:cols w:equalWidth="0" w:num="1">
            <w:col w:w="8750"/>
          </w:cols>
        </w:sectPr>
      </w:pPr>
    </w:p>
    <w:p>
      <w:pPr>
        <w:spacing w:before="350" w:line="195" w:lineRule="auto"/>
        <w:ind w:firstLine="194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吉首大学本科毕业论文（设计）质量</w:t>
      </w:r>
    </w:p>
    <w:p>
      <w:pPr>
        <w:spacing w:before="1" w:line="204" w:lineRule="auto"/>
        <w:ind w:firstLine="322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管理工作评估方案</w:t>
      </w:r>
    </w:p>
    <w:p>
      <w:pPr>
        <w:spacing w:line="279" w:lineRule="auto"/>
        <w:rPr>
          <w:rFonts w:ascii="Malgun Gothic"/>
          <w:sz w:val="21"/>
        </w:rPr>
      </w:pPr>
    </w:p>
    <w:p>
      <w:pPr>
        <w:spacing w:before="86" w:line="277" w:lineRule="auto"/>
        <w:ind w:firstLine="61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毕业论文（设计）是本科人才培养计划中一个重要的实践教学环节，毕业论文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（设计）</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4"/>
          <w:sz w:val="24"/>
          <w:szCs w:val="24"/>
        </w:rPr>
        <w:t>的质量是衡量教学水平、学生毕业与学位资格认证的重要依据。为贯彻落实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教育部和湖南省教育厅有关文件精神，加强我校毕业论文（设计）管理，提高毕业</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4"/>
          <w:sz w:val="24"/>
          <w:szCs w:val="24"/>
        </w:rPr>
        <w:t>论文（设计）质量，结合学校实际，特制订本方案。</w:t>
      </w:r>
    </w:p>
    <w:p>
      <w:pPr>
        <w:spacing w:before="204" w:line="180" w:lineRule="auto"/>
        <w:ind w:firstLine="62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一、评估目的</w:t>
      </w:r>
    </w:p>
    <w:p>
      <w:pPr>
        <w:spacing w:before="149"/>
        <w:ind w:left="133" w:right="3"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通过评估，强化和完善毕业论文（设计）环节的规范化要求与管理，加强毕业</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论文（设计）的过程监控，进一步提高本科毕业论文（设计）的质量。</w:t>
      </w:r>
    </w:p>
    <w:p>
      <w:pPr>
        <w:spacing w:before="204" w:line="180" w:lineRule="auto"/>
        <w:ind w:firstLine="6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二、评估内容</w:t>
      </w:r>
    </w:p>
    <w:p>
      <w:pPr>
        <w:spacing w:before="150" w:line="180" w:lineRule="auto"/>
        <w:ind w:firstLine="61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本科专业毕业论文（设计）的质量与学院毕业论文（设计）管理工作质量。</w:t>
      </w:r>
    </w:p>
    <w:p>
      <w:pPr>
        <w:spacing w:before="181" w:line="180" w:lineRule="auto"/>
        <w:ind w:firstLine="62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三、评估时间</w:t>
      </w:r>
    </w:p>
    <w:p>
      <w:pPr>
        <w:spacing w:before="151" w:line="180" w:lineRule="auto"/>
        <w:ind w:firstLine="61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毕业论文（设计）中期检查和毕业论文（设计）工作结束。</w:t>
      </w:r>
    </w:p>
    <w:p>
      <w:pPr>
        <w:spacing w:before="181" w:line="180" w:lineRule="auto"/>
        <w:ind w:firstLine="638"/>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四、评估组织</w:t>
      </w:r>
    </w:p>
    <w:p>
      <w:pPr>
        <w:spacing w:before="151" w:line="180" w:lineRule="auto"/>
        <w:ind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1、校级评估专家组</w:t>
      </w:r>
    </w:p>
    <w:p>
      <w:pPr>
        <w:spacing w:before="193" w:line="180" w:lineRule="auto"/>
        <w:ind w:firstLine="64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由校教学指导委员会、教学督导团、校外聘请专家等组成的专家评估组。</w:t>
      </w:r>
    </w:p>
    <w:p>
      <w:pPr>
        <w:spacing w:before="195" w:line="180"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2、学院评估把关小组</w:t>
      </w:r>
    </w:p>
    <w:p>
      <w:pPr>
        <w:spacing w:before="192" w:line="238" w:lineRule="auto"/>
        <w:ind w:left="133" w:right="3" w:firstLine="51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由学院教学委员会、相关系或教研室主任、相关专业的专家等组成学院评估把</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6"/>
          <w:sz w:val="24"/>
          <w:szCs w:val="24"/>
        </w:rPr>
        <w:t>关小组。</w:t>
      </w:r>
    </w:p>
    <w:p>
      <w:pPr>
        <w:spacing w:before="208" w:line="180" w:lineRule="auto"/>
        <w:ind w:firstLine="622"/>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五、评估程序</w:t>
      </w:r>
    </w:p>
    <w:p>
      <w:pPr>
        <w:spacing w:before="152" w:line="315" w:lineRule="auto"/>
        <w:ind w:left="133" w:right="4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教务处负责根据学科、专业门类分别设置评估专家小组，负责实施评估工作，</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4"/>
          <w:sz w:val="24"/>
          <w:szCs w:val="24"/>
        </w:rPr>
        <w:t>遵循以下三个程序。</w:t>
      </w:r>
    </w:p>
    <w:p>
      <w:pPr>
        <w:spacing w:before="3" w:line="199" w:lineRule="auto"/>
        <w:ind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1、学院自评</w:t>
      </w:r>
    </w:p>
    <w:p>
      <w:pPr>
        <w:spacing w:before="163" w:line="315" w:lineRule="auto"/>
        <w:ind w:left="134" w:right="1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各学院对照评估指标与等级标准开展自查自评，在学院毕业论文（设计）完成</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3"/>
          <w:sz w:val="24"/>
          <w:szCs w:val="24"/>
        </w:rPr>
        <w:t>后将自评总结上交教务处。</w:t>
      </w:r>
    </w:p>
    <w:p>
      <w:pPr>
        <w:spacing w:before="3" w:line="202"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2、学校评估</w:t>
      </w:r>
    </w:p>
    <w:p>
      <w:pPr>
        <w:spacing w:before="160" w:line="315" w:lineRule="auto"/>
        <w:ind w:left="132" w:right="3"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主要包括专业毕业论文（设计）质量评审和学院毕业论文（设计）工作质量评</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5"/>
          <w:sz w:val="24"/>
          <w:szCs w:val="24"/>
        </w:rPr>
        <w:t>估两个方面。</w:t>
      </w:r>
    </w:p>
    <w:p>
      <w:pPr>
        <w:spacing w:before="1" w:line="201"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（1）专业毕业论文（设计）质量评审</w:t>
      </w:r>
    </w:p>
    <w:p>
      <w:pPr>
        <w:spacing w:before="221" w:line="180" w:lineRule="auto"/>
        <w:ind w:firstLine="4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p>
    <w:p>
      <w:pPr>
        <w:sectPr>
          <w:footerReference r:id="rId304" w:type="default"/>
          <w:pgSz w:w="11905" w:h="16840"/>
          <w:pgMar w:top="1431" w:right="1585" w:bottom="400" w:left="1457" w:header="0" w:footer="0" w:gutter="0"/>
          <w:cols w:space="720" w:num="1"/>
        </w:sectPr>
      </w:pPr>
    </w:p>
    <w:p>
      <w:pPr>
        <w:spacing w:before="421" w:line="307" w:lineRule="auto"/>
        <w:ind w:right="134"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以专业为评估单元，从各专业抽取一定比例的论文进行专业评估；各学院分专</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业按要求比例推荐优秀毕业论文（设计）和学院优秀指导教师；学院被抽查专业和</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推荐学生优秀毕业论文（设计）需提供完整资料。</w:t>
      </w:r>
    </w:p>
    <w:p>
      <w:pPr>
        <w:spacing w:before="43"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（2）学院指导毕业论文（设计）工作质量评估</w:t>
      </w:r>
    </w:p>
    <w:p>
      <w:pPr>
        <w:spacing w:before="191" w:line="315" w:lineRule="auto"/>
        <w:ind w:left="3" w:right="137" w:firstLine="50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由各专家组深入学院采取听、查、看、评等形式对学院毕业论文（设计）工作</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5"/>
          <w:sz w:val="24"/>
          <w:szCs w:val="24"/>
        </w:rPr>
        <w:t>质量进行评估。</w:t>
      </w:r>
    </w:p>
    <w:p>
      <w:pPr>
        <w:spacing w:before="4" w:line="199"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3、总结整改</w:t>
      </w:r>
    </w:p>
    <w:p>
      <w:pPr>
        <w:spacing w:before="163" w:line="239" w:lineRule="auto"/>
        <w:ind w:left="2" w:right="137"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学校下达评估结论，教务处及各学院根据评估结果总结经验，查找问题，研究</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制订整改措施，有针对性进行整改。</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六、评估结果与奖励</w:t>
      </w:r>
    </w:p>
    <w:p>
      <w:pPr>
        <w:spacing w:before="153" w:line="315" w:lineRule="auto"/>
        <w:ind w:left="3" w:right="129"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1、评估结论分优秀、良好、合格、不合格四个等级。学校对获得优秀的专业、</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4"/>
          <w:sz w:val="24"/>
          <w:szCs w:val="24"/>
        </w:rPr>
        <w:t>学院进行表彰和奖励。</w:t>
      </w:r>
    </w:p>
    <w:p>
      <w:pPr>
        <w:spacing w:before="1" w:line="239" w:lineRule="auto"/>
        <w:ind w:right="14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2、评选优秀指导老师和优秀毕业论文（设计</w:t>
      </w:r>
      <w:r>
        <w:rPr>
          <w:rFonts w:ascii="方正书宋简体" w:hAnsi="方正书宋简体" w:eastAsia="方正书宋简体" w:cs="方正书宋简体"/>
          <w:spacing w:val="8"/>
          <w:sz w:val="24"/>
          <w:szCs w:val="24"/>
        </w:rPr>
        <w:t>），</w:t>
      </w:r>
      <w:r>
        <w:rPr>
          <w:rFonts w:ascii="方正书宋简体" w:hAnsi="方正书宋简体" w:eastAsia="方正书宋简体" w:cs="方正书宋简体"/>
          <w:spacing w:val="-2"/>
          <w:sz w:val="24"/>
          <w:szCs w:val="24"/>
        </w:rPr>
        <w:t>对优秀指导教师给予表彰和奖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励，被评为学校优秀毕业论文（设计）进行汇编并向全校推介。</w:t>
      </w:r>
    </w:p>
    <w:p>
      <w:pPr>
        <w:spacing w:before="217"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
          <w:sz w:val="24"/>
          <w:szCs w:val="24"/>
        </w:rPr>
        <w:t>l：吉首大学本科毕业论文质量评价指标和等级标准</w:t>
      </w:r>
    </w:p>
    <w:p>
      <w:pPr>
        <w:spacing w:before="193"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2：吉首大学本科毕业设计质量评价指标和等级标准</w:t>
      </w:r>
    </w:p>
    <w:p>
      <w:pPr>
        <w:spacing w:before="189" w:line="193"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7"/>
          <w:sz w:val="24"/>
          <w:szCs w:val="24"/>
        </w:rPr>
        <w:t>附件</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17"/>
          <w:sz w:val="24"/>
          <w:szCs w:val="24"/>
        </w:rPr>
        <w:t>3：</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7"/>
          <w:sz w:val="24"/>
          <w:szCs w:val="24"/>
        </w:rPr>
        <w:t>吉首大学学院本科毕业论文（设计）工作质量评价指标和等级标准（试行）</w:t>
      </w:r>
    </w:p>
    <w:p>
      <w:pPr>
        <w:spacing w:line="248" w:lineRule="auto"/>
        <w:rPr>
          <w:rFonts w:ascii="Malgun Gothic"/>
          <w:sz w:val="21"/>
        </w:rPr>
      </w:pPr>
    </w:p>
    <w:p>
      <w:pPr>
        <w:spacing w:line="248"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before="61"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301</w:t>
      </w:r>
    </w:p>
    <w:p>
      <w:pPr>
        <w:sectPr>
          <w:footerReference r:id="rId305" w:type="default"/>
          <w:pgSz w:w="11905" w:h="16840"/>
          <w:pgMar w:top="1431" w:right="1451" w:bottom="400" w:left="1590"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1</w:t>
      </w:r>
    </w:p>
    <w:p>
      <w:pPr>
        <w:spacing w:before="148" w:line="166" w:lineRule="auto"/>
        <w:ind w:firstLine="884"/>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吉首大学本科毕业论文质量评价指标和等级标准（试行）</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2199"/>
        <w:gridCol w:w="647"/>
        <w:gridCol w:w="2473"/>
        <w:gridCol w:w="2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11" w:type="dxa"/>
            <w:vMerge w:val="restart"/>
            <w:tcBorders>
              <w:top w:val="single" w:color="000000" w:sz="6" w:space="0"/>
              <w:left w:val="single" w:color="000000" w:sz="6" w:space="0"/>
              <w:bottom w:val="nil"/>
            </w:tcBorders>
            <w:vAlign w:val="top"/>
          </w:tcPr>
          <w:p>
            <w:pPr>
              <w:spacing w:before="121" w:line="202" w:lineRule="auto"/>
              <w:ind w:firstLine="19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199" w:type="dxa"/>
            <w:vMerge w:val="restart"/>
            <w:tcBorders>
              <w:top w:val="single" w:color="000000" w:sz="6" w:space="0"/>
              <w:bottom w:val="nil"/>
            </w:tcBorders>
            <w:vAlign w:val="top"/>
          </w:tcPr>
          <w:p>
            <w:pPr>
              <w:spacing w:before="274" w:line="180" w:lineRule="auto"/>
              <w:ind w:firstLine="68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647" w:type="dxa"/>
            <w:vMerge w:val="restart"/>
            <w:tcBorders>
              <w:top w:val="single" w:color="000000" w:sz="6" w:space="0"/>
              <w:bottom w:val="nil"/>
            </w:tcBorders>
            <w:vAlign w:val="top"/>
          </w:tcPr>
          <w:p>
            <w:pPr>
              <w:spacing w:before="122" w:line="202" w:lineRule="auto"/>
              <w:ind w:left="112" w:right="109" w:firstLine="2"/>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参考</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4"/>
                <w:sz w:val="21"/>
                <w:szCs w:val="21"/>
              </w:rPr>
              <w:t>权重</w:t>
            </w:r>
          </w:p>
        </w:tc>
        <w:tc>
          <w:tcPr>
            <w:tcW w:w="5077" w:type="dxa"/>
            <w:gridSpan w:val="2"/>
            <w:tcBorders>
              <w:top w:val="single" w:color="000000" w:sz="6" w:space="0"/>
              <w:right w:val="single" w:color="000000" w:sz="6" w:space="0"/>
            </w:tcBorders>
            <w:vAlign w:val="top"/>
          </w:tcPr>
          <w:p>
            <w:pPr>
              <w:spacing w:before="82" w:line="180" w:lineRule="auto"/>
              <w:ind w:firstLine="211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tcBorders>
            <w:vAlign w:val="top"/>
          </w:tcPr>
          <w:p>
            <w:pPr>
              <w:rPr>
                <w:rFonts w:ascii="Malgun Gothic"/>
                <w:sz w:val="21"/>
              </w:rPr>
            </w:pPr>
          </w:p>
        </w:tc>
        <w:tc>
          <w:tcPr>
            <w:tcW w:w="2199" w:type="dxa"/>
            <w:vMerge w:val="continue"/>
            <w:tcBorders>
              <w:top w:val="nil"/>
            </w:tcBorders>
            <w:vAlign w:val="top"/>
          </w:tcPr>
          <w:p>
            <w:pPr>
              <w:rPr>
                <w:rFonts w:ascii="Malgun Gothic"/>
                <w:sz w:val="21"/>
              </w:rPr>
            </w:pPr>
          </w:p>
        </w:tc>
        <w:tc>
          <w:tcPr>
            <w:tcW w:w="647" w:type="dxa"/>
            <w:vMerge w:val="continue"/>
            <w:tcBorders>
              <w:top w:val="nil"/>
            </w:tcBorders>
            <w:vAlign w:val="top"/>
          </w:tcPr>
          <w:p>
            <w:pPr>
              <w:rPr>
                <w:rFonts w:ascii="Malgun Gothic"/>
                <w:sz w:val="21"/>
              </w:rPr>
            </w:pPr>
          </w:p>
        </w:tc>
        <w:tc>
          <w:tcPr>
            <w:tcW w:w="2473" w:type="dxa"/>
            <w:vAlign w:val="top"/>
          </w:tcPr>
          <w:p>
            <w:pPr>
              <w:spacing w:before="110" w:line="213" w:lineRule="exact"/>
              <w:ind w:firstLine="1166"/>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604" w:type="dxa"/>
            <w:tcBorders>
              <w:right w:val="single" w:color="000000" w:sz="6" w:space="0"/>
            </w:tcBorders>
            <w:vAlign w:val="top"/>
          </w:tcPr>
          <w:p>
            <w:pPr>
              <w:spacing w:before="106" w:line="216" w:lineRule="exact"/>
              <w:ind w:firstLine="1231"/>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6" w:hRule="atLeast"/>
        </w:trPr>
        <w:tc>
          <w:tcPr>
            <w:tcW w:w="811" w:type="dxa"/>
            <w:vMerge w:val="restart"/>
            <w:tcBorders>
              <w:left w:val="single" w:color="000000" w:sz="6" w:space="0"/>
              <w:bottom w:val="nil"/>
            </w:tcBorders>
            <w:vAlign w:val="top"/>
          </w:tcPr>
          <w:p>
            <w:pPr>
              <w:spacing w:line="258"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line="259"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选题</w:t>
            </w:r>
          </w:p>
          <w:p>
            <w:pPr>
              <w:spacing w:before="131"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w:t>
            </w:r>
          </w:p>
          <w:p>
            <w:pPr>
              <w:spacing w:before="160"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199" w:type="dxa"/>
            <w:vAlign w:val="top"/>
          </w:tcPr>
          <w:p>
            <w:pPr>
              <w:spacing w:before="114" w:line="180" w:lineRule="auto"/>
              <w:ind w:firstLine="98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1.1</w:t>
            </w:r>
          </w:p>
          <w:p>
            <w:pPr>
              <w:spacing w:before="99" w:line="180" w:lineRule="auto"/>
              <w:ind w:firstLine="14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选题符合专业培养目</w:t>
            </w:r>
          </w:p>
          <w:p>
            <w:pPr>
              <w:spacing w:before="87" w:line="180" w:lineRule="auto"/>
              <w:ind w:firstLine="14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标，体现综合训练的</w:t>
            </w:r>
          </w:p>
          <w:p>
            <w:pPr>
              <w:spacing w:before="88" w:line="180" w:lineRule="auto"/>
              <w:ind w:firstLine="6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基本要求</w:t>
            </w:r>
          </w:p>
        </w:tc>
        <w:tc>
          <w:tcPr>
            <w:tcW w:w="647" w:type="dxa"/>
            <w:vAlign w:val="top"/>
          </w:tcPr>
          <w:p>
            <w:pPr>
              <w:spacing w:line="350" w:lineRule="auto"/>
              <w:rPr>
                <w:rFonts w:ascii="Malgun Gothic"/>
                <w:sz w:val="21"/>
              </w:rPr>
            </w:pPr>
          </w:p>
          <w:p>
            <w:pPr>
              <w:spacing w:before="7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vAlign w:val="top"/>
          </w:tcPr>
          <w:p>
            <w:pPr>
              <w:spacing w:before="258" w:line="259" w:lineRule="auto"/>
              <w:ind w:left="105" w:right="98"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毕业论文选题符合专业</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4"/>
                <w:sz w:val="21"/>
                <w:szCs w:val="21"/>
              </w:rPr>
              <w:t>培养目标，</w:t>
            </w:r>
            <w:r>
              <w:rPr>
                <w:rFonts w:ascii="方正书宋简体" w:hAnsi="方正书宋简体" w:eastAsia="方正书宋简体" w:cs="方正书宋简体"/>
                <w:spacing w:val="49"/>
                <w:w w:val="101"/>
                <w:sz w:val="21"/>
                <w:szCs w:val="21"/>
              </w:rPr>
              <w:t xml:space="preserve"> </w:t>
            </w:r>
            <w:r>
              <w:rPr>
                <w:rFonts w:ascii="方正书宋简体" w:hAnsi="方正书宋简体" w:eastAsia="方正书宋简体" w:cs="方正书宋简体"/>
                <w:spacing w:val="-14"/>
                <w:sz w:val="21"/>
                <w:szCs w:val="21"/>
              </w:rPr>
              <w:t>完全体现了综</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合训练的基本要求；</w:t>
            </w:r>
          </w:p>
        </w:tc>
        <w:tc>
          <w:tcPr>
            <w:tcW w:w="2604" w:type="dxa"/>
            <w:tcBorders>
              <w:right w:val="single" w:color="000000" w:sz="6" w:space="0"/>
            </w:tcBorders>
            <w:vAlign w:val="top"/>
          </w:tcPr>
          <w:p>
            <w:pPr>
              <w:spacing w:before="258" w:line="259" w:lineRule="auto"/>
              <w:ind w:left="108" w:right="103"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毕业论文选题基本符合专</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6"/>
                <w:sz w:val="21"/>
                <w:szCs w:val="21"/>
              </w:rPr>
              <w:t>业培养目标，基本体现了</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4"/>
                <w:sz w:val="21"/>
                <w:szCs w:val="21"/>
              </w:rPr>
              <w:t>综合训练的基本要求；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250" w:line="180" w:lineRule="auto"/>
              <w:ind w:firstLine="98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1.2</w:t>
            </w:r>
          </w:p>
          <w:p>
            <w:pPr>
              <w:spacing w:before="102" w:line="180" w:lineRule="auto"/>
              <w:ind w:firstLine="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题目难易度</w:t>
            </w:r>
          </w:p>
        </w:tc>
        <w:tc>
          <w:tcPr>
            <w:tcW w:w="647" w:type="dxa"/>
            <w:vAlign w:val="top"/>
          </w:tcPr>
          <w:p>
            <w:pPr>
              <w:spacing w:before="429"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vAlign w:val="top"/>
          </w:tcPr>
          <w:p>
            <w:pPr>
              <w:spacing w:before="81" w:line="231" w:lineRule="auto"/>
              <w:ind w:left="107" w:right="98"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选题难易度适宜，</w:t>
            </w:r>
            <w:r>
              <w:rPr>
                <w:rFonts w:ascii="方正书宋简体" w:hAnsi="方正书宋简体" w:eastAsia="方正书宋简体" w:cs="方正书宋简体"/>
                <w:spacing w:val="49"/>
                <w:w w:val="101"/>
                <w:sz w:val="21"/>
                <w:szCs w:val="21"/>
              </w:rPr>
              <w:t xml:space="preserve"> </w:t>
            </w:r>
            <w:r>
              <w:rPr>
                <w:rFonts w:ascii="方正书宋简体" w:hAnsi="方正书宋简体" w:eastAsia="方正书宋简体" w:cs="方正书宋简体"/>
                <w:spacing w:val="-14"/>
                <w:sz w:val="21"/>
                <w:szCs w:val="21"/>
              </w:rPr>
              <w:t>完全体</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5"/>
                <w:sz w:val="21"/>
                <w:szCs w:val="21"/>
              </w:rPr>
              <w:t>现了教学计划对本教学</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4"/>
                <w:sz w:val="21"/>
                <w:szCs w:val="21"/>
              </w:rPr>
              <w:t>环节所规定的要求；</w:t>
            </w:r>
          </w:p>
        </w:tc>
        <w:tc>
          <w:tcPr>
            <w:tcW w:w="2604" w:type="dxa"/>
            <w:tcBorders>
              <w:right w:val="single" w:color="000000" w:sz="6" w:space="0"/>
            </w:tcBorders>
            <w:vAlign w:val="top"/>
          </w:tcPr>
          <w:p>
            <w:pPr>
              <w:spacing w:before="85" w:line="230" w:lineRule="auto"/>
              <w:ind w:left="109"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选题难易度基本适宜，基</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6"/>
                <w:sz w:val="21"/>
                <w:szCs w:val="21"/>
              </w:rPr>
              <w:t>本体现了教学计划对本教</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rPr>
              <w:t>学环节所规定的要求；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251" w:line="180" w:lineRule="auto"/>
              <w:ind w:firstLine="98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1.3</w:t>
            </w:r>
          </w:p>
          <w:p>
            <w:pPr>
              <w:spacing w:before="100" w:line="180" w:lineRule="auto"/>
              <w:ind w:firstLine="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题目工作量</w:t>
            </w:r>
          </w:p>
        </w:tc>
        <w:tc>
          <w:tcPr>
            <w:tcW w:w="647" w:type="dxa"/>
            <w:vAlign w:val="top"/>
          </w:tcPr>
          <w:p>
            <w:pPr>
              <w:spacing w:before="430"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72" w:line="234" w:lineRule="auto"/>
              <w:ind w:left="106"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毕业论文安排科学、合</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4"/>
                <w:sz w:val="21"/>
                <w:szCs w:val="21"/>
              </w:rPr>
              <w:t>理，</w:t>
            </w:r>
            <w:r>
              <w:rPr>
                <w:rFonts w:ascii="方正书宋简体" w:hAnsi="方正书宋简体" w:eastAsia="方正书宋简体" w:cs="方正书宋简体"/>
                <w:spacing w:val="48"/>
                <w:sz w:val="21"/>
                <w:szCs w:val="21"/>
              </w:rPr>
              <w:t xml:space="preserve"> </w:t>
            </w:r>
            <w:r>
              <w:rPr>
                <w:rFonts w:ascii="方正书宋简体" w:hAnsi="方正书宋简体" w:eastAsia="方正书宋简体" w:cs="方正书宋简体"/>
                <w:spacing w:val="-14"/>
                <w:sz w:val="21"/>
                <w:szCs w:val="21"/>
              </w:rPr>
              <w:t>与学校计划安排规定</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的完成时间吻合；</w:t>
            </w:r>
          </w:p>
        </w:tc>
        <w:tc>
          <w:tcPr>
            <w:tcW w:w="2604" w:type="dxa"/>
            <w:tcBorders>
              <w:right w:val="single" w:color="000000" w:sz="6" w:space="0"/>
            </w:tcBorders>
            <w:vAlign w:val="top"/>
          </w:tcPr>
          <w:p>
            <w:pPr>
              <w:spacing w:before="72" w:line="234" w:lineRule="auto"/>
              <w:ind w:left="110" w:right="89"/>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毕业论文安排基本较为科</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21"/>
                <w:w w:val="99"/>
                <w:sz w:val="21"/>
                <w:szCs w:val="21"/>
              </w:rPr>
              <w:t>学、合理，</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21"/>
                <w:w w:val="99"/>
                <w:sz w:val="21"/>
                <w:szCs w:val="21"/>
              </w:rPr>
              <w:t>与学校计划安排</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4"/>
                <w:sz w:val="21"/>
                <w:szCs w:val="21"/>
              </w:rPr>
              <w:t>规定的完成时间基本吻合；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811" w:type="dxa"/>
            <w:vMerge w:val="continue"/>
            <w:tcBorders>
              <w:top w:val="nil"/>
              <w:left w:val="single" w:color="000000" w:sz="6" w:space="0"/>
            </w:tcBorders>
            <w:vAlign w:val="top"/>
          </w:tcPr>
          <w:p>
            <w:pPr>
              <w:rPr>
                <w:rFonts w:ascii="Malgun Gothic"/>
                <w:sz w:val="21"/>
              </w:rPr>
            </w:pPr>
          </w:p>
        </w:tc>
        <w:tc>
          <w:tcPr>
            <w:tcW w:w="2199" w:type="dxa"/>
            <w:vAlign w:val="top"/>
          </w:tcPr>
          <w:p>
            <w:pPr>
              <w:spacing w:before="119" w:line="180" w:lineRule="auto"/>
              <w:ind w:firstLine="98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1.4</w:t>
            </w:r>
          </w:p>
          <w:p>
            <w:pPr>
              <w:spacing w:before="98" w:line="180" w:lineRule="auto"/>
              <w:ind w:firstLine="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理论意义或实际价值</w:t>
            </w:r>
          </w:p>
        </w:tc>
        <w:tc>
          <w:tcPr>
            <w:tcW w:w="647" w:type="dxa"/>
            <w:vAlign w:val="top"/>
          </w:tcPr>
          <w:p>
            <w:pPr>
              <w:spacing w:before="296"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107" w:line="220" w:lineRule="auto"/>
              <w:ind w:left="118" w:right="98" w:hanging="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有较高的理论价值或实</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0"/>
                <w:sz w:val="21"/>
                <w:szCs w:val="21"/>
              </w:rPr>
              <w:t>际价值；</w:t>
            </w:r>
          </w:p>
        </w:tc>
        <w:tc>
          <w:tcPr>
            <w:tcW w:w="2604" w:type="dxa"/>
            <w:tcBorders>
              <w:right w:val="single" w:color="000000" w:sz="6" w:space="0"/>
            </w:tcBorders>
            <w:vAlign w:val="top"/>
          </w:tcPr>
          <w:p>
            <w:pPr>
              <w:spacing w:before="105" w:line="251" w:lineRule="auto"/>
              <w:ind w:left="111" w:right="103"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有一定的理论价值或实际</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811" w:type="dxa"/>
            <w:vMerge w:val="restart"/>
            <w:tcBorders>
              <w:left w:val="single" w:color="000000" w:sz="6" w:space="0"/>
              <w:bottom w:val="nil"/>
            </w:tcBorders>
            <w:vAlign w:val="top"/>
          </w:tcPr>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line="279" w:lineRule="auto"/>
              <w:rPr>
                <w:rFonts w:ascii="Malgun Gothic"/>
                <w:sz w:val="21"/>
              </w:rPr>
            </w:pPr>
          </w:p>
          <w:p>
            <w:pPr>
              <w:spacing w:before="75" w:line="180" w:lineRule="auto"/>
              <w:ind w:firstLine="19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能力</w:t>
            </w:r>
          </w:p>
          <w:p>
            <w:pPr>
              <w:spacing w:before="130"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水平</w:t>
            </w:r>
          </w:p>
          <w:p>
            <w:pPr>
              <w:spacing w:before="162"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199" w:type="dxa"/>
            <w:vAlign w:val="top"/>
          </w:tcPr>
          <w:p>
            <w:pPr>
              <w:spacing w:line="325" w:lineRule="auto"/>
              <w:rPr>
                <w:rFonts w:ascii="Malgun Gothic"/>
                <w:sz w:val="21"/>
              </w:rPr>
            </w:pPr>
          </w:p>
          <w:p>
            <w:pPr>
              <w:spacing w:before="75"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p>
          <w:p>
            <w:pPr>
              <w:spacing w:before="100" w:line="180" w:lineRule="auto"/>
              <w:ind w:firstLine="25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查阅文献资料能力</w:t>
            </w:r>
          </w:p>
        </w:tc>
        <w:tc>
          <w:tcPr>
            <w:tcW w:w="647" w:type="dxa"/>
            <w:vAlign w:val="top"/>
          </w:tcPr>
          <w:p>
            <w:pPr>
              <w:spacing w:line="443" w:lineRule="auto"/>
              <w:rPr>
                <w:rFonts w:ascii="Malgun Gothic"/>
                <w:sz w:val="21"/>
              </w:rPr>
            </w:pPr>
          </w:p>
          <w:p>
            <w:pPr>
              <w:spacing w:before="7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3" w:type="dxa"/>
            <w:vAlign w:val="top"/>
          </w:tcPr>
          <w:p>
            <w:pPr>
              <w:spacing w:before="85" w:line="239" w:lineRule="auto"/>
              <w:ind w:left="104" w:right="98" w:firstLine="6"/>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能熟练地运用各种手段</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7"/>
                <w:sz w:val="21"/>
                <w:szCs w:val="21"/>
              </w:rPr>
              <w:t>查阅有关文献资料，</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7"/>
                <w:sz w:val="21"/>
                <w:szCs w:val="21"/>
              </w:rPr>
              <w:t>占有</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5"/>
                <w:sz w:val="21"/>
                <w:szCs w:val="21"/>
              </w:rPr>
              <w:t>了与论文的相关的文献</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3"/>
                <w:sz w:val="21"/>
                <w:szCs w:val="21"/>
              </w:rPr>
              <w:t>资料，</w:t>
            </w:r>
            <w:r>
              <w:rPr>
                <w:rFonts w:ascii="方正书宋简体" w:hAnsi="方正书宋简体" w:eastAsia="方正书宋简体" w:cs="方正书宋简体"/>
                <w:spacing w:val="39"/>
                <w:w w:val="101"/>
                <w:sz w:val="21"/>
                <w:szCs w:val="21"/>
              </w:rPr>
              <w:t xml:space="preserve"> </w:t>
            </w:r>
            <w:r>
              <w:rPr>
                <w:rFonts w:ascii="方正书宋简体" w:hAnsi="方正书宋简体" w:eastAsia="方正书宋简体" w:cs="方正书宋简体"/>
                <w:spacing w:val="-13"/>
                <w:sz w:val="21"/>
                <w:szCs w:val="21"/>
              </w:rPr>
              <w:t>并形成了高质量的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文献综述；</w:t>
            </w:r>
          </w:p>
        </w:tc>
        <w:tc>
          <w:tcPr>
            <w:tcW w:w="2604" w:type="dxa"/>
            <w:tcBorders>
              <w:right w:val="single" w:color="000000" w:sz="6" w:space="0"/>
            </w:tcBorders>
            <w:vAlign w:val="top"/>
          </w:tcPr>
          <w:p>
            <w:pPr>
              <w:spacing w:before="239" w:line="256" w:lineRule="auto"/>
              <w:ind w:left="109" w:right="3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基本熟练运用各种手段查</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6"/>
                <w:sz w:val="21"/>
                <w:szCs w:val="21"/>
              </w:rPr>
              <w:t>阅有关文献资料，基本占</w:t>
            </w:r>
            <w:r>
              <w:rPr>
                <w:rFonts w:ascii="方正书宋简体" w:hAnsi="方正书宋简体" w:eastAsia="方正书宋简体" w:cs="方正书宋简体"/>
                <w:w w:val="103"/>
                <w:sz w:val="21"/>
                <w:szCs w:val="21"/>
              </w:rPr>
              <w:t xml:space="preserve">  </w:t>
            </w:r>
            <w:r>
              <w:rPr>
                <w:rFonts w:ascii="方正书宋简体" w:hAnsi="方正书宋简体" w:eastAsia="方正书宋简体" w:cs="方正书宋简体"/>
                <w:spacing w:val="6"/>
                <w:sz w:val="21"/>
                <w:szCs w:val="21"/>
              </w:rPr>
              <w:t>有了与论文的相关的文献</w:t>
            </w:r>
            <w:r>
              <w:rPr>
                <w:rFonts w:ascii="方正书宋简体" w:hAnsi="方正书宋简体" w:eastAsia="方正书宋简体" w:cs="方正书宋简体"/>
                <w:w w:val="103"/>
                <w:sz w:val="21"/>
                <w:szCs w:val="21"/>
              </w:rPr>
              <w:t xml:space="preserve">  </w:t>
            </w:r>
            <w:r>
              <w:rPr>
                <w:rFonts w:ascii="方正书宋简体" w:hAnsi="方正书宋简体" w:eastAsia="方正书宋简体" w:cs="方正书宋简体"/>
                <w:spacing w:val="-15"/>
                <w:sz w:val="21"/>
                <w:szCs w:val="21"/>
              </w:rPr>
              <w:t>资料，</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并形成了文献综述；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254"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p>
            <w:pPr>
              <w:spacing w:before="100" w:line="180" w:lineRule="auto"/>
              <w:ind w:firstLine="25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综合运用知识能力</w:t>
            </w:r>
          </w:p>
        </w:tc>
        <w:tc>
          <w:tcPr>
            <w:tcW w:w="647" w:type="dxa"/>
            <w:vAlign w:val="top"/>
          </w:tcPr>
          <w:p>
            <w:pPr>
              <w:spacing w:before="433"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vAlign w:val="top"/>
          </w:tcPr>
          <w:p>
            <w:pPr>
              <w:spacing w:before="89" w:line="230" w:lineRule="auto"/>
              <w:ind w:left="104" w:right="8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综合运用知识能力较强，</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5"/>
                <w:sz w:val="21"/>
                <w:szCs w:val="21"/>
              </w:rPr>
              <w:t>能较系统地运用有关理</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论与知识解决实际问题；</w:t>
            </w:r>
          </w:p>
        </w:tc>
        <w:tc>
          <w:tcPr>
            <w:tcW w:w="2604" w:type="dxa"/>
            <w:tcBorders>
              <w:right w:val="single" w:color="000000" w:sz="6" w:space="0"/>
            </w:tcBorders>
            <w:vAlign w:val="top"/>
          </w:tcPr>
          <w:p>
            <w:pPr>
              <w:spacing w:before="89" w:line="230" w:lineRule="auto"/>
              <w:ind w:left="107"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综合运用知识能力一般，</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6"/>
                <w:sz w:val="21"/>
                <w:szCs w:val="21"/>
              </w:rPr>
              <w:t>基本能运用有关理论与知</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4"/>
                <w:sz w:val="21"/>
                <w:szCs w:val="21"/>
              </w:rPr>
              <w:t>识解决实际问题；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122"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p>
          <w:p>
            <w:pPr>
              <w:spacing w:before="99" w:line="180" w:lineRule="auto"/>
              <w:ind w:firstLine="14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研究方案的设计能力</w:t>
            </w:r>
          </w:p>
        </w:tc>
        <w:tc>
          <w:tcPr>
            <w:tcW w:w="647" w:type="dxa"/>
            <w:vAlign w:val="top"/>
          </w:tcPr>
          <w:p>
            <w:pPr>
              <w:spacing w:before="299"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0.</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2"/>
                <w:sz w:val="21"/>
                <w:szCs w:val="21"/>
              </w:rPr>
              <w:t>3</w:t>
            </w:r>
          </w:p>
        </w:tc>
        <w:tc>
          <w:tcPr>
            <w:tcW w:w="2473" w:type="dxa"/>
            <w:vAlign w:val="top"/>
          </w:tcPr>
          <w:p>
            <w:pPr>
              <w:spacing w:before="110" w:line="220" w:lineRule="auto"/>
              <w:ind w:left="106" w:right="25"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研究方案设计科学、合理，</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4"/>
                <w:sz w:val="21"/>
                <w:szCs w:val="21"/>
              </w:rPr>
              <w:t>较好体现专业培养目标；</w:t>
            </w:r>
          </w:p>
        </w:tc>
        <w:tc>
          <w:tcPr>
            <w:tcW w:w="2604" w:type="dxa"/>
            <w:tcBorders>
              <w:right w:val="single" w:color="000000" w:sz="6" w:space="0"/>
            </w:tcBorders>
            <w:vAlign w:val="top"/>
          </w:tcPr>
          <w:p>
            <w:pPr>
              <w:spacing w:before="110" w:line="220" w:lineRule="auto"/>
              <w:ind w:left="108" w:right="1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研究方案设计基本合理，</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4"/>
                <w:sz w:val="21"/>
                <w:szCs w:val="21"/>
              </w:rPr>
              <w:t>基本体现专业培养目标；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123"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p>
          <w:p>
            <w:pPr>
              <w:spacing w:before="102" w:line="180" w:lineRule="auto"/>
              <w:ind w:firstLine="14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研究方法和手段的运</w:t>
            </w:r>
          </w:p>
          <w:p>
            <w:pPr>
              <w:spacing w:before="88" w:line="180" w:lineRule="auto"/>
              <w:ind w:firstLine="7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用能力</w:t>
            </w:r>
          </w:p>
        </w:tc>
        <w:tc>
          <w:tcPr>
            <w:tcW w:w="647" w:type="dxa"/>
            <w:vAlign w:val="top"/>
          </w:tcPr>
          <w:p>
            <w:pPr>
              <w:spacing w:line="252" w:lineRule="auto"/>
              <w:rPr>
                <w:rFonts w:ascii="Malgun Gothic"/>
                <w:sz w:val="21"/>
              </w:rPr>
            </w:pPr>
          </w:p>
          <w:p>
            <w:pPr>
              <w:spacing w:before="7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271" w:line="261" w:lineRule="auto"/>
              <w:ind w:left="111" w:right="100" w:hanging="7"/>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研究方法较新，</w:t>
            </w:r>
            <w:r>
              <w:rPr>
                <w:rFonts w:ascii="方正书宋简体" w:hAnsi="方正书宋简体" w:eastAsia="方正书宋简体" w:cs="方正书宋简体"/>
                <w:spacing w:val="50"/>
                <w:w w:val="101"/>
                <w:sz w:val="21"/>
                <w:szCs w:val="21"/>
              </w:rPr>
              <w:t xml:space="preserve"> </w:t>
            </w:r>
            <w:r>
              <w:rPr>
                <w:rFonts w:ascii="方正书宋简体" w:hAnsi="方正书宋简体" w:eastAsia="方正书宋简体" w:cs="方正书宋简体"/>
                <w:spacing w:val="-14"/>
                <w:sz w:val="21"/>
                <w:szCs w:val="21"/>
              </w:rPr>
              <w:t>研究手段</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多样，有创新；</w:t>
            </w:r>
          </w:p>
        </w:tc>
        <w:tc>
          <w:tcPr>
            <w:tcW w:w="2604" w:type="dxa"/>
            <w:tcBorders>
              <w:right w:val="single" w:color="000000" w:sz="6" w:space="0"/>
            </w:tcBorders>
            <w:vAlign w:val="top"/>
          </w:tcPr>
          <w:p>
            <w:pPr>
              <w:spacing w:before="270" w:line="263" w:lineRule="auto"/>
              <w:ind w:left="110" w:right="89"/>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运用了本学科的基本研究方</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4"/>
                <w:sz w:val="21"/>
                <w:szCs w:val="21"/>
              </w:rPr>
              <w:t>法，研究手段有一定创新；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rPr>
        <w:tc>
          <w:tcPr>
            <w:tcW w:w="811" w:type="dxa"/>
            <w:vMerge w:val="continue"/>
            <w:tcBorders>
              <w:top w:val="nil"/>
              <w:left w:val="single" w:color="000000" w:sz="6" w:space="0"/>
            </w:tcBorders>
            <w:vAlign w:val="top"/>
          </w:tcPr>
          <w:p>
            <w:pPr>
              <w:rPr>
                <w:rFonts w:ascii="Malgun Gothic"/>
                <w:sz w:val="21"/>
              </w:rPr>
            </w:pPr>
          </w:p>
        </w:tc>
        <w:tc>
          <w:tcPr>
            <w:tcW w:w="2199" w:type="dxa"/>
            <w:vAlign w:val="top"/>
          </w:tcPr>
          <w:p>
            <w:pPr>
              <w:spacing w:before="122"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2.5</w:t>
            </w:r>
          </w:p>
          <w:p>
            <w:pPr>
              <w:spacing w:before="102" w:line="180" w:lineRule="auto"/>
              <w:ind w:firstLine="4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外文应用能力</w:t>
            </w:r>
          </w:p>
        </w:tc>
        <w:tc>
          <w:tcPr>
            <w:tcW w:w="647" w:type="dxa"/>
            <w:vAlign w:val="top"/>
          </w:tcPr>
          <w:p>
            <w:pPr>
              <w:spacing w:before="302"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3" w:type="dxa"/>
            <w:vAlign w:val="top"/>
          </w:tcPr>
          <w:p>
            <w:pPr>
              <w:spacing w:before="108" w:line="251" w:lineRule="auto"/>
              <w:ind w:left="106" w:right="87"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能熟练地运用外文工具，</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5"/>
                <w:sz w:val="21"/>
                <w:szCs w:val="21"/>
              </w:rPr>
              <w:t>有外文参考文献；</w:t>
            </w:r>
          </w:p>
        </w:tc>
        <w:tc>
          <w:tcPr>
            <w:tcW w:w="2604" w:type="dxa"/>
            <w:tcBorders>
              <w:right w:val="single" w:color="000000" w:sz="6" w:space="0"/>
            </w:tcBorders>
            <w:vAlign w:val="top"/>
          </w:tcPr>
          <w:p>
            <w:pPr>
              <w:spacing w:before="108" w:line="251" w:lineRule="auto"/>
              <w:ind w:left="109" w:right="26"/>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基本能熟练地运用外文工</w:t>
            </w:r>
            <w:r>
              <w:rPr>
                <w:rFonts w:ascii="方正书宋简体" w:hAnsi="方正书宋简体" w:eastAsia="方正书宋简体" w:cs="方正书宋简体"/>
                <w:spacing w:val="1"/>
                <w:w w:val="103"/>
                <w:sz w:val="21"/>
                <w:szCs w:val="21"/>
              </w:rPr>
              <w:t xml:space="preserve">  </w:t>
            </w:r>
            <w:r>
              <w:rPr>
                <w:rFonts w:ascii="方正书宋简体" w:hAnsi="方正书宋简体" w:eastAsia="方正书宋简体" w:cs="方正书宋简体"/>
                <w:spacing w:val="-21"/>
                <w:w w:val="99"/>
                <w:sz w:val="21"/>
                <w:szCs w:val="21"/>
              </w:rPr>
              <w:t>具，有一定的外文参考文献；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11" w:type="dxa"/>
            <w:vMerge w:val="restart"/>
            <w:tcBorders>
              <w:left w:val="single" w:color="000000" w:sz="6" w:space="0"/>
              <w:bottom w:val="nil"/>
            </w:tcBorders>
            <w:vAlign w:val="top"/>
          </w:tcPr>
          <w:p>
            <w:pPr>
              <w:spacing w:line="324" w:lineRule="auto"/>
              <w:rPr>
                <w:rFonts w:ascii="Malgun Gothic"/>
                <w:sz w:val="21"/>
              </w:rPr>
            </w:pPr>
          </w:p>
          <w:p>
            <w:pPr>
              <w:spacing w:before="76"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成果</w:t>
            </w:r>
          </w:p>
          <w:p>
            <w:pPr>
              <w:spacing w:before="130"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w:t>
            </w:r>
          </w:p>
          <w:p>
            <w:pPr>
              <w:spacing w:before="160"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199" w:type="dxa"/>
            <w:vAlign w:val="top"/>
          </w:tcPr>
          <w:p>
            <w:pPr>
              <w:spacing w:before="260" w:line="323" w:lineRule="exact"/>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1"/>
                <w:sz w:val="21"/>
                <w:szCs w:val="21"/>
              </w:rPr>
              <w:t>3.1</w:t>
            </w:r>
          </w:p>
          <w:p>
            <w:pPr>
              <w:spacing w:line="204" w:lineRule="auto"/>
              <w:ind w:firstLine="6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文题相符</w:t>
            </w:r>
          </w:p>
        </w:tc>
        <w:tc>
          <w:tcPr>
            <w:tcW w:w="647" w:type="dxa"/>
            <w:vAlign w:val="top"/>
          </w:tcPr>
          <w:p>
            <w:pPr>
              <w:rPr>
                <w:rFonts w:ascii="Malgun Gothic"/>
                <w:sz w:val="21"/>
              </w:rPr>
            </w:pPr>
          </w:p>
          <w:p>
            <w:pPr>
              <w:spacing w:before="7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vAlign w:val="top"/>
          </w:tcPr>
          <w:p>
            <w:pPr>
              <w:spacing w:before="94" w:line="230" w:lineRule="auto"/>
              <w:ind w:left="106"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毕业论文内容与题目完</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4"/>
                <w:sz w:val="21"/>
                <w:szCs w:val="21"/>
              </w:rPr>
              <w:t>全相符，</w:t>
            </w:r>
            <w:r>
              <w:rPr>
                <w:rFonts w:ascii="方正书宋简体" w:hAnsi="方正书宋简体" w:eastAsia="方正书宋简体" w:cs="方正书宋简体"/>
                <w:spacing w:val="48"/>
                <w:sz w:val="21"/>
                <w:szCs w:val="21"/>
              </w:rPr>
              <w:t xml:space="preserve"> </w:t>
            </w:r>
            <w:r>
              <w:rPr>
                <w:rFonts w:ascii="方正书宋简体" w:hAnsi="方正书宋简体" w:eastAsia="方正书宋简体" w:cs="方正书宋简体"/>
                <w:spacing w:val="-14"/>
                <w:sz w:val="21"/>
                <w:szCs w:val="21"/>
              </w:rPr>
              <w:t>逻辑性与相关性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强；</w:t>
            </w:r>
          </w:p>
        </w:tc>
        <w:tc>
          <w:tcPr>
            <w:tcW w:w="2604" w:type="dxa"/>
            <w:tcBorders>
              <w:right w:val="single" w:color="000000" w:sz="6" w:space="0"/>
            </w:tcBorders>
            <w:vAlign w:val="top"/>
          </w:tcPr>
          <w:p>
            <w:pPr>
              <w:spacing w:before="94" w:line="230" w:lineRule="auto"/>
              <w:ind w:left="110"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毕业论文内容与题目基本</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6"/>
                <w:sz w:val="21"/>
                <w:szCs w:val="21"/>
              </w:rPr>
              <w:t>相符，有一定的逻辑性与</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8"/>
                <w:sz w:val="21"/>
                <w:szCs w:val="21"/>
              </w:rPr>
              <w:t>相关性；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1" w:hRule="atLeast"/>
        </w:trPr>
        <w:tc>
          <w:tcPr>
            <w:tcW w:w="811" w:type="dxa"/>
            <w:vMerge w:val="continue"/>
            <w:tcBorders>
              <w:top w:val="nil"/>
              <w:left w:val="single" w:color="000000" w:sz="6" w:space="0"/>
              <w:bottom w:val="single" w:color="000000" w:sz="6" w:space="0"/>
            </w:tcBorders>
            <w:vAlign w:val="top"/>
          </w:tcPr>
          <w:p>
            <w:pPr>
              <w:rPr>
                <w:rFonts w:ascii="Malgun Gothic"/>
                <w:sz w:val="21"/>
              </w:rPr>
            </w:pPr>
          </w:p>
        </w:tc>
        <w:tc>
          <w:tcPr>
            <w:tcW w:w="2199" w:type="dxa"/>
            <w:tcBorders>
              <w:bottom w:val="single" w:color="000000" w:sz="6" w:space="0"/>
            </w:tcBorders>
            <w:vAlign w:val="top"/>
          </w:tcPr>
          <w:p>
            <w:pPr>
              <w:spacing w:before="261" w:line="324" w:lineRule="exact"/>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3.2</w:t>
            </w:r>
          </w:p>
          <w:p>
            <w:pPr>
              <w:spacing w:line="204" w:lineRule="auto"/>
              <w:ind w:firstLine="67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写作水平</w:t>
            </w:r>
          </w:p>
        </w:tc>
        <w:tc>
          <w:tcPr>
            <w:tcW w:w="647" w:type="dxa"/>
            <w:tcBorders>
              <w:bottom w:val="single" w:color="000000" w:sz="6" w:space="0"/>
            </w:tcBorders>
            <w:vAlign w:val="top"/>
          </w:tcPr>
          <w:p>
            <w:pPr>
              <w:spacing w:line="241" w:lineRule="auto"/>
              <w:rPr>
                <w:rFonts w:ascii="Malgun Gothic"/>
                <w:sz w:val="21"/>
              </w:rPr>
            </w:pPr>
          </w:p>
          <w:p>
            <w:pPr>
              <w:spacing w:before="7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tcBorders>
              <w:bottom w:val="single" w:color="000000" w:sz="6" w:space="0"/>
            </w:tcBorders>
            <w:vAlign w:val="top"/>
          </w:tcPr>
          <w:p>
            <w:pPr>
              <w:spacing w:before="248" w:line="263" w:lineRule="auto"/>
              <w:ind w:left="106"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毕业论文条理清楚，</w:t>
            </w:r>
            <w:r>
              <w:rPr>
                <w:rFonts w:ascii="方正书宋简体" w:hAnsi="方正书宋简体" w:eastAsia="方正书宋简体" w:cs="方正书宋简体"/>
                <w:spacing w:val="48"/>
                <w:sz w:val="21"/>
                <w:szCs w:val="21"/>
              </w:rPr>
              <w:t xml:space="preserve"> </w:t>
            </w:r>
            <w:r>
              <w:rPr>
                <w:rFonts w:ascii="方正书宋简体" w:hAnsi="方正书宋简体" w:eastAsia="方正书宋简体" w:cs="方正书宋简体"/>
                <w:spacing w:val="-14"/>
                <w:sz w:val="21"/>
                <w:szCs w:val="21"/>
              </w:rPr>
              <w:t>层次</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分明，文笔流畅；</w:t>
            </w:r>
          </w:p>
        </w:tc>
        <w:tc>
          <w:tcPr>
            <w:tcW w:w="2604" w:type="dxa"/>
            <w:tcBorders>
              <w:bottom w:val="single" w:color="000000" w:sz="6" w:space="0"/>
              <w:right w:val="single" w:color="000000" w:sz="6" w:space="0"/>
            </w:tcBorders>
            <w:vAlign w:val="top"/>
          </w:tcPr>
          <w:p>
            <w:pPr>
              <w:spacing w:before="92" w:line="231" w:lineRule="auto"/>
              <w:ind w:left="111" w:right="103"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毕业论文条理较清楚，层</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5"/>
                <w:sz w:val="21"/>
                <w:szCs w:val="21"/>
              </w:rPr>
              <w:t>次较分明，没有语法错误</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7"/>
                <w:sz w:val="21"/>
                <w:szCs w:val="21"/>
              </w:rPr>
              <w:t>与错别字；</w:t>
            </w:r>
          </w:p>
        </w:tc>
      </w:tr>
    </w:tbl>
    <w:p>
      <w:pPr>
        <w:spacing w:before="309"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302</w:t>
      </w:r>
    </w:p>
    <w:p>
      <w:pPr>
        <w:sectPr>
          <w:footerReference r:id="rId306"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2199"/>
        <w:gridCol w:w="647"/>
        <w:gridCol w:w="2473"/>
        <w:gridCol w:w="2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11" w:type="dxa"/>
            <w:vMerge w:val="restart"/>
            <w:tcBorders>
              <w:top w:val="single" w:color="000000" w:sz="6" w:space="0"/>
              <w:left w:val="single" w:color="000000" w:sz="6" w:space="0"/>
              <w:bottom w:val="nil"/>
            </w:tcBorders>
            <w:vAlign w:val="top"/>
          </w:tcPr>
          <w:p>
            <w:pPr>
              <w:spacing w:before="121" w:line="202" w:lineRule="auto"/>
              <w:ind w:firstLine="19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199" w:type="dxa"/>
            <w:vMerge w:val="restart"/>
            <w:tcBorders>
              <w:top w:val="single" w:color="000000" w:sz="6" w:space="0"/>
              <w:bottom w:val="nil"/>
            </w:tcBorders>
            <w:vAlign w:val="top"/>
          </w:tcPr>
          <w:p>
            <w:pPr>
              <w:spacing w:before="274" w:line="180" w:lineRule="auto"/>
              <w:ind w:firstLine="68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647" w:type="dxa"/>
            <w:vMerge w:val="restart"/>
            <w:tcBorders>
              <w:top w:val="single" w:color="000000" w:sz="6" w:space="0"/>
              <w:bottom w:val="nil"/>
            </w:tcBorders>
            <w:vAlign w:val="top"/>
          </w:tcPr>
          <w:p>
            <w:pPr>
              <w:spacing w:before="122" w:line="202" w:lineRule="auto"/>
              <w:ind w:left="112" w:right="109" w:firstLine="2"/>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参考</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4"/>
                <w:sz w:val="21"/>
                <w:szCs w:val="21"/>
              </w:rPr>
              <w:t>权重</w:t>
            </w:r>
          </w:p>
        </w:tc>
        <w:tc>
          <w:tcPr>
            <w:tcW w:w="5077" w:type="dxa"/>
            <w:gridSpan w:val="2"/>
            <w:tcBorders>
              <w:top w:val="single" w:color="000000" w:sz="6" w:space="0"/>
              <w:right w:val="single" w:color="000000" w:sz="6" w:space="0"/>
            </w:tcBorders>
            <w:vAlign w:val="top"/>
          </w:tcPr>
          <w:p>
            <w:pPr>
              <w:spacing w:before="82" w:line="180" w:lineRule="auto"/>
              <w:ind w:firstLine="211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11" w:type="dxa"/>
            <w:vMerge w:val="continue"/>
            <w:tcBorders>
              <w:top w:val="nil"/>
              <w:left w:val="single" w:color="000000" w:sz="6" w:space="0"/>
            </w:tcBorders>
            <w:vAlign w:val="top"/>
          </w:tcPr>
          <w:p>
            <w:pPr>
              <w:rPr>
                <w:rFonts w:ascii="Malgun Gothic"/>
                <w:sz w:val="21"/>
              </w:rPr>
            </w:pPr>
          </w:p>
        </w:tc>
        <w:tc>
          <w:tcPr>
            <w:tcW w:w="2199" w:type="dxa"/>
            <w:vMerge w:val="continue"/>
            <w:tcBorders>
              <w:top w:val="nil"/>
            </w:tcBorders>
            <w:vAlign w:val="top"/>
          </w:tcPr>
          <w:p>
            <w:pPr>
              <w:rPr>
                <w:rFonts w:ascii="Malgun Gothic"/>
                <w:sz w:val="21"/>
              </w:rPr>
            </w:pPr>
          </w:p>
        </w:tc>
        <w:tc>
          <w:tcPr>
            <w:tcW w:w="647" w:type="dxa"/>
            <w:vMerge w:val="continue"/>
            <w:tcBorders>
              <w:top w:val="nil"/>
            </w:tcBorders>
            <w:vAlign w:val="top"/>
          </w:tcPr>
          <w:p>
            <w:pPr>
              <w:rPr>
                <w:rFonts w:ascii="Malgun Gothic"/>
                <w:sz w:val="21"/>
              </w:rPr>
            </w:pPr>
          </w:p>
        </w:tc>
        <w:tc>
          <w:tcPr>
            <w:tcW w:w="2473" w:type="dxa"/>
            <w:vAlign w:val="top"/>
          </w:tcPr>
          <w:p>
            <w:pPr>
              <w:spacing w:before="110" w:line="213" w:lineRule="exact"/>
              <w:ind w:firstLine="1166"/>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604" w:type="dxa"/>
            <w:tcBorders>
              <w:right w:val="single" w:color="000000" w:sz="6" w:space="0"/>
            </w:tcBorders>
            <w:vAlign w:val="top"/>
          </w:tcPr>
          <w:p>
            <w:pPr>
              <w:spacing w:before="106" w:line="216" w:lineRule="exact"/>
              <w:ind w:firstLine="1231"/>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811" w:type="dxa"/>
            <w:vMerge w:val="restart"/>
            <w:tcBorders>
              <w:left w:val="single" w:color="000000" w:sz="6" w:space="0"/>
              <w:bottom w:val="nil"/>
            </w:tcBorders>
            <w:vAlign w:val="top"/>
          </w:tcPr>
          <w:p>
            <w:pPr>
              <w:rPr>
                <w:rFonts w:ascii="Malgun Gothic"/>
                <w:sz w:val="21"/>
              </w:rPr>
            </w:pPr>
          </w:p>
        </w:tc>
        <w:tc>
          <w:tcPr>
            <w:tcW w:w="2199" w:type="dxa"/>
            <w:vAlign w:val="top"/>
          </w:tcPr>
          <w:p>
            <w:pPr>
              <w:spacing w:before="248" w:line="324" w:lineRule="exact"/>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3.3</w:t>
            </w:r>
          </w:p>
          <w:p>
            <w:pPr>
              <w:spacing w:line="204" w:lineRule="auto"/>
              <w:ind w:firstLine="67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写作规范</w:t>
            </w:r>
          </w:p>
        </w:tc>
        <w:tc>
          <w:tcPr>
            <w:tcW w:w="647" w:type="dxa"/>
            <w:vAlign w:val="top"/>
          </w:tcPr>
          <w:p>
            <w:pPr>
              <w:spacing w:before="427"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83" w:line="230" w:lineRule="auto"/>
              <w:ind w:right="98"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毕业论文写作完全符合</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4"/>
                <w:sz w:val="21"/>
                <w:szCs w:val="21"/>
              </w:rPr>
              <w:t>《吉首大学毕业论文（设</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
                <w:sz w:val="21"/>
                <w:szCs w:val="21"/>
              </w:rPr>
              <w:t>计）写作基本规范》；</w:t>
            </w:r>
          </w:p>
        </w:tc>
        <w:tc>
          <w:tcPr>
            <w:tcW w:w="2604" w:type="dxa"/>
            <w:tcBorders>
              <w:right w:val="single" w:color="000000" w:sz="6" w:space="0"/>
            </w:tcBorders>
            <w:vAlign w:val="top"/>
          </w:tcPr>
          <w:p>
            <w:pPr>
              <w:spacing w:before="83" w:line="230" w:lineRule="auto"/>
              <w:ind w:right="102"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毕业</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9"/>
                <w:sz w:val="21"/>
                <w:szCs w:val="21"/>
              </w:rPr>
              <w:t>论文写作基</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9"/>
                <w:sz w:val="21"/>
                <w:szCs w:val="21"/>
              </w:rPr>
              <w:t>本符合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6"/>
                <w:sz w:val="21"/>
                <w:szCs w:val="21"/>
              </w:rPr>
              <w:t>《吉首大学毕业论文（设</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计）写作基本规范》；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251" w:line="325" w:lineRule="exact"/>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3.4</w:t>
            </w:r>
          </w:p>
          <w:p>
            <w:pPr>
              <w:spacing w:line="204" w:lineRule="auto"/>
              <w:ind w:firstLine="88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篇幅</w:t>
            </w:r>
          </w:p>
        </w:tc>
        <w:tc>
          <w:tcPr>
            <w:tcW w:w="647" w:type="dxa"/>
            <w:vAlign w:val="top"/>
          </w:tcPr>
          <w:p>
            <w:pPr>
              <w:spacing w:before="429"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3" w:type="dxa"/>
            <w:vAlign w:val="top"/>
          </w:tcPr>
          <w:p>
            <w:pPr>
              <w:spacing w:before="85" w:line="230" w:lineRule="auto"/>
              <w:ind w:right="98"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毕业论文篇幅完全符合</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4"/>
                <w:sz w:val="21"/>
                <w:szCs w:val="21"/>
              </w:rPr>
              <w:t>《吉首大学毕业论文（设</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7"/>
                <w:sz w:val="21"/>
                <w:szCs w:val="21"/>
              </w:rPr>
              <w:t>计）管理规定》要求；</w:t>
            </w:r>
          </w:p>
        </w:tc>
        <w:tc>
          <w:tcPr>
            <w:tcW w:w="2604" w:type="dxa"/>
            <w:tcBorders>
              <w:right w:val="single" w:color="000000" w:sz="6" w:space="0"/>
            </w:tcBorders>
            <w:vAlign w:val="top"/>
          </w:tcPr>
          <w:p>
            <w:pPr>
              <w:spacing w:before="85" w:line="230" w:lineRule="auto"/>
              <w:ind w:right="102"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毕业</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9"/>
                <w:sz w:val="21"/>
                <w:szCs w:val="21"/>
              </w:rPr>
              <w:t>论文篇幅基</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9"/>
                <w:sz w:val="21"/>
                <w:szCs w:val="21"/>
              </w:rPr>
              <w:t>本符合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6"/>
                <w:sz w:val="21"/>
                <w:szCs w:val="21"/>
              </w:rPr>
              <w:t>《吉首大学毕业论文（设</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7"/>
                <w:sz w:val="21"/>
                <w:szCs w:val="21"/>
              </w:rPr>
              <w:t>计）管理规定》要求；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811" w:type="dxa"/>
            <w:vMerge w:val="continue"/>
            <w:tcBorders>
              <w:top w:val="nil"/>
              <w:left w:val="single" w:color="000000" w:sz="6" w:space="0"/>
            </w:tcBorders>
            <w:vAlign w:val="top"/>
          </w:tcPr>
          <w:p>
            <w:pPr>
              <w:rPr>
                <w:rFonts w:ascii="Malgun Gothic"/>
                <w:sz w:val="21"/>
              </w:rPr>
            </w:pPr>
          </w:p>
        </w:tc>
        <w:tc>
          <w:tcPr>
            <w:tcW w:w="2199" w:type="dxa"/>
            <w:vAlign w:val="top"/>
          </w:tcPr>
          <w:p>
            <w:pPr>
              <w:spacing w:before="116" w:line="180" w:lineRule="auto"/>
              <w:ind w:firstLine="96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3.5</w:t>
            </w:r>
          </w:p>
          <w:p>
            <w:pPr>
              <w:spacing w:before="105" w:line="180" w:lineRule="auto"/>
              <w:ind w:firstLine="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成果的理论或实际价</w:t>
            </w:r>
          </w:p>
          <w:p>
            <w:pPr>
              <w:spacing w:before="83" w:line="180" w:lineRule="auto"/>
              <w:ind w:firstLine="98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值</w:t>
            </w:r>
          </w:p>
        </w:tc>
        <w:tc>
          <w:tcPr>
            <w:tcW w:w="647" w:type="dxa"/>
            <w:vAlign w:val="top"/>
          </w:tcPr>
          <w:p>
            <w:pPr>
              <w:spacing w:line="249" w:lineRule="auto"/>
              <w:rPr>
                <w:rFonts w:ascii="Malgun Gothic"/>
                <w:sz w:val="21"/>
              </w:rPr>
            </w:pPr>
          </w:p>
          <w:p>
            <w:pPr>
              <w:spacing w:before="76"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264" w:line="251" w:lineRule="auto"/>
              <w:ind w:left="108" w:right="98"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毕业论文有较高理论或</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2"/>
                <w:sz w:val="21"/>
                <w:szCs w:val="21"/>
              </w:rPr>
              <w:t>实际价值</w:t>
            </w:r>
          </w:p>
        </w:tc>
        <w:tc>
          <w:tcPr>
            <w:tcW w:w="2604" w:type="dxa"/>
            <w:tcBorders>
              <w:right w:val="single" w:color="000000" w:sz="6" w:space="0"/>
            </w:tcBorders>
            <w:vAlign w:val="top"/>
          </w:tcPr>
          <w:p>
            <w:pPr>
              <w:spacing w:before="264" w:line="251" w:lineRule="auto"/>
              <w:ind w:left="112" w:right="103"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毕业论文有一定的理论或</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实际价值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811" w:type="dxa"/>
            <w:vMerge w:val="restart"/>
            <w:tcBorders>
              <w:left w:val="single" w:color="000000" w:sz="6" w:space="0"/>
              <w:bottom w:val="nil"/>
            </w:tcBorders>
            <w:vAlign w:val="top"/>
          </w:tcPr>
          <w:p>
            <w:pPr>
              <w:spacing w:line="267" w:lineRule="auto"/>
              <w:rPr>
                <w:rFonts w:ascii="Malgun Gothic"/>
                <w:sz w:val="21"/>
              </w:rPr>
            </w:pPr>
          </w:p>
          <w:p>
            <w:pPr>
              <w:spacing w:line="267" w:lineRule="auto"/>
              <w:rPr>
                <w:rFonts w:ascii="Malgun Gothic"/>
                <w:sz w:val="21"/>
              </w:rPr>
            </w:pPr>
          </w:p>
          <w:p>
            <w:pPr>
              <w:spacing w:before="75"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评阅</w:t>
            </w:r>
          </w:p>
          <w:p>
            <w:pPr>
              <w:spacing w:before="129" w:line="180" w:lineRule="auto"/>
              <w:ind w:firstLine="29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31"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答辩</w:t>
            </w:r>
          </w:p>
          <w:p>
            <w:pPr>
              <w:spacing w:before="163"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199" w:type="dxa"/>
            <w:vAlign w:val="top"/>
          </w:tcPr>
          <w:p>
            <w:pPr>
              <w:spacing w:before="120"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p>
          <w:p>
            <w:pPr>
              <w:spacing w:before="102" w:line="180" w:lineRule="auto"/>
              <w:ind w:firstLine="4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指导教师评语</w:t>
            </w:r>
          </w:p>
        </w:tc>
        <w:tc>
          <w:tcPr>
            <w:tcW w:w="647" w:type="dxa"/>
            <w:vAlign w:val="top"/>
          </w:tcPr>
          <w:p>
            <w:pPr>
              <w:spacing w:before="298"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vAlign w:val="top"/>
          </w:tcPr>
          <w:p>
            <w:pPr>
              <w:spacing w:before="261" w:line="193"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指导教师评语具体详实；</w:t>
            </w:r>
          </w:p>
        </w:tc>
        <w:tc>
          <w:tcPr>
            <w:tcW w:w="2604" w:type="dxa"/>
            <w:tcBorders>
              <w:right w:val="single" w:color="000000" w:sz="6" w:space="0"/>
            </w:tcBorders>
            <w:vAlign w:val="top"/>
          </w:tcPr>
          <w:p>
            <w:pPr>
              <w:spacing w:before="106" w:line="221" w:lineRule="auto"/>
              <w:ind w:left="112" w:right="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sz w:val="21"/>
                <w:szCs w:val="21"/>
              </w:rPr>
              <w:t>指导</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20"/>
                <w:sz w:val="21"/>
                <w:szCs w:val="21"/>
              </w:rPr>
              <w:t>教师评语较</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20"/>
                <w:sz w:val="21"/>
                <w:szCs w:val="21"/>
              </w:rPr>
              <w:t>具体详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1"/>
                <w:sz w:val="21"/>
                <w:szCs w:val="21"/>
              </w:rPr>
              <w:t>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123"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p>
          <w:p>
            <w:pPr>
              <w:spacing w:before="102" w:line="180" w:lineRule="auto"/>
              <w:ind w:firstLine="3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论文评阅人评阅</w:t>
            </w:r>
          </w:p>
        </w:tc>
        <w:tc>
          <w:tcPr>
            <w:tcW w:w="647" w:type="dxa"/>
            <w:vAlign w:val="top"/>
          </w:tcPr>
          <w:p>
            <w:pPr>
              <w:spacing w:before="300"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111" w:line="220" w:lineRule="auto"/>
              <w:ind w:left="107" w:right="98"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论文评阅人评阅意见准</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8"/>
                <w:sz w:val="21"/>
                <w:szCs w:val="21"/>
              </w:rPr>
              <w:t>确中肯；</w:t>
            </w:r>
          </w:p>
        </w:tc>
        <w:tc>
          <w:tcPr>
            <w:tcW w:w="2604" w:type="dxa"/>
            <w:tcBorders>
              <w:right w:val="single" w:color="000000" w:sz="6" w:space="0"/>
            </w:tcBorders>
            <w:vAlign w:val="top"/>
          </w:tcPr>
          <w:p>
            <w:pPr>
              <w:spacing w:before="111" w:line="220" w:lineRule="auto"/>
              <w:ind w:left="111" w:right="10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论文评阅人评阅意见较准</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7"/>
                <w:sz w:val="21"/>
                <w:szCs w:val="21"/>
              </w:rPr>
              <w:t>确较中肯；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811" w:type="dxa"/>
            <w:vMerge w:val="continue"/>
            <w:tcBorders>
              <w:top w:val="nil"/>
              <w:left w:val="single" w:color="000000" w:sz="6" w:space="0"/>
              <w:bottom w:val="nil"/>
            </w:tcBorders>
            <w:vAlign w:val="top"/>
          </w:tcPr>
          <w:p>
            <w:pPr>
              <w:rPr>
                <w:rFonts w:ascii="Malgun Gothic"/>
                <w:sz w:val="21"/>
              </w:rPr>
            </w:pPr>
          </w:p>
        </w:tc>
        <w:tc>
          <w:tcPr>
            <w:tcW w:w="2199" w:type="dxa"/>
            <w:vAlign w:val="top"/>
          </w:tcPr>
          <w:p>
            <w:pPr>
              <w:spacing w:before="125"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p>
          <w:p>
            <w:pPr>
              <w:spacing w:before="100" w:line="180" w:lineRule="auto"/>
              <w:ind w:firstLine="3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答辩委员会意见</w:t>
            </w:r>
          </w:p>
        </w:tc>
        <w:tc>
          <w:tcPr>
            <w:tcW w:w="647" w:type="dxa"/>
            <w:vAlign w:val="top"/>
          </w:tcPr>
          <w:p>
            <w:pPr>
              <w:spacing w:before="303"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3" w:type="dxa"/>
            <w:vAlign w:val="top"/>
          </w:tcPr>
          <w:p>
            <w:pPr>
              <w:spacing w:before="266" w:line="193"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答辩委员会意见一致；</w:t>
            </w:r>
          </w:p>
        </w:tc>
        <w:tc>
          <w:tcPr>
            <w:tcW w:w="2604" w:type="dxa"/>
            <w:tcBorders>
              <w:right w:val="single" w:color="000000" w:sz="6" w:space="0"/>
            </w:tcBorders>
            <w:vAlign w:val="top"/>
          </w:tcPr>
          <w:p>
            <w:pPr>
              <w:spacing w:before="114" w:line="220" w:lineRule="auto"/>
              <w:ind w:left="108" w:right="102"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sz w:val="21"/>
                <w:szCs w:val="21"/>
              </w:rPr>
              <w:t>答辩</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20"/>
                <w:sz w:val="21"/>
                <w:szCs w:val="21"/>
              </w:rPr>
              <w:t>委员会意见</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20"/>
                <w:sz w:val="21"/>
                <w:szCs w:val="21"/>
              </w:rPr>
              <w:t>基本一</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811" w:type="dxa"/>
            <w:vMerge w:val="continue"/>
            <w:tcBorders>
              <w:top w:val="nil"/>
              <w:left w:val="single" w:color="000000" w:sz="6" w:space="0"/>
              <w:bottom w:val="single" w:color="000000" w:sz="6" w:space="0"/>
            </w:tcBorders>
            <w:vAlign w:val="top"/>
          </w:tcPr>
          <w:p>
            <w:pPr>
              <w:rPr>
                <w:rFonts w:ascii="Malgun Gothic"/>
                <w:sz w:val="21"/>
              </w:rPr>
            </w:pPr>
          </w:p>
        </w:tc>
        <w:tc>
          <w:tcPr>
            <w:tcW w:w="2199" w:type="dxa"/>
            <w:tcBorders>
              <w:bottom w:val="single" w:color="000000" w:sz="6" w:space="0"/>
            </w:tcBorders>
            <w:vAlign w:val="top"/>
          </w:tcPr>
          <w:p>
            <w:pPr>
              <w:spacing w:before="128" w:line="323" w:lineRule="exact"/>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1"/>
                <w:sz w:val="21"/>
                <w:szCs w:val="21"/>
              </w:rPr>
              <w:t>4.4</w:t>
            </w:r>
          </w:p>
          <w:p>
            <w:pPr>
              <w:spacing w:line="204" w:lineRule="auto"/>
              <w:ind w:firstLine="6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w:t>
            </w:r>
          </w:p>
        </w:tc>
        <w:tc>
          <w:tcPr>
            <w:tcW w:w="647" w:type="dxa"/>
            <w:tcBorders>
              <w:bottom w:val="single" w:color="000000" w:sz="6" w:space="0"/>
            </w:tcBorders>
            <w:vAlign w:val="top"/>
          </w:tcPr>
          <w:p>
            <w:pPr>
              <w:spacing w:before="305"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3" w:type="dxa"/>
            <w:tcBorders>
              <w:bottom w:val="single" w:color="000000" w:sz="6" w:space="0"/>
            </w:tcBorders>
            <w:vAlign w:val="top"/>
          </w:tcPr>
          <w:p>
            <w:pPr>
              <w:spacing w:before="273"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成绩评定恰当</w:t>
            </w:r>
          </w:p>
        </w:tc>
        <w:tc>
          <w:tcPr>
            <w:tcW w:w="2604" w:type="dxa"/>
            <w:tcBorders>
              <w:bottom w:val="single" w:color="000000" w:sz="6" w:space="0"/>
              <w:right w:val="single" w:color="000000" w:sz="6" w:space="0"/>
            </w:tcBorders>
            <w:vAlign w:val="top"/>
          </w:tcPr>
          <w:p>
            <w:pPr>
              <w:spacing w:before="273"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成绩评定基本恰当</w:t>
            </w:r>
          </w:p>
        </w:tc>
      </w:tr>
    </w:tbl>
    <w:p>
      <w:pPr>
        <w:spacing w:before="98" w:line="180"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说明：</w:t>
      </w:r>
    </w:p>
    <w:p>
      <w:pPr>
        <w:spacing w:before="114" w:line="180" w:lineRule="auto"/>
        <w:ind w:firstLine="4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毕业论文质量评价指标结论及标准</w:t>
      </w:r>
    </w:p>
    <w:p>
      <w:pPr>
        <w:spacing w:before="108" w:line="269" w:lineRule="auto"/>
        <w:ind w:left="15" w:right="10" w:firstLine="4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1、本方案有一级指标</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0"/>
          <w:sz w:val="21"/>
          <w:szCs w:val="21"/>
        </w:rPr>
        <w:t>4</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0"/>
          <w:sz w:val="21"/>
          <w:szCs w:val="21"/>
        </w:rPr>
        <w:t>个，</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0"/>
          <w:sz w:val="21"/>
          <w:szCs w:val="21"/>
        </w:rPr>
        <w:t>二级指标</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10"/>
          <w:sz w:val="21"/>
          <w:szCs w:val="21"/>
        </w:rPr>
        <w:t>18</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0"/>
          <w:sz w:val="21"/>
          <w:szCs w:val="21"/>
        </w:rPr>
        <w:t>个，</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0"/>
          <w:sz w:val="21"/>
          <w:szCs w:val="21"/>
        </w:rPr>
        <w:t>加黑的为重点指标共</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0"/>
          <w:sz w:val="21"/>
          <w:szCs w:val="21"/>
        </w:rPr>
        <w:t>9</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0"/>
          <w:sz w:val="21"/>
          <w:szCs w:val="21"/>
        </w:rPr>
        <w:t>个。二级指标的评价等</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w w:val="99"/>
          <w:sz w:val="21"/>
          <w:szCs w:val="21"/>
        </w:rPr>
        <w:t>级分为</w:t>
      </w:r>
      <w:r>
        <w:rPr>
          <w:rFonts w:ascii="方正书宋简体" w:hAnsi="方正书宋简体" w:eastAsia="方正书宋简体" w:cs="方正书宋简体"/>
          <w:spacing w:val="79"/>
          <w:w w:val="101"/>
          <w:sz w:val="21"/>
          <w:szCs w:val="21"/>
        </w:rPr>
        <w:t xml:space="preserve"> </w:t>
      </w:r>
      <w:r>
        <w:rPr>
          <w:rFonts w:ascii="方正书宋简体" w:hAnsi="方正书宋简体" w:eastAsia="方正书宋简体" w:cs="方正书宋简体"/>
          <w:spacing w:val="-12"/>
          <w:w w:val="99"/>
          <w:sz w:val="21"/>
          <w:szCs w:val="21"/>
        </w:rPr>
        <w:t>A、B、C、D</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2"/>
          <w:w w:val="99"/>
          <w:sz w:val="21"/>
          <w:szCs w:val="21"/>
        </w:rPr>
        <w:t>四级，</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2"/>
          <w:w w:val="99"/>
          <w:sz w:val="21"/>
          <w:szCs w:val="21"/>
        </w:rPr>
        <w:t>评价标准给出</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2"/>
          <w:w w:val="99"/>
          <w:sz w:val="21"/>
          <w:szCs w:val="21"/>
        </w:rPr>
        <w:t>A、C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两级，</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12"/>
          <w:w w:val="99"/>
          <w:sz w:val="21"/>
          <w:szCs w:val="21"/>
        </w:rPr>
        <w:t>介于</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2"/>
          <w:w w:val="99"/>
          <w:sz w:val="21"/>
          <w:szCs w:val="21"/>
        </w:rPr>
        <w:t>A、C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级之间的为</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2"/>
          <w:w w:val="99"/>
          <w:sz w:val="21"/>
          <w:szCs w:val="21"/>
        </w:rPr>
        <w:t>B</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级，</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2"/>
          <w:w w:val="99"/>
          <w:sz w:val="21"/>
          <w:szCs w:val="21"/>
        </w:rPr>
        <w:t>低于</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2"/>
          <w:w w:val="99"/>
          <w:sz w:val="21"/>
          <w:szCs w:val="21"/>
        </w:rPr>
        <w:t>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级的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为</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8"/>
          <w:sz w:val="21"/>
          <w:szCs w:val="21"/>
        </w:rPr>
        <w:t>D</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8"/>
          <w:sz w:val="21"/>
          <w:szCs w:val="21"/>
        </w:rPr>
        <w:t>级。</w:t>
      </w:r>
    </w:p>
    <w:p>
      <w:pPr>
        <w:spacing w:before="17" w:line="189"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2、评价结论分为优秀、良好、中等、及格和不及格五等，其标准如下：</w:t>
      </w:r>
    </w:p>
    <w:p>
      <w:pPr>
        <w:spacing w:before="101" w:line="193"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优秀：</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9"/>
          <w:sz w:val="21"/>
          <w:szCs w:val="21"/>
        </w:rPr>
        <w:t>A≥16（重点指标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9"/>
          <w:sz w:val="21"/>
          <w:szCs w:val="21"/>
        </w:rPr>
        <w:t>A≥7</w:t>
      </w:r>
      <w:r>
        <w:rPr>
          <w:rFonts w:ascii="方正书宋简体" w:hAnsi="方正书宋简体" w:eastAsia="方正书宋简体" w:cs="方正书宋简体"/>
          <w:spacing w:val="-87"/>
          <w:w w:val="92"/>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C≤2，D=0</w:t>
      </w:r>
    </w:p>
    <w:p>
      <w:pPr>
        <w:spacing w:before="98" w:line="193"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良好：</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A+B≥16（其中重点指标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9"/>
          <w:sz w:val="21"/>
          <w:szCs w:val="21"/>
        </w:rPr>
        <w:t>A≥7</w:t>
      </w:r>
      <w:r>
        <w:rPr>
          <w:rFonts w:ascii="方正书宋简体" w:hAnsi="方正书宋简体" w:eastAsia="方正书宋简体" w:cs="方正书宋简体"/>
          <w:spacing w:val="-92"/>
          <w:w w:val="97"/>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C≤2，D=O</w:t>
      </w:r>
    </w:p>
    <w:p>
      <w:pPr>
        <w:spacing w:before="99" w:line="193" w:lineRule="auto"/>
        <w:ind w:firstLine="455"/>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中等：</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8"/>
          <w:sz w:val="21"/>
          <w:szCs w:val="21"/>
        </w:rPr>
        <w:t>A+B≥14（其中重点指标</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8"/>
          <w:sz w:val="21"/>
          <w:szCs w:val="21"/>
        </w:rPr>
        <w:t>A≥5</w:t>
      </w:r>
      <w:r>
        <w:rPr>
          <w:rFonts w:ascii="方正书宋简体" w:hAnsi="方正书宋简体" w:eastAsia="方正书宋简体" w:cs="方正书宋简体"/>
          <w:spacing w:val="-87"/>
          <w:w w:val="92"/>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8"/>
          <w:sz w:val="21"/>
          <w:szCs w:val="21"/>
        </w:rPr>
        <w:t>C≤4，D=O</w:t>
      </w:r>
    </w:p>
    <w:p>
      <w:pPr>
        <w:spacing w:before="100" w:line="193"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及格：</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0"/>
          <w:sz w:val="21"/>
          <w:szCs w:val="21"/>
        </w:rPr>
        <w:t>A+B≥I2（其中重点指标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0"/>
          <w:sz w:val="21"/>
          <w:szCs w:val="21"/>
        </w:rPr>
        <w:t>A≥5</w:t>
      </w:r>
      <w:r>
        <w:rPr>
          <w:rFonts w:ascii="方正书宋简体" w:hAnsi="方正书宋简体" w:eastAsia="方正书宋简体" w:cs="方正书宋简体"/>
          <w:spacing w:val="-92"/>
          <w:sz w:val="21"/>
          <w:szCs w:val="21"/>
        </w:rPr>
        <w:t>），</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0"/>
          <w:sz w:val="21"/>
          <w:szCs w:val="21"/>
        </w:rPr>
        <w:t>C≤4，</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10"/>
          <w:sz w:val="21"/>
          <w:szCs w:val="21"/>
        </w:rPr>
        <w:t>D≤3（其中重点指标</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0"/>
          <w:sz w:val="21"/>
          <w:szCs w:val="21"/>
        </w:rPr>
        <w:t>D=0）</w:t>
      </w:r>
    </w:p>
    <w:p>
      <w:pPr>
        <w:spacing w:before="107" w:line="180" w:lineRule="auto"/>
        <w:ind w:firstLine="4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不及格：</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15"/>
          <w:sz w:val="21"/>
          <w:szCs w:val="21"/>
        </w:rPr>
        <w:t>A+B≤10</w:t>
      </w:r>
    </w:p>
    <w:p>
      <w:pPr>
        <w:spacing w:line="268" w:lineRule="auto"/>
        <w:rPr>
          <w:rFonts w:ascii="Malgun Gothic"/>
          <w:sz w:val="21"/>
        </w:rPr>
      </w:pPr>
    </w:p>
    <w:p>
      <w:pPr>
        <w:spacing w:line="268" w:lineRule="auto"/>
        <w:rPr>
          <w:rFonts w:ascii="Malgun Gothic"/>
          <w:sz w:val="21"/>
        </w:rPr>
      </w:pPr>
    </w:p>
    <w:p>
      <w:pPr>
        <w:spacing w:line="268" w:lineRule="auto"/>
        <w:rPr>
          <w:rFonts w:ascii="Malgun Gothic"/>
          <w:sz w:val="21"/>
        </w:rPr>
      </w:pPr>
    </w:p>
    <w:p>
      <w:pPr>
        <w:spacing w:line="268" w:lineRule="auto"/>
        <w:rPr>
          <w:rFonts w:ascii="Malgun Gothic"/>
          <w:sz w:val="21"/>
        </w:rPr>
      </w:pPr>
    </w:p>
    <w:p>
      <w:pPr>
        <w:spacing w:line="268" w:lineRule="auto"/>
        <w:rPr>
          <w:rFonts w:ascii="Malgun Gothic"/>
          <w:sz w:val="21"/>
        </w:rPr>
      </w:pPr>
    </w:p>
    <w:p>
      <w:pPr>
        <w:spacing w:line="268" w:lineRule="auto"/>
        <w:rPr>
          <w:rFonts w:ascii="Malgun Gothic"/>
          <w:sz w:val="21"/>
        </w:rPr>
      </w:pPr>
    </w:p>
    <w:p>
      <w:pPr>
        <w:spacing w:line="269"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303</w:t>
      </w:r>
    </w:p>
    <w:p>
      <w:pPr>
        <w:sectPr>
          <w:footerReference r:id="rId307" w:type="default"/>
          <w:pgSz w:w="11905" w:h="16840"/>
          <w:pgMar w:top="1431" w:right="1577" w:bottom="400" w:left="1578" w:header="0" w:footer="0" w:gutter="0"/>
          <w:cols w:space="720" w:num="1"/>
        </w:sectPr>
      </w:pPr>
    </w:p>
    <w:p>
      <w:pPr>
        <w:spacing w:before="30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2</w:t>
      </w:r>
    </w:p>
    <w:p>
      <w:pPr>
        <w:spacing w:before="118" w:line="166" w:lineRule="auto"/>
        <w:ind w:firstLine="884"/>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吉首大学本科毕业设计质量评价指标和等级标准（试行）</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2201"/>
        <w:gridCol w:w="831"/>
        <w:gridCol w:w="2477"/>
        <w:gridCol w:w="2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08" w:type="dxa"/>
            <w:vMerge w:val="restart"/>
            <w:tcBorders>
              <w:top w:val="single" w:color="000000" w:sz="6" w:space="0"/>
              <w:left w:val="single" w:color="000000" w:sz="6" w:space="0"/>
              <w:bottom w:val="nil"/>
            </w:tcBorders>
            <w:vAlign w:val="top"/>
          </w:tcPr>
          <w:p>
            <w:pPr>
              <w:spacing w:before="84" w:line="202" w:lineRule="auto"/>
              <w:ind w:firstLine="196"/>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201" w:type="dxa"/>
            <w:vMerge w:val="restart"/>
            <w:tcBorders>
              <w:top w:val="single" w:color="000000" w:sz="6" w:space="0"/>
              <w:bottom w:val="nil"/>
            </w:tcBorders>
            <w:vAlign w:val="top"/>
          </w:tcPr>
          <w:p>
            <w:pPr>
              <w:spacing w:before="237" w:line="180" w:lineRule="auto"/>
              <w:ind w:firstLine="68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831" w:type="dxa"/>
            <w:vMerge w:val="restart"/>
            <w:tcBorders>
              <w:top w:val="single" w:color="000000" w:sz="6" w:space="0"/>
              <w:bottom w:val="nil"/>
            </w:tcBorders>
            <w:vAlign w:val="top"/>
          </w:tcPr>
          <w:p>
            <w:pPr>
              <w:spacing w:before="84" w:line="202" w:lineRule="auto"/>
              <w:ind w:firstLine="206"/>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参考</w:t>
            </w:r>
          </w:p>
          <w:p>
            <w:pPr>
              <w:spacing w:line="204" w:lineRule="auto"/>
              <w:ind w:firstLine="204"/>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权重</w:t>
            </w:r>
          </w:p>
        </w:tc>
        <w:tc>
          <w:tcPr>
            <w:tcW w:w="4894" w:type="dxa"/>
            <w:gridSpan w:val="2"/>
            <w:tcBorders>
              <w:top w:val="single" w:color="000000" w:sz="6" w:space="0"/>
              <w:right w:val="single" w:color="000000" w:sz="6" w:space="0"/>
            </w:tcBorders>
            <w:vAlign w:val="top"/>
          </w:tcPr>
          <w:p>
            <w:pPr>
              <w:spacing w:before="63" w:line="180" w:lineRule="auto"/>
              <w:ind w:firstLine="2024"/>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08" w:type="dxa"/>
            <w:vMerge w:val="continue"/>
            <w:tcBorders>
              <w:top w:val="nil"/>
              <w:left w:val="single" w:color="000000" w:sz="6" w:space="0"/>
            </w:tcBorders>
            <w:vAlign w:val="top"/>
          </w:tcPr>
          <w:p>
            <w:pPr>
              <w:rPr>
                <w:rFonts w:ascii="Malgun Gothic"/>
                <w:sz w:val="21"/>
              </w:rPr>
            </w:pPr>
          </w:p>
        </w:tc>
        <w:tc>
          <w:tcPr>
            <w:tcW w:w="2201" w:type="dxa"/>
            <w:vMerge w:val="continue"/>
            <w:tcBorders>
              <w:top w:val="nil"/>
            </w:tcBorders>
            <w:vAlign w:val="top"/>
          </w:tcPr>
          <w:p>
            <w:pPr>
              <w:rPr>
                <w:rFonts w:ascii="Malgun Gothic"/>
                <w:sz w:val="21"/>
              </w:rPr>
            </w:pPr>
          </w:p>
        </w:tc>
        <w:tc>
          <w:tcPr>
            <w:tcW w:w="831" w:type="dxa"/>
            <w:vMerge w:val="continue"/>
            <w:tcBorders>
              <w:top w:val="nil"/>
            </w:tcBorders>
            <w:vAlign w:val="top"/>
          </w:tcPr>
          <w:p>
            <w:pPr>
              <w:rPr>
                <w:rFonts w:ascii="Malgun Gothic"/>
                <w:sz w:val="21"/>
              </w:rPr>
            </w:pPr>
          </w:p>
        </w:tc>
        <w:tc>
          <w:tcPr>
            <w:tcW w:w="2477" w:type="dxa"/>
            <w:vAlign w:val="top"/>
          </w:tcPr>
          <w:p>
            <w:pPr>
              <w:spacing w:before="91" w:line="212" w:lineRule="exact"/>
              <w:ind w:firstLine="1168"/>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417" w:type="dxa"/>
            <w:tcBorders>
              <w:right w:val="single" w:color="000000" w:sz="6" w:space="0"/>
            </w:tcBorders>
            <w:vAlign w:val="top"/>
          </w:tcPr>
          <w:p>
            <w:pPr>
              <w:spacing w:before="87" w:line="216" w:lineRule="exact"/>
              <w:ind w:firstLine="1136"/>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08" w:type="dxa"/>
            <w:vMerge w:val="restart"/>
            <w:tcBorders>
              <w:left w:val="single" w:color="000000" w:sz="6" w:space="0"/>
              <w:bottom w:val="nil"/>
            </w:tcBorders>
            <w:vAlign w:val="top"/>
          </w:tcPr>
          <w:p>
            <w:pPr>
              <w:spacing w:line="245"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line="246" w:lineRule="auto"/>
              <w:rPr>
                <w:rFonts w:ascii="Malgun Gothic"/>
                <w:sz w:val="21"/>
              </w:rPr>
            </w:pPr>
          </w:p>
          <w:p>
            <w:pPr>
              <w:spacing w:before="75"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选题</w:t>
            </w:r>
          </w:p>
          <w:p>
            <w:pPr>
              <w:spacing w:before="112"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w:t>
            </w:r>
          </w:p>
          <w:p>
            <w:pPr>
              <w:spacing w:before="141" w:line="180"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201" w:type="dxa"/>
            <w:vAlign w:val="top"/>
          </w:tcPr>
          <w:p>
            <w:pPr>
              <w:spacing w:before="95" w:line="180" w:lineRule="auto"/>
              <w:ind w:firstLine="98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1.1</w:t>
            </w:r>
          </w:p>
          <w:p>
            <w:pPr>
              <w:spacing w:before="78" w:line="207" w:lineRule="auto"/>
              <w:ind w:left="26" w:right="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选题符合专业培养目标，</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5"/>
                <w:sz w:val="21"/>
                <w:szCs w:val="21"/>
              </w:rPr>
              <w:t>体现综合训练的基本要求</w:t>
            </w:r>
          </w:p>
        </w:tc>
        <w:tc>
          <w:tcPr>
            <w:tcW w:w="831" w:type="dxa"/>
            <w:vAlign w:val="top"/>
          </w:tcPr>
          <w:p>
            <w:pPr>
              <w:spacing w:before="420"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vAlign w:val="top"/>
          </w:tcPr>
          <w:p>
            <w:pPr>
              <w:spacing w:before="72" w:line="231" w:lineRule="auto"/>
              <w:ind w:left="25" w:right="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毕业设计选题符合专业培</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养目标，完全体现了综合训</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5"/>
                <w:sz w:val="21"/>
                <w:szCs w:val="21"/>
              </w:rPr>
              <w:t>练的基本要求；</w:t>
            </w:r>
          </w:p>
        </w:tc>
        <w:tc>
          <w:tcPr>
            <w:tcW w:w="2417" w:type="dxa"/>
            <w:tcBorders>
              <w:right w:val="single" w:color="000000" w:sz="6" w:space="0"/>
            </w:tcBorders>
            <w:vAlign w:val="top"/>
          </w:tcPr>
          <w:p>
            <w:pPr>
              <w:spacing w:before="72" w:line="231" w:lineRule="auto"/>
              <w:ind w:left="28" w:right="23"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毕业设计选题基本符合专</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rPr>
              <w:t>业培养目标，基本体现了</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4"/>
                <w:sz w:val="21"/>
                <w:szCs w:val="21"/>
              </w:rPr>
              <w:t>综合训练的基本要求；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240" w:line="180" w:lineRule="auto"/>
              <w:ind w:firstLine="98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1.2</w:t>
            </w:r>
          </w:p>
          <w:p>
            <w:pPr>
              <w:spacing w:before="82" w:line="180" w:lineRule="auto"/>
              <w:ind w:firstLine="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题目难易度</w:t>
            </w:r>
          </w:p>
        </w:tc>
        <w:tc>
          <w:tcPr>
            <w:tcW w:w="831" w:type="dxa"/>
            <w:vAlign w:val="top"/>
          </w:tcPr>
          <w:p>
            <w:pPr>
              <w:spacing w:before="409"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vAlign w:val="top"/>
          </w:tcPr>
          <w:p>
            <w:pPr>
              <w:spacing w:before="61" w:line="231" w:lineRule="auto"/>
              <w:ind w:left="24" w:right="19"/>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选题难易度适宜，完全体现</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0"/>
                <w:sz w:val="21"/>
                <w:szCs w:val="21"/>
              </w:rPr>
              <w:t>了教学计划对本教学环节</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所规定的要求；</w:t>
            </w:r>
          </w:p>
        </w:tc>
        <w:tc>
          <w:tcPr>
            <w:tcW w:w="2417" w:type="dxa"/>
            <w:tcBorders>
              <w:right w:val="single" w:color="000000" w:sz="6" w:space="0"/>
            </w:tcBorders>
            <w:vAlign w:val="top"/>
          </w:tcPr>
          <w:p>
            <w:pPr>
              <w:spacing w:before="65" w:line="230" w:lineRule="auto"/>
              <w:ind w:left="29" w:right="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选题难易度基本适宜，</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10"/>
                <w:sz w:val="21"/>
                <w:szCs w:val="21"/>
              </w:rPr>
              <w:t>基</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本体现了教学计划对本教</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学环节所规定的要求；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242" w:line="180" w:lineRule="auto"/>
              <w:ind w:firstLine="98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1.3</w:t>
            </w:r>
          </w:p>
          <w:p>
            <w:pPr>
              <w:spacing w:before="80" w:line="180" w:lineRule="auto"/>
              <w:ind w:firstLine="5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题目工作量</w:t>
            </w:r>
          </w:p>
        </w:tc>
        <w:tc>
          <w:tcPr>
            <w:tcW w:w="831" w:type="dxa"/>
            <w:vAlign w:val="top"/>
          </w:tcPr>
          <w:p>
            <w:pPr>
              <w:spacing w:before="412"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before="52" w:line="234" w:lineRule="auto"/>
              <w:ind w:left="2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毕业设计安排科学、合理，</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6"/>
                <w:sz w:val="21"/>
                <w:szCs w:val="21"/>
              </w:rPr>
              <w:t>与学校计划安排规定的完</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8"/>
                <w:sz w:val="21"/>
                <w:szCs w:val="21"/>
              </w:rPr>
              <w:t>成时间吻合；</w:t>
            </w:r>
          </w:p>
        </w:tc>
        <w:tc>
          <w:tcPr>
            <w:tcW w:w="2417" w:type="dxa"/>
            <w:tcBorders>
              <w:right w:val="single" w:color="000000" w:sz="6" w:space="0"/>
            </w:tcBorders>
            <w:vAlign w:val="top"/>
          </w:tcPr>
          <w:p>
            <w:pPr>
              <w:spacing w:before="52" w:line="234" w:lineRule="auto"/>
              <w:ind w:left="3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毕业设计安排基本较为科</w:t>
            </w:r>
            <w:r>
              <w:rPr>
                <w:rFonts w:ascii="方正书宋简体" w:hAnsi="方正书宋简体" w:eastAsia="方正书宋简体" w:cs="方正书宋简体"/>
                <w:spacing w:val="3"/>
                <w:w w:val="102"/>
                <w:sz w:val="21"/>
                <w:szCs w:val="21"/>
              </w:rPr>
              <w:t xml:space="preserve">  </w:t>
            </w:r>
            <w:r>
              <w:rPr>
                <w:rFonts w:ascii="方正书宋简体" w:hAnsi="方正书宋简体" w:eastAsia="方正书宋简体" w:cs="方正书宋简体"/>
                <w:spacing w:val="-20"/>
                <w:w w:val="98"/>
                <w:sz w:val="21"/>
                <w:szCs w:val="21"/>
              </w:rPr>
              <w:t>学、合理，</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0"/>
                <w:w w:val="98"/>
                <w:sz w:val="21"/>
                <w:szCs w:val="21"/>
              </w:rPr>
              <w:t>与学校计划安排</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sz w:val="21"/>
                <w:szCs w:val="21"/>
              </w:rPr>
              <w:t>规定的完成时间基本吻合；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7" w:hRule="atLeast"/>
        </w:trPr>
        <w:tc>
          <w:tcPr>
            <w:tcW w:w="808" w:type="dxa"/>
            <w:vMerge w:val="continue"/>
            <w:tcBorders>
              <w:top w:val="nil"/>
              <w:left w:val="single" w:color="000000" w:sz="6" w:space="0"/>
            </w:tcBorders>
            <w:vAlign w:val="top"/>
          </w:tcPr>
          <w:p>
            <w:pPr>
              <w:rPr>
                <w:rFonts w:ascii="Malgun Gothic"/>
                <w:sz w:val="21"/>
              </w:rPr>
            </w:pPr>
          </w:p>
        </w:tc>
        <w:tc>
          <w:tcPr>
            <w:tcW w:w="2201" w:type="dxa"/>
            <w:vAlign w:val="top"/>
          </w:tcPr>
          <w:p>
            <w:pPr>
              <w:spacing w:before="101" w:line="180" w:lineRule="auto"/>
              <w:ind w:firstLine="98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1.4</w:t>
            </w:r>
          </w:p>
          <w:p>
            <w:pPr>
              <w:spacing w:before="81" w:line="180" w:lineRule="auto"/>
              <w:ind w:firstLine="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题目与生产、科研、实验</w:t>
            </w:r>
          </w:p>
          <w:p>
            <w:pPr>
              <w:spacing w:before="85" w:line="180" w:lineRule="auto"/>
              <w:ind w:firstLine="31"/>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室建设等实际结合的程度</w:t>
            </w:r>
          </w:p>
        </w:tc>
        <w:tc>
          <w:tcPr>
            <w:tcW w:w="831" w:type="dxa"/>
            <w:vAlign w:val="top"/>
          </w:tcPr>
          <w:p>
            <w:pPr>
              <w:spacing w:before="426"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vAlign w:val="top"/>
          </w:tcPr>
          <w:p>
            <w:pPr>
              <w:spacing w:before="82" w:line="230" w:lineRule="auto"/>
              <w:ind w:left="25" w:right="19"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选题能站在学科前沿，与生</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9"/>
                <w:sz w:val="21"/>
                <w:szCs w:val="21"/>
              </w:rPr>
              <w:t>产、科研、实验室建设等实</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6"/>
                <w:sz w:val="21"/>
                <w:szCs w:val="21"/>
              </w:rPr>
              <w:t>际紧密结合；</w:t>
            </w:r>
          </w:p>
        </w:tc>
        <w:tc>
          <w:tcPr>
            <w:tcW w:w="2417" w:type="dxa"/>
            <w:tcBorders>
              <w:right w:val="single" w:color="000000" w:sz="6" w:space="0"/>
            </w:tcBorders>
            <w:vAlign w:val="top"/>
          </w:tcPr>
          <w:p>
            <w:pPr>
              <w:spacing w:before="82" w:line="230" w:lineRule="auto"/>
              <w:ind w:left="30"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选题基本能站在学科前沿，</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5"/>
                <w:sz w:val="21"/>
                <w:szCs w:val="21"/>
              </w:rPr>
              <w:t>较好地与生产、科研、实验</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1"/>
                <w:sz w:val="21"/>
                <w:szCs w:val="21"/>
              </w:rPr>
              <w:t>室建设等实际相结合；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8" w:hRule="atLeast"/>
        </w:trPr>
        <w:tc>
          <w:tcPr>
            <w:tcW w:w="808" w:type="dxa"/>
            <w:vMerge w:val="restart"/>
            <w:tcBorders>
              <w:left w:val="single" w:color="000000" w:sz="6" w:space="0"/>
              <w:bottom w:val="nil"/>
            </w:tcBorders>
            <w:vAlign w:val="top"/>
          </w:tcPr>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5" w:lineRule="auto"/>
              <w:rPr>
                <w:rFonts w:ascii="Malgun Gothic"/>
                <w:sz w:val="21"/>
              </w:rPr>
            </w:pPr>
          </w:p>
          <w:p>
            <w:pPr>
              <w:spacing w:before="76" w:line="180" w:lineRule="auto"/>
              <w:ind w:firstLine="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能力</w:t>
            </w:r>
          </w:p>
          <w:p>
            <w:pPr>
              <w:spacing w:before="110"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水平</w:t>
            </w:r>
          </w:p>
          <w:p>
            <w:pPr>
              <w:spacing w:before="143" w:line="180"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201" w:type="dxa"/>
            <w:vAlign w:val="top"/>
          </w:tcPr>
          <w:p>
            <w:pPr>
              <w:spacing w:before="245"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p>
          <w:p>
            <w:pPr>
              <w:spacing w:before="80" w:line="180" w:lineRule="auto"/>
              <w:ind w:firstLine="4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综合运用知识的能力，</w:t>
            </w:r>
          </w:p>
          <w:p>
            <w:pPr>
              <w:spacing w:before="89" w:line="250" w:lineRule="auto"/>
              <w:ind w:left="465" w:right="51" w:hanging="4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涉及学科范围，内容深</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广度及难易度</w:t>
            </w:r>
          </w:p>
        </w:tc>
        <w:tc>
          <w:tcPr>
            <w:tcW w:w="831" w:type="dxa"/>
            <w:vAlign w:val="top"/>
          </w:tcPr>
          <w:p>
            <w:pPr>
              <w:spacing w:line="431" w:lineRule="auto"/>
              <w:rPr>
                <w:rFonts w:ascii="Malgun Gothic"/>
                <w:sz w:val="21"/>
              </w:rPr>
            </w:pPr>
          </w:p>
          <w:p>
            <w:pPr>
              <w:spacing w:before="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66" w:line="239" w:lineRule="auto"/>
              <w:ind w:left="23" w:right="19" w:firstLine="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除广泛运用本学科、专业的</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9"/>
                <w:sz w:val="21"/>
                <w:szCs w:val="21"/>
              </w:rPr>
              <w:t>基本理论与知识外，还能适</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9"/>
                <w:sz w:val="21"/>
                <w:szCs w:val="21"/>
              </w:rPr>
              <w:t>当其他学科、专业的基本理</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0"/>
                <w:sz w:val="21"/>
                <w:szCs w:val="21"/>
              </w:rPr>
              <w:t>论与知识进行分析与解决</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rPr>
              <w:t>问题，有较多的创新点；</w:t>
            </w:r>
          </w:p>
        </w:tc>
        <w:tc>
          <w:tcPr>
            <w:tcW w:w="2417" w:type="dxa"/>
            <w:tcBorders>
              <w:right w:val="single" w:color="000000" w:sz="6" w:space="0"/>
            </w:tcBorders>
            <w:vAlign w:val="top"/>
          </w:tcPr>
          <w:p>
            <w:pPr>
              <w:spacing w:before="66" w:line="239" w:lineRule="auto"/>
              <w:ind w:left="29" w:right="5" w:firstLine="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除广泛运用本学科、专业的</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3"/>
                <w:sz w:val="21"/>
                <w:szCs w:val="21"/>
              </w:rPr>
              <w:t>基本理论与知识外，还能运</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3"/>
                <w:sz w:val="21"/>
                <w:szCs w:val="21"/>
              </w:rPr>
              <w:t>用其他学科、专业一定的基</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3"/>
                <w:sz w:val="21"/>
                <w:szCs w:val="21"/>
              </w:rPr>
              <w:t>本理论与知识进行分析与解</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20"/>
                <w:w w:val="97"/>
                <w:sz w:val="21"/>
                <w:szCs w:val="21"/>
              </w:rPr>
              <w:t>决问题，</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20"/>
                <w:w w:val="97"/>
                <w:sz w:val="21"/>
                <w:szCs w:val="21"/>
              </w:rPr>
              <w:t>有一定创新点；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404"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p>
            <w:pPr>
              <w:spacing w:before="80"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应用文献资料能力</w:t>
            </w:r>
          </w:p>
        </w:tc>
        <w:tc>
          <w:tcPr>
            <w:tcW w:w="831" w:type="dxa"/>
            <w:vAlign w:val="top"/>
          </w:tcPr>
          <w:p>
            <w:pPr>
              <w:spacing w:line="328" w:lineRule="auto"/>
              <w:rPr>
                <w:rFonts w:ascii="Malgun Gothic"/>
                <w:sz w:val="21"/>
              </w:rPr>
            </w:pPr>
          </w:p>
          <w:p>
            <w:pPr>
              <w:spacing w:before="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before="67" w:line="236" w:lineRule="auto"/>
              <w:ind w:left="21" w:right="19" w:firstLine="8"/>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能熟练地运用各种手段查</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5"/>
                <w:sz w:val="21"/>
                <w:szCs w:val="21"/>
              </w:rPr>
              <w:t>阅有关文献资料，</w:t>
            </w:r>
            <w:r>
              <w:rPr>
                <w:rFonts w:ascii="方正书宋简体" w:hAnsi="方正书宋简体" w:eastAsia="方正书宋简体" w:cs="方正书宋简体"/>
                <w:spacing w:val="33"/>
                <w:w w:val="101"/>
                <w:sz w:val="21"/>
                <w:szCs w:val="21"/>
              </w:rPr>
              <w:t xml:space="preserve"> </w:t>
            </w:r>
            <w:r>
              <w:rPr>
                <w:rFonts w:ascii="方正书宋简体" w:hAnsi="方正书宋简体" w:eastAsia="方正书宋简体" w:cs="方正书宋简体"/>
                <w:spacing w:val="-15"/>
                <w:sz w:val="21"/>
                <w:szCs w:val="21"/>
              </w:rPr>
              <w:t>占有了与</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设计相关的文献资料，并形</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3"/>
                <w:sz w:val="21"/>
                <w:szCs w:val="21"/>
              </w:rPr>
              <w:t>成了高质量的文献综述；</w:t>
            </w:r>
          </w:p>
        </w:tc>
        <w:tc>
          <w:tcPr>
            <w:tcW w:w="2417" w:type="dxa"/>
            <w:tcBorders>
              <w:right w:val="single" w:color="000000" w:sz="6" w:space="0"/>
            </w:tcBorders>
            <w:vAlign w:val="top"/>
          </w:tcPr>
          <w:p>
            <w:pPr>
              <w:spacing w:before="67" w:line="236" w:lineRule="auto"/>
              <w:ind w:left="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基本能熟练地运用各种手</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1"/>
                <w:sz w:val="21"/>
                <w:szCs w:val="21"/>
              </w:rPr>
              <w:t>段查阅有关文献资料，</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21"/>
                <w:sz w:val="21"/>
                <w:szCs w:val="21"/>
              </w:rPr>
              <w:t>基本</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占有了与设计相关的文献</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资料，并形成了文献综述；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248"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p>
          <w:p>
            <w:pPr>
              <w:spacing w:before="81" w:line="180" w:lineRule="auto"/>
              <w:ind w:firstLine="2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实验（设计）能力</w:t>
            </w:r>
          </w:p>
        </w:tc>
        <w:tc>
          <w:tcPr>
            <w:tcW w:w="831" w:type="dxa"/>
            <w:vAlign w:val="top"/>
          </w:tcPr>
          <w:p>
            <w:pPr>
              <w:spacing w:before="417"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71" w:line="242" w:lineRule="auto"/>
              <w:ind w:left="24" w:firstLine="3"/>
              <w:rPr>
                <w:rFonts w:ascii="方正书宋简体" w:hAnsi="方正书宋简体" w:eastAsia="方正书宋简体" w:cs="方正书宋简体"/>
                <w:sz w:val="20"/>
                <w:szCs w:val="20"/>
              </w:rPr>
            </w:pPr>
            <w:r>
              <w:rPr>
                <w:rFonts w:ascii="方正书宋简体" w:hAnsi="方正书宋简体" w:eastAsia="方正书宋简体" w:cs="方正书宋简体"/>
                <w:spacing w:val="-13"/>
                <w:sz w:val="20"/>
                <w:szCs w:val="20"/>
              </w:rPr>
              <w:t>实验（设计）方案设计科学、</w:t>
            </w:r>
            <w:r>
              <w:rPr>
                <w:rFonts w:ascii="方正书宋简体" w:hAnsi="方正书宋简体" w:eastAsia="方正书宋简体" w:cs="方正书宋简体"/>
                <w:spacing w:val="5"/>
                <w:sz w:val="20"/>
                <w:szCs w:val="20"/>
              </w:rPr>
              <w:t xml:space="preserve"> </w:t>
            </w:r>
            <w:r>
              <w:rPr>
                <w:rFonts w:ascii="方正书宋简体" w:hAnsi="方正书宋简体" w:eastAsia="方正书宋简体" w:cs="方正书宋简体"/>
                <w:spacing w:val="-4"/>
                <w:sz w:val="20"/>
                <w:szCs w:val="20"/>
              </w:rPr>
              <w:t>合理，较好体现专业培养目</w:t>
            </w:r>
            <w:r>
              <w:rPr>
                <w:rFonts w:ascii="方正书宋简体" w:hAnsi="方正书宋简体" w:eastAsia="方正书宋简体" w:cs="方正书宋简体"/>
                <w:spacing w:val="2"/>
                <w:w w:val="102"/>
                <w:sz w:val="20"/>
                <w:szCs w:val="20"/>
              </w:rPr>
              <w:t xml:space="preserve">   </w:t>
            </w:r>
            <w:r>
              <w:rPr>
                <w:rFonts w:ascii="方正书宋简体" w:hAnsi="方正书宋简体" w:eastAsia="方正书宋简体" w:cs="方正书宋简体"/>
                <w:spacing w:val="-8"/>
                <w:sz w:val="20"/>
                <w:szCs w:val="20"/>
              </w:rPr>
              <w:t>标；</w:t>
            </w:r>
          </w:p>
        </w:tc>
        <w:tc>
          <w:tcPr>
            <w:tcW w:w="2417" w:type="dxa"/>
            <w:tcBorders>
              <w:right w:val="single" w:color="000000" w:sz="6" w:space="0"/>
            </w:tcBorders>
            <w:vAlign w:val="top"/>
          </w:tcPr>
          <w:p>
            <w:pPr>
              <w:spacing w:before="73" w:line="230" w:lineRule="auto"/>
              <w:ind w:left="29" w:right="23"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实验（设计）方案设计基</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本科学、合理，基本体现</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5"/>
                <w:sz w:val="21"/>
                <w:szCs w:val="21"/>
              </w:rPr>
              <w:t>专业培养目标；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6"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06"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p>
          <w:p>
            <w:pPr>
              <w:spacing w:before="80" w:line="206" w:lineRule="auto"/>
              <w:ind w:left="463" w:right="51" w:hanging="42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计算能力（数据运算与</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z w:val="21"/>
                <w:szCs w:val="21"/>
              </w:rPr>
              <w:t>处理能力等）</w:t>
            </w:r>
          </w:p>
        </w:tc>
        <w:tc>
          <w:tcPr>
            <w:tcW w:w="831" w:type="dxa"/>
            <w:vAlign w:val="top"/>
          </w:tcPr>
          <w:p>
            <w:pPr>
              <w:spacing w:before="431"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before="241" w:line="263" w:lineRule="auto"/>
              <w:ind w:left="25" w:right="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有较强数据运算与处理能</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0"/>
                <w:sz w:val="21"/>
                <w:szCs w:val="21"/>
              </w:rPr>
              <w:t>力；</w:t>
            </w:r>
          </w:p>
        </w:tc>
        <w:tc>
          <w:tcPr>
            <w:tcW w:w="2417" w:type="dxa"/>
            <w:tcBorders>
              <w:right w:val="single" w:color="000000" w:sz="6" w:space="0"/>
            </w:tcBorders>
            <w:vAlign w:val="top"/>
          </w:tcPr>
          <w:p>
            <w:pPr>
              <w:spacing w:before="241" w:line="263" w:lineRule="auto"/>
              <w:ind w:left="34" w:right="23"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基本具备数据运算与处理</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0"/>
                <w:sz w:val="21"/>
                <w:szCs w:val="21"/>
              </w:rPr>
              <w:t>能力；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808" w:type="dxa"/>
            <w:vMerge w:val="continue"/>
            <w:tcBorders>
              <w:top w:val="nil"/>
              <w:left w:val="single" w:color="000000" w:sz="6" w:space="0"/>
            </w:tcBorders>
            <w:vAlign w:val="top"/>
          </w:tcPr>
          <w:p>
            <w:pPr>
              <w:rPr>
                <w:rFonts w:ascii="Malgun Gothic"/>
                <w:sz w:val="21"/>
              </w:rPr>
            </w:pPr>
          </w:p>
        </w:tc>
        <w:tc>
          <w:tcPr>
            <w:tcW w:w="2201" w:type="dxa"/>
            <w:vAlign w:val="top"/>
          </w:tcPr>
          <w:p>
            <w:pPr>
              <w:spacing w:before="105"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2.5</w:t>
            </w:r>
          </w:p>
          <w:p>
            <w:pPr>
              <w:spacing w:before="83" w:line="180"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外文应用能力</w:t>
            </w:r>
          </w:p>
        </w:tc>
        <w:tc>
          <w:tcPr>
            <w:tcW w:w="831" w:type="dxa"/>
            <w:vAlign w:val="top"/>
          </w:tcPr>
          <w:p>
            <w:pPr>
              <w:spacing w:before="2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before="82" w:line="222" w:lineRule="auto"/>
              <w:ind w:left="24" w:right="19" w:firstLine="5"/>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能熟练地运用外文工具，有</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5"/>
                <w:sz w:val="21"/>
                <w:szCs w:val="21"/>
              </w:rPr>
              <w:t>外文参考文献；</w:t>
            </w:r>
          </w:p>
        </w:tc>
        <w:tc>
          <w:tcPr>
            <w:tcW w:w="2417" w:type="dxa"/>
            <w:tcBorders>
              <w:right w:val="single" w:color="000000" w:sz="6" w:space="0"/>
            </w:tcBorders>
            <w:vAlign w:val="top"/>
          </w:tcPr>
          <w:p>
            <w:pPr>
              <w:spacing w:before="82" w:line="222" w:lineRule="auto"/>
              <w:ind w:left="2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基本能熟练地运用外文工</w:t>
            </w:r>
            <w:r>
              <w:rPr>
                <w:rFonts w:ascii="方正书宋简体" w:hAnsi="方正书宋简体" w:eastAsia="方正书宋简体" w:cs="方正书宋简体"/>
                <w:spacing w:val="2"/>
                <w:w w:val="102"/>
                <w:sz w:val="21"/>
                <w:szCs w:val="21"/>
              </w:rPr>
              <w:t xml:space="preserve">  </w:t>
            </w:r>
            <w:r>
              <w:rPr>
                <w:rFonts w:ascii="方正书宋简体" w:hAnsi="方正书宋简体" w:eastAsia="方正书宋简体" w:cs="方正书宋简体"/>
                <w:spacing w:val="-19"/>
                <w:w w:val="93"/>
                <w:sz w:val="21"/>
                <w:szCs w:val="21"/>
              </w:rPr>
              <w:t>具，</w:t>
            </w:r>
            <w:r>
              <w:rPr>
                <w:rFonts w:ascii="方正书宋简体" w:hAnsi="方正书宋简体" w:eastAsia="方正书宋简体" w:cs="方正书宋简体"/>
                <w:spacing w:val="31"/>
                <w:w w:val="101"/>
                <w:sz w:val="21"/>
                <w:szCs w:val="21"/>
              </w:rPr>
              <w:t xml:space="preserve"> </w:t>
            </w:r>
            <w:r>
              <w:rPr>
                <w:rFonts w:ascii="方正书宋简体" w:hAnsi="方正书宋简体" w:eastAsia="方正书宋简体" w:cs="方正书宋简体"/>
                <w:spacing w:val="-19"/>
                <w:w w:val="93"/>
                <w:sz w:val="21"/>
                <w:szCs w:val="21"/>
              </w:rPr>
              <w:t>有一定的外文参考文献；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5" w:hRule="atLeast"/>
        </w:trPr>
        <w:tc>
          <w:tcPr>
            <w:tcW w:w="808" w:type="dxa"/>
            <w:vMerge w:val="restart"/>
            <w:tcBorders>
              <w:left w:val="single" w:color="000000" w:sz="6" w:space="0"/>
              <w:bottom w:val="nil"/>
            </w:tcBorders>
            <w:vAlign w:val="top"/>
          </w:tcPr>
          <w:p>
            <w:pPr>
              <w:rPr>
                <w:rFonts w:ascii="Malgun Gothic"/>
                <w:sz w:val="21"/>
              </w:rPr>
            </w:pPr>
          </w:p>
        </w:tc>
        <w:tc>
          <w:tcPr>
            <w:tcW w:w="2201" w:type="dxa"/>
            <w:vAlign w:val="top"/>
          </w:tcPr>
          <w:p>
            <w:pPr>
              <w:spacing w:before="144"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2.6</w:t>
            </w:r>
          </w:p>
          <w:p>
            <w:pPr>
              <w:spacing w:before="89" w:line="180" w:lineRule="auto"/>
              <w:ind w:firstLine="14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计算机应用能力能力</w:t>
            </w:r>
          </w:p>
          <w:p>
            <w:pPr>
              <w:spacing w:before="94" w:line="180" w:lineRule="auto"/>
              <w:rPr>
                <w:rFonts w:ascii="方正书宋简体" w:hAnsi="方正书宋简体" w:eastAsia="方正书宋简体" w:cs="方正书宋简体"/>
                <w:sz w:val="20"/>
                <w:szCs w:val="20"/>
              </w:rPr>
            </w:pPr>
            <w:r>
              <w:rPr>
                <w:rFonts w:ascii="方正书宋简体" w:hAnsi="方正书宋简体" w:eastAsia="方正书宋简体" w:cs="方正书宋简体"/>
                <w:spacing w:val="-4"/>
                <w:sz w:val="20"/>
                <w:szCs w:val="20"/>
              </w:rPr>
              <w:t>（或综合能力、技术经济</w:t>
            </w:r>
          </w:p>
          <w:p>
            <w:pPr>
              <w:spacing w:before="108" w:line="180" w:lineRule="auto"/>
              <w:ind w:firstLine="5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分析能力）</w:t>
            </w:r>
          </w:p>
        </w:tc>
        <w:tc>
          <w:tcPr>
            <w:tcW w:w="831" w:type="dxa"/>
            <w:vAlign w:val="top"/>
          </w:tcPr>
          <w:p>
            <w:pPr>
              <w:spacing w:line="371" w:lineRule="auto"/>
              <w:rPr>
                <w:rFonts w:ascii="Malgun Gothic"/>
                <w:sz w:val="21"/>
              </w:rPr>
            </w:pPr>
          </w:p>
          <w:p>
            <w:pPr>
              <w:spacing w:before="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line="243" w:lineRule="auto"/>
              <w:rPr>
                <w:rFonts w:ascii="Malgun Gothic"/>
                <w:sz w:val="21"/>
              </w:rPr>
            </w:pPr>
          </w:p>
          <w:p>
            <w:pPr>
              <w:spacing w:before="76" w:line="269" w:lineRule="auto"/>
              <w:ind w:left="24" w:right="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具有较强的计算机应用能</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0"/>
                <w:sz w:val="21"/>
                <w:szCs w:val="21"/>
              </w:rPr>
              <w:t>力；</w:t>
            </w:r>
          </w:p>
        </w:tc>
        <w:tc>
          <w:tcPr>
            <w:tcW w:w="2417" w:type="dxa"/>
            <w:tcBorders>
              <w:right w:val="single" w:color="000000" w:sz="6" w:space="0"/>
            </w:tcBorders>
            <w:vAlign w:val="top"/>
          </w:tcPr>
          <w:p>
            <w:pPr>
              <w:spacing w:line="243" w:lineRule="auto"/>
              <w:rPr>
                <w:rFonts w:ascii="Malgun Gothic"/>
                <w:sz w:val="21"/>
              </w:rPr>
            </w:pPr>
          </w:p>
          <w:p>
            <w:pPr>
              <w:spacing w:before="76" w:line="269" w:lineRule="auto"/>
              <w:ind w:left="29" w:right="2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具有一定的计算机应用能</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0"/>
                <w:sz w:val="21"/>
                <w:szCs w:val="21"/>
              </w:rPr>
              <w:t>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08" w:type="dxa"/>
            <w:vMerge w:val="continue"/>
            <w:tcBorders>
              <w:top w:val="nil"/>
              <w:left w:val="single" w:color="000000" w:sz="6" w:space="0"/>
              <w:bottom w:val="single" w:color="000000" w:sz="6" w:space="0"/>
            </w:tcBorders>
            <w:vAlign w:val="top"/>
          </w:tcPr>
          <w:p>
            <w:pPr>
              <w:rPr>
                <w:rFonts w:ascii="Malgun Gothic"/>
                <w:sz w:val="21"/>
              </w:rPr>
            </w:pPr>
          </w:p>
        </w:tc>
        <w:tc>
          <w:tcPr>
            <w:tcW w:w="2201" w:type="dxa"/>
            <w:tcBorders>
              <w:bottom w:val="single" w:color="000000" w:sz="6" w:space="0"/>
            </w:tcBorders>
            <w:vAlign w:val="top"/>
          </w:tcPr>
          <w:p>
            <w:pPr>
              <w:spacing w:before="147" w:line="180" w:lineRule="auto"/>
              <w:ind w:firstLine="9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2.7</w:t>
            </w:r>
          </w:p>
          <w:p>
            <w:pPr>
              <w:spacing w:before="89" w:line="180" w:lineRule="auto"/>
              <w:ind w:firstLine="2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对实验结果的分析</w:t>
            </w:r>
          </w:p>
        </w:tc>
        <w:tc>
          <w:tcPr>
            <w:tcW w:w="831" w:type="dxa"/>
            <w:tcBorders>
              <w:bottom w:val="single" w:color="000000" w:sz="6" w:space="0"/>
            </w:tcBorders>
            <w:vAlign w:val="top"/>
          </w:tcPr>
          <w:p>
            <w:pPr>
              <w:spacing w:before="319"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tcBorders>
              <w:bottom w:val="single" w:color="000000" w:sz="6" w:space="0"/>
            </w:tcBorders>
            <w:vAlign w:val="top"/>
          </w:tcPr>
          <w:p>
            <w:pPr>
              <w:spacing w:before="129" w:line="222" w:lineRule="auto"/>
              <w:ind w:left="27" w:right="19"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具有较强的分析能力，能对</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5"/>
                <w:sz w:val="21"/>
                <w:szCs w:val="21"/>
              </w:rPr>
              <w:t>实验结果进行分析；</w:t>
            </w:r>
          </w:p>
        </w:tc>
        <w:tc>
          <w:tcPr>
            <w:tcW w:w="2417" w:type="dxa"/>
            <w:tcBorders>
              <w:bottom w:val="single" w:color="000000" w:sz="6" w:space="0"/>
              <w:right w:val="single" w:color="000000" w:sz="6" w:space="0"/>
            </w:tcBorders>
            <w:vAlign w:val="top"/>
          </w:tcPr>
          <w:p>
            <w:pPr>
              <w:spacing w:before="129" w:line="222" w:lineRule="auto"/>
              <w:ind w:left="34" w:right="5"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具有一定的分析能力，基本</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4"/>
                <w:sz w:val="21"/>
                <w:szCs w:val="21"/>
              </w:rPr>
              <w:t>能对实验结果进行分析；</w:t>
            </w:r>
          </w:p>
        </w:tc>
      </w:tr>
    </w:tbl>
    <w:p>
      <w:pPr>
        <w:spacing w:before="357"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304</w:t>
      </w:r>
    </w:p>
    <w:p>
      <w:pPr>
        <w:sectPr>
          <w:footerReference r:id="rId308"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8"/>
        <w:gridCol w:w="2201"/>
        <w:gridCol w:w="831"/>
        <w:gridCol w:w="2477"/>
        <w:gridCol w:w="2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trPr>
        <w:tc>
          <w:tcPr>
            <w:tcW w:w="808" w:type="dxa"/>
            <w:vMerge w:val="restart"/>
            <w:tcBorders>
              <w:top w:val="single" w:color="000000" w:sz="6" w:space="0"/>
              <w:left w:val="single" w:color="000000" w:sz="6" w:space="0"/>
              <w:bottom w:val="nil"/>
            </w:tcBorders>
            <w:vAlign w:val="top"/>
          </w:tcPr>
          <w:p>
            <w:pPr>
              <w:spacing w:before="84" w:line="202" w:lineRule="auto"/>
              <w:ind w:firstLine="196"/>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1"/>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201" w:type="dxa"/>
            <w:vMerge w:val="restart"/>
            <w:tcBorders>
              <w:top w:val="single" w:color="000000" w:sz="6" w:space="0"/>
              <w:bottom w:val="nil"/>
            </w:tcBorders>
            <w:vAlign w:val="top"/>
          </w:tcPr>
          <w:p>
            <w:pPr>
              <w:spacing w:before="237" w:line="180" w:lineRule="auto"/>
              <w:ind w:firstLine="68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831" w:type="dxa"/>
            <w:vMerge w:val="restart"/>
            <w:tcBorders>
              <w:top w:val="single" w:color="000000" w:sz="6" w:space="0"/>
              <w:bottom w:val="nil"/>
            </w:tcBorders>
            <w:vAlign w:val="top"/>
          </w:tcPr>
          <w:p>
            <w:pPr>
              <w:spacing w:before="84" w:line="202" w:lineRule="auto"/>
              <w:ind w:firstLine="206"/>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参考</w:t>
            </w:r>
          </w:p>
          <w:p>
            <w:pPr>
              <w:spacing w:line="204" w:lineRule="auto"/>
              <w:ind w:firstLine="204"/>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权重</w:t>
            </w:r>
          </w:p>
        </w:tc>
        <w:tc>
          <w:tcPr>
            <w:tcW w:w="4894" w:type="dxa"/>
            <w:gridSpan w:val="2"/>
            <w:tcBorders>
              <w:top w:val="single" w:color="000000" w:sz="6" w:space="0"/>
              <w:right w:val="single" w:color="000000" w:sz="6" w:space="0"/>
            </w:tcBorders>
            <w:vAlign w:val="top"/>
          </w:tcPr>
          <w:p>
            <w:pPr>
              <w:spacing w:before="63" w:line="180" w:lineRule="auto"/>
              <w:ind w:firstLine="2024"/>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808" w:type="dxa"/>
            <w:vMerge w:val="continue"/>
            <w:tcBorders>
              <w:top w:val="nil"/>
              <w:left w:val="single" w:color="000000" w:sz="6" w:space="0"/>
            </w:tcBorders>
            <w:vAlign w:val="top"/>
          </w:tcPr>
          <w:p>
            <w:pPr>
              <w:rPr>
                <w:rFonts w:ascii="Malgun Gothic"/>
                <w:sz w:val="21"/>
              </w:rPr>
            </w:pPr>
          </w:p>
        </w:tc>
        <w:tc>
          <w:tcPr>
            <w:tcW w:w="2201" w:type="dxa"/>
            <w:vMerge w:val="continue"/>
            <w:tcBorders>
              <w:top w:val="nil"/>
            </w:tcBorders>
            <w:vAlign w:val="top"/>
          </w:tcPr>
          <w:p>
            <w:pPr>
              <w:rPr>
                <w:rFonts w:ascii="Malgun Gothic"/>
                <w:sz w:val="21"/>
              </w:rPr>
            </w:pPr>
          </w:p>
        </w:tc>
        <w:tc>
          <w:tcPr>
            <w:tcW w:w="831" w:type="dxa"/>
            <w:vMerge w:val="continue"/>
            <w:tcBorders>
              <w:top w:val="nil"/>
            </w:tcBorders>
            <w:vAlign w:val="top"/>
          </w:tcPr>
          <w:p>
            <w:pPr>
              <w:rPr>
                <w:rFonts w:ascii="Malgun Gothic"/>
                <w:sz w:val="21"/>
              </w:rPr>
            </w:pPr>
          </w:p>
        </w:tc>
        <w:tc>
          <w:tcPr>
            <w:tcW w:w="2477" w:type="dxa"/>
            <w:vAlign w:val="top"/>
          </w:tcPr>
          <w:p>
            <w:pPr>
              <w:spacing w:before="91" w:line="212" w:lineRule="exact"/>
              <w:ind w:firstLine="1168"/>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417" w:type="dxa"/>
            <w:tcBorders>
              <w:right w:val="single" w:color="000000" w:sz="6" w:space="0"/>
            </w:tcBorders>
            <w:vAlign w:val="top"/>
          </w:tcPr>
          <w:p>
            <w:pPr>
              <w:spacing w:before="87" w:line="216" w:lineRule="exact"/>
              <w:ind w:firstLine="1136"/>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08" w:type="dxa"/>
            <w:vMerge w:val="restart"/>
            <w:tcBorders>
              <w:left w:val="single" w:color="000000" w:sz="6" w:space="0"/>
              <w:bottom w:val="nil"/>
            </w:tcBorders>
            <w:vAlign w:val="top"/>
          </w:tcPr>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4" w:lineRule="auto"/>
              <w:rPr>
                <w:rFonts w:ascii="Malgun Gothic"/>
                <w:sz w:val="21"/>
              </w:rPr>
            </w:pPr>
          </w:p>
          <w:p>
            <w:pPr>
              <w:spacing w:before="75"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成果</w:t>
            </w:r>
          </w:p>
          <w:p>
            <w:pPr>
              <w:spacing w:before="112"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w:t>
            </w:r>
          </w:p>
          <w:p>
            <w:pPr>
              <w:spacing w:before="141" w:line="180"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201" w:type="dxa"/>
            <w:vAlign w:val="top"/>
          </w:tcPr>
          <w:p>
            <w:pPr>
              <w:spacing w:before="133" w:line="180" w:lineRule="auto"/>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p>
          <w:p>
            <w:pPr>
              <w:spacing w:before="89" w:line="180" w:lineRule="auto"/>
              <w:ind w:firstLine="14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插图（或图纸）质量</w:t>
            </w:r>
          </w:p>
        </w:tc>
        <w:tc>
          <w:tcPr>
            <w:tcW w:w="831" w:type="dxa"/>
            <w:vAlign w:val="top"/>
          </w:tcPr>
          <w:p>
            <w:pPr>
              <w:spacing w:before="30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0.1</w:t>
            </w:r>
          </w:p>
        </w:tc>
        <w:tc>
          <w:tcPr>
            <w:tcW w:w="2477" w:type="dxa"/>
            <w:vAlign w:val="top"/>
          </w:tcPr>
          <w:p>
            <w:pPr>
              <w:spacing w:before="113" w:line="223" w:lineRule="auto"/>
              <w:ind w:left="24" w:right="19"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插图（或图纸）美观，</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8"/>
                <w:sz w:val="21"/>
                <w:szCs w:val="21"/>
              </w:rPr>
              <w:t>符合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有关规范；</w:t>
            </w:r>
          </w:p>
        </w:tc>
        <w:tc>
          <w:tcPr>
            <w:tcW w:w="2417" w:type="dxa"/>
            <w:tcBorders>
              <w:right w:val="single" w:color="000000" w:sz="6" w:space="0"/>
            </w:tcBorders>
            <w:vAlign w:val="top"/>
          </w:tcPr>
          <w:p>
            <w:pPr>
              <w:spacing w:before="116" w:line="222" w:lineRule="auto"/>
              <w:ind w:left="28" w:right="60" w:hanging="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插图（或图纸）较美观，</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4"/>
                <w:sz w:val="21"/>
                <w:szCs w:val="21"/>
              </w:rPr>
              <w:t>基本符合有关规范；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36" w:line="180" w:lineRule="auto"/>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3.2</w:t>
            </w:r>
          </w:p>
          <w:p>
            <w:pPr>
              <w:spacing w:before="87" w:line="209" w:lineRule="auto"/>
              <w:ind w:left="672" w:right="42" w:hanging="63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论文（或设计说明书）</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撰写水平</w:t>
            </w:r>
          </w:p>
        </w:tc>
        <w:tc>
          <w:tcPr>
            <w:tcW w:w="831" w:type="dxa"/>
            <w:vAlign w:val="top"/>
          </w:tcPr>
          <w:p>
            <w:pPr>
              <w:spacing w:line="259" w:lineRule="auto"/>
              <w:rPr>
                <w:rFonts w:ascii="Malgun Gothic"/>
                <w:sz w:val="21"/>
              </w:rPr>
            </w:pPr>
          </w:p>
          <w:p>
            <w:pPr>
              <w:spacing w:before="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114" w:line="234" w:lineRule="auto"/>
              <w:ind w:left="25" w:right="19"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论文（或设计说明书）撰写</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20"/>
                <w:w w:val="97"/>
                <w:sz w:val="21"/>
                <w:szCs w:val="21"/>
              </w:rPr>
              <w:t>逻辑性强，</w:t>
            </w:r>
            <w:r>
              <w:rPr>
                <w:rFonts w:ascii="方正书宋简体" w:hAnsi="方正书宋简体" w:eastAsia="方正书宋简体" w:cs="方正书宋简体"/>
                <w:spacing w:val="66"/>
                <w:w w:val="101"/>
                <w:sz w:val="21"/>
                <w:szCs w:val="21"/>
              </w:rPr>
              <w:t xml:space="preserve"> </w:t>
            </w:r>
            <w:r>
              <w:rPr>
                <w:rFonts w:ascii="方正书宋简体" w:hAnsi="方正书宋简体" w:eastAsia="方正书宋简体" w:cs="方正书宋简体"/>
                <w:spacing w:val="-20"/>
                <w:w w:val="97"/>
                <w:sz w:val="21"/>
                <w:szCs w:val="21"/>
              </w:rPr>
              <w:t>条理清楚，</w:t>
            </w:r>
            <w:r>
              <w:rPr>
                <w:rFonts w:ascii="方正书宋简体" w:hAnsi="方正书宋简体" w:eastAsia="方正书宋简体" w:cs="方正书宋简体"/>
                <w:spacing w:val="47"/>
                <w:sz w:val="21"/>
                <w:szCs w:val="21"/>
              </w:rPr>
              <w:t xml:space="preserve"> </w:t>
            </w:r>
            <w:r>
              <w:rPr>
                <w:rFonts w:ascii="方正书宋简体" w:hAnsi="方正书宋简体" w:eastAsia="方正书宋简体" w:cs="方正书宋简体"/>
                <w:spacing w:val="-20"/>
                <w:w w:val="97"/>
                <w:sz w:val="21"/>
                <w:szCs w:val="21"/>
              </w:rPr>
              <w:t>层次</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分明，文笔流畅；</w:t>
            </w:r>
          </w:p>
        </w:tc>
        <w:tc>
          <w:tcPr>
            <w:tcW w:w="2417" w:type="dxa"/>
            <w:tcBorders>
              <w:right w:val="single" w:color="000000" w:sz="6" w:space="0"/>
            </w:tcBorders>
            <w:vAlign w:val="top"/>
          </w:tcPr>
          <w:p>
            <w:pPr>
              <w:spacing w:before="114" w:line="234" w:lineRule="auto"/>
              <w:ind w:left="30" w:right="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毕业论文逻辑性较强，</w:t>
            </w:r>
            <w:r>
              <w:rPr>
                <w:rFonts w:ascii="方正书宋简体" w:hAnsi="方正书宋简体" w:eastAsia="方正书宋简体" w:cs="方正书宋简体"/>
                <w:spacing w:val="23"/>
                <w:w w:val="101"/>
                <w:sz w:val="21"/>
                <w:szCs w:val="21"/>
              </w:rPr>
              <w:t xml:space="preserve">  </w:t>
            </w:r>
            <w:r>
              <w:rPr>
                <w:rFonts w:ascii="方正书宋简体" w:hAnsi="方正书宋简体" w:eastAsia="方正书宋简体" w:cs="方正书宋简体"/>
                <w:spacing w:val="-10"/>
                <w:sz w:val="21"/>
                <w:szCs w:val="21"/>
              </w:rPr>
              <w:t>条</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4"/>
                <w:sz w:val="21"/>
                <w:szCs w:val="21"/>
              </w:rPr>
              <w:t>理较清楚，</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pacing w:val="-14"/>
                <w:sz w:val="21"/>
                <w:szCs w:val="21"/>
              </w:rPr>
              <w:t>层次较分明，</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没有语法错误与错别字；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6"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38" w:line="180" w:lineRule="auto"/>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p>
          <w:p>
            <w:pPr>
              <w:spacing w:before="88" w:line="180" w:lineRule="auto"/>
              <w:ind w:firstLine="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毕业设计实用性与科学</w:t>
            </w:r>
          </w:p>
          <w:p>
            <w:pPr>
              <w:spacing w:before="98" w:line="180" w:lineRule="auto"/>
              <w:ind w:firstLine="98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性</w:t>
            </w:r>
          </w:p>
        </w:tc>
        <w:tc>
          <w:tcPr>
            <w:tcW w:w="831" w:type="dxa"/>
            <w:vAlign w:val="top"/>
          </w:tcPr>
          <w:p>
            <w:pPr>
              <w:spacing w:line="260" w:lineRule="auto"/>
              <w:rPr>
                <w:rFonts w:ascii="Malgun Gothic"/>
                <w:sz w:val="21"/>
              </w:rPr>
            </w:pPr>
          </w:p>
          <w:p>
            <w:pPr>
              <w:spacing w:before="76"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277" w:line="269" w:lineRule="auto"/>
              <w:ind w:left="25" w:right="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毕业设计有较强实用性与</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较高的科学性；</w:t>
            </w:r>
          </w:p>
        </w:tc>
        <w:tc>
          <w:tcPr>
            <w:tcW w:w="2417" w:type="dxa"/>
            <w:tcBorders>
              <w:right w:val="single" w:color="000000" w:sz="6" w:space="0"/>
            </w:tcBorders>
            <w:vAlign w:val="top"/>
          </w:tcPr>
          <w:p>
            <w:pPr>
              <w:spacing w:before="277" w:line="269" w:lineRule="auto"/>
              <w:ind w:left="29" w:right="23"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毕业设计具有一定的实用</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6"/>
                <w:sz w:val="21"/>
                <w:szCs w:val="21"/>
              </w:rPr>
              <w:t>性与科学性；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5"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40" w:line="180" w:lineRule="auto"/>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3.4</w:t>
            </w:r>
          </w:p>
          <w:p>
            <w:pPr>
              <w:spacing w:before="80" w:line="227" w:lineRule="auto"/>
              <w:ind w:left="36" w:right="42" w:firstLine="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毕业设计规范化程度；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z w:val="21"/>
                <w:szCs w:val="21"/>
              </w:rPr>
              <w:t>论文（或设计）栏目齐</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5"/>
                <w:sz w:val="21"/>
                <w:szCs w:val="21"/>
              </w:rPr>
              <w:t>全合理，</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5"/>
                <w:sz w:val="21"/>
                <w:szCs w:val="21"/>
              </w:rPr>
              <w:t>SI</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5"/>
                <w:sz w:val="21"/>
                <w:szCs w:val="21"/>
              </w:rPr>
              <w:t>制的使用等</w:t>
            </w:r>
          </w:p>
        </w:tc>
        <w:tc>
          <w:tcPr>
            <w:tcW w:w="831" w:type="dxa"/>
            <w:vAlign w:val="top"/>
          </w:tcPr>
          <w:p>
            <w:pPr>
              <w:spacing w:line="367" w:lineRule="auto"/>
              <w:rPr>
                <w:rFonts w:ascii="Malgun Gothic"/>
                <w:sz w:val="21"/>
              </w:rPr>
            </w:pPr>
          </w:p>
          <w:p>
            <w:pPr>
              <w:spacing w:before="75"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277" w:line="265" w:lineRule="auto"/>
              <w:ind w:left="24" w:right="19"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毕业设计完全符合《吉首大</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9"/>
                <w:sz w:val="21"/>
                <w:szCs w:val="21"/>
              </w:rPr>
              <w:t>学毕业论文（设计）写作基</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9"/>
                <w:sz w:val="21"/>
                <w:szCs w:val="21"/>
              </w:rPr>
              <w:t>本规范》；</w:t>
            </w:r>
          </w:p>
        </w:tc>
        <w:tc>
          <w:tcPr>
            <w:tcW w:w="2417" w:type="dxa"/>
            <w:tcBorders>
              <w:right w:val="single" w:color="000000" w:sz="6" w:space="0"/>
            </w:tcBorders>
            <w:vAlign w:val="top"/>
          </w:tcPr>
          <w:p>
            <w:pPr>
              <w:spacing w:before="278" w:line="265" w:lineRule="auto"/>
              <w:ind w:left="29" w:right="23"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毕业设计基本符合《吉首</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7"/>
                <w:sz w:val="21"/>
                <w:szCs w:val="21"/>
              </w:rPr>
              <w:t>大学毕业论文（设计）</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7"/>
                <w:sz w:val="21"/>
                <w:szCs w:val="21"/>
              </w:rPr>
              <w:t>写</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4"/>
                <w:sz w:val="21"/>
                <w:szCs w:val="21"/>
              </w:rPr>
              <w:t>作基本规范》；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808" w:type="dxa"/>
            <w:vMerge w:val="continue"/>
            <w:tcBorders>
              <w:top w:val="nil"/>
              <w:left w:val="single" w:color="000000" w:sz="6" w:space="0"/>
            </w:tcBorders>
            <w:vAlign w:val="top"/>
          </w:tcPr>
          <w:p>
            <w:pPr>
              <w:rPr>
                <w:rFonts w:ascii="Malgun Gothic"/>
                <w:sz w:val="21"/>
              </w:rPr>
            </w:pPr>
          </w:p>
        </w:tc>
        <w:tc>
          <w:tcPr>
            <w:tcW w:w="2201" w:type="dxa"/>
            <w:vAlign w:val="top"/>
          </w:tcPr>
          <w:p>
            <w:pPr>
              <w:spacing w:before="139" w:line="316" w:lineRule="exact"/>
              <w:ind w:firstLine="9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1"/>
                <w:sz w:val="21"/>
                <w:szCs w:val="21"/>
              </w:rPr>
              <w:t>3.5</w:t>
            </w:r>
          </w:p>
          <w:p>
            <w:pPr>
              <w:spacing w:line="204" w:lineRule="auto"/>
              <w:ind w:firstLine="77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创新性</w:t>
            </w:r>
          </w:p>
        </w:tc>
        <w:tc>
          <w:tcPr>
            <w:tcW w:w="831" w:type="dxa"/>
            <w:vAlign w:val="top"/>
          </w:tcPr>
          <w:p>
            <w:pPr>
              <w:spacing w:before="313"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vAlign w:val="top"/>
          </w:tcPr>
          <w:p>
            <w:pPr>
              <w:spacing w:before="282" w:line="180" w:lineRule="auto"/>
              <w:ind w:firstLine="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有创新性</w:t>
            </w:r>
          </w:p>
        </w:tc>
        <w:tc>
          <w:tcPr>
            <w:tcW w:w="2417" w:type="dxa"/>
            <w:tcBorders>
              <w:right w:val="single" w:color="000000" w:sz="6" w:space="0"/>
            </w:tcBorders>
            <w:vAlign w:val="top"/>
          </w:tcPr>
          <w:p>
            <w:pPr>
              <w:spacing w:before="283" w:line="180" w:lineRule="auto"/>
              <w:ind w:firstLine="2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有一定的创新性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08" w:type="dxa"/>
            <w:vMerge w:val="restart"/>
            <w:tcBorders>
              <w:left w:val="single" w:color="000000" w:sz="6" w:space="0"/>
              <w:bottom w:val="nil"/>
            </w:tcBorders>
            <w:vAlign w:val="top"/>
          </w:tcPr>
          <w:p>
            <w:pPr>
              <w:spacing w:line="248" w:lineRule="auto"/>
              <w:rPr>
                <w:rFonts w:ascii="Malgun Gothic"/>
                <w:sz w:val="21"/>
              </w:rPr>
            </w:pPr>
          </w:p>
          <w:p>
            <w:pPr>
              <w:spacing w:line="248" w:lineRule="auto"/>
              <w:rPr>
                <w:rFonts w:ascii="Malgun Gothic"/>
                <w:sz w:val="21"/>
              </w:rPr>
            </w:pPr>
          </w:p>
          <w:p>
            <w:pPr>
              <w:spacing w:before="75"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评阅</w:t>
            </w:r>
          </w:p>
          <w:p>
            <w:pPr>
              <w:spacing w:before="110" w:line="180" w:lineRule="auto"/>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12" w:line="180" w:lineRule="auto"/>
              <w:ind w:firstLine="1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答辩</w:t>
            </w:r>
          </w:p>
          <w:p>
            <w:pPr>
              <w:spacing w:before="143" w:line="180"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201" w:type="dxa"/>
            <w:vAlign w:val="top"/>
          </w:tcPr>
          <w:p>
            <w:pPr>
              <w:spacing w:before="142"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p>
          <w:p>
            <w:pPr>
              <w:spacing w:before="89" w:line="180" w:lineRule="auto"/>
              <w:ind w:firstLine="4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指导教师评语</w:t>
            </w:r>
          </w:p>
        </w:tc>
        <w:tc>
          <w:tcPr>
            <w:tcW w:w="831" w:type="dxa"/>
            <w:vAlign w:val="top"/>
          </w:tcPr>
          <w:p>
            <w:pPr>
              <w:spacing w:before="313"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vAlign w:val="top"/>
          </w:tcPr>
          <w:p>
            <w:pPr>
              <w:spacing w:before="276" w:line="193" w:lineRule="auto"/>
              <w:ind w:firstLine="2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指导教师评语具体详实；</w:t>
            </w:r>
          </w:p>
        </w:tc>
        <w:tc>
          <w:tcPr>
            <w:tcW w:w="2417" w:type="dxa"/>
            <w:tcBorders>
              <w:right w:val="single" w:color="000000" w:sz="6" w:space="0"/>
            </w:tcBorders>
            <w:vAlign w:val="top"/>
          </w:tcPr>
          <w:p>
            <w:pPr>
              <w:spacing w:before="118" w:line="224" w:lineRule="auto"/>
              <w:ind w:left="32" w:right="22"/>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指导教师</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9"/>
                <w:sz w:val="21"/>
                <w:szCs w:val="21"/>
              </w:rPr>
              <w:t>评</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19"/>
                <w:sz w:val="21"/>
                <w:szCs w:val="21"/>
              </w:rPr>
              <w:t>语较具体详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1"/>
                <w:sz w:val="21"/>
                <w:szCs w:val="21"/>
              </w:rPr>
              <w:t>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44"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p>
          <w:p>
            <w:pPr>
              <w:spacing w:before="86" w:line="180" w:lineRule="auto"/>
              <w:ind w:firstLine="3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论文评阅人意见</w:t>
            </w:r>
          </w:p>
        </w:tc>
        <w:tc>
          <w:tcPr>
            <w:tcW w:w="831" w:type="dxa"/>
            <w:vAlign w:val="top"/>
          </w:tcPr>
          <w:p>
            <w:pPr>
              <w:spacing w:before="316"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125" w:line="222" w:lineRule="auto"/>
              <w:ind w:left="45" w:right="20" w:hanging="2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论文评阅人评阅意见准确</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4"/>
                <w:sz w:val="21"/>
                <w:szCs w:val="21"/>
              </w:rPr>
              <w:t>中肯；</w:t>
            </w:r>
          </w:p>
        </w:tc>
        <w:tc>
          <w:tcPr>
            <w:tcW w:w="2417" w:type="dxa"/>
            <w:tcBorders>
              <w:right w:val="single" w:color="000000" w:sz="6" w:space="0"/>
            </w:tcBorders>
            <w:vAlign w:val="top"/>
          </w:tcPr>
          <w:p>
            <w:pPr>
              <w:spacing w:before="125" w:line="222" w:lineRule="auto"/>
              <w:ind w:left="31" w:right="2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论文评阅人评阅意见较准</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7"/>
                <w:sz w:val="21"/>
                <w:szCs w:val="21"/>
              </w:rPr>
              <w:t>确较中肯；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808" w:type="dxa"/>
            <w:vMerge w:val="continue"/>
            <w:tcBorders>
              <w:top w:val="nil"/>
              <w:left w:val="single" w:color="000000" w:sz="6" w:space="0"/>
              <w:bottom w:val="nil"/>
            </w:tcBorders>
            <w:vAlign w:val="top"/>
          </w:tcPr>
          <w:p>
            <w:pPr>
              <w:rPr>
                <w:rFonts w:ascii="Malgun Gothic"/>
                <w:sz w:val="21"/>
              </w:rPr>
            </w:pPr>
          </w:p>
        </w:tc>
        <w:tc>
          <w:tcPr>
            <w:tcW w:w="2201" w:type="dxa"/>
            <w:vAlign w:val="top"/>
          </w:tcPr>
          <w:p>
            <w:pPr>
              <w:spacing w:before="146" w:line="180" w:lineRule="auto"/>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p>
          <w:p>
            <w:pPr>
              <w:spacing w:before="88" w:line="180" w:lineRule="auto"/>
              <w:ind w:firstLine="3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答辩委员会意见</w:t>
            </w:r>
          </w:p>
        </w:tc>
        <w:tc>
          <w:tcPr>
            <w:tcW w:w="831" w:type="dxa"/>
            <w:vAlign w:val="top"/>
          </w:tcPr>
          <w:p>
            <w:pPr>
              <w:spacing w:before="317" w:line="180" w:lineRule="auto"/>
              <w:ind w:firstLine="2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477" w:type="dxa"/>
            <w:vAlign w:val="top"/>
          </w:tcPr>
          <w:p>
            <w:pPr>
              <w:spacing w:before="281" w:line="193" w:lineRule="auto"/>
              <w:ind w:firstLine="2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答辩委员会意见一致；</w:t>
            </w:r>
          </w:p>
        </w:tc>
        <w:tc>
          <w:tcPr>
            <w:tcW w:w="2417" w:type="dxa"/>
            <w:tcBorders>
              <w:right w:val="single" w:color="000000" w:sz="6" w:space="0"/>
            </w:tcBorders>
            <w:vAlign w:val="top"/>
          </w:tcPr>
          <w:p>
            <w:pPr>
              <w:spacing w:before="125" w:line="223" w:lineRule="auto"/>
              <w:ind w:left="28" w:right="22"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8"/>
                <w:sz w:val="21"/>
                <w:szCs w:val="21"/>
              </w:rPr>
              <w:t>答辩委员</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8"/>
                <w:sz w:val="21"/>
                <w:szCs w:val="21"/>
              </w:rPr>
              <w:t>会</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8"/>
                <w:sz w:val="21"/>
                <w:szCs w:val="21"/>
              </w:rPr>
              <w:t>意见基本一</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0"/>
                <w:sz w:val="21"/>
                <w:szCs w:val="21"/>
              </w:rPr>
              <w:t>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808" w:type="dxa"/>
            <w:vMerge w:val="continue"/>
            <w:tcBorders>
              <w:top w:val="nil"/>
              <w:left w:val="single" w:color="000000" w:sz="6" w:space="0"/>
              <w:bottom w:val="single" w:color="000000" w:sz="6" w:space="0"/>
            </w:tcBorders>
            <w:vAlign w:val="top"/>
          </w:tcPr>
          <w:p>
            <w:pPr>
              <w:rPr>
                <w:rFonts w:ascii="Malgun Gothic"/>
                <w:sz w:val="21"/>
              </w:rPr>
            </w:pPr>
          </w:p>
        </w:tc>
        <w:tc>
          <w:tcPr>
            <w:tcW w:w="2201" w:type="dxa"/>
            <w:tcBorders>
              <w:bottom w:val="single" w:color="000000" w:sz="6" w:space="0"/>
            </w:tcBorders>
            <w:vAlign w:val="top"/>
          </w:tcPr>
          <w:p>
            <w:pPr>
              <w:spacing w:before="148" w:line="312" w:lineRule="exact"/>
              <w:ind w:firstLine="9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1"/>
                <w:sz w:val="21"/>
                <w:szCs w:val="21"/>
              </w:rPr>
              <w:t>4.4</w:t>
            </w:r>
          </w:p>
          <w:p>
            <w:pPr>
              <w:spacing w:line="204" w:lineRule="auto"/>
              <w:ind w:firstLine="6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w:t>
            </w:r>
          </w:p>
        </w:tc>
        <w:tc>
          <w:tcPr>
            <w:tcW w:w="831" w:type="dxa"/>
            <w:tcBorders>
              <w:bottom w:val="single" w:color="000000" w:sz="6" w:space="0"/>
            </w:tcBorders>
            <w:vAlign w:val="top"/>
          </w:tcPr>
          <w:p>
            <w:pPr>
              <w:spacing w:before="320" w:line="180" w:lineRule="auto"/>
              <w:ind w:firstLine="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477" w:type="dxa"/>
            <w:tcBorders>
              <w:bottom w:val="single" w:color="000000" w:sz="6" w:space="0"/>
            </w:tcBorders>
            <w:vAlign w:val="top"/>
          </w:tcPr>
          <w:p>
            <w:pPr>
              <w:spacing w:before="287" w:line="180" w:lineRule="auto"/>
              <w:ind w:firstLine="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成绩评定恰当</w:t>
            </w:r>
          </w:p>
        </w:tc>
        <w:tc>
          <w:tcPr>
            <w:tcW w:w="2417" w:type="dxa"/>
            <w:tcBorders>
              <w:bottom w:val="single" w:color="000000" w:sz="6" w:space="0"/>
              <w:right w:val="single" w:color="000000" w:sz="6" w:space="0"/>
            </w:tcBorders>
            <w:vAlign w:val="top"/>
          </w:tcPr>
          <w:p>
            <w:pPr>
              <w:spacing w:before="287" w:line="180" w:lineRule="auto"/>
              <w:ind w:firstLine="2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成绩评定基本恰当</w:t>
            </w:r>
          </w:p>
        </w:tc>
      </w:tr>
    </w:tbl>
    <w:p>
      <w:pPr>
        <w:spacing w:before="65" w:line="180"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说明：毕业设计质量评价指标结论及标准</w:t>
      </w:r>
    </w:p>
    <w:p>
      <w:pPr>
        <w:spacing w:before="70" w:line="236" w:lineRule="auto"/>
        <w:ind w:left="16" w:right="10"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1、本方案有一级指标</w:t>
      </w:r>
      <w:r>
        <w:rPr>
          <w:rFonts w:ascii="方正书宋简体" w:hAnsi="方正书宋简体" w:eastAsia="方正书宋简体" w:cs="方正书宋简体"/>
          <w:spacing w:val="55"/>
          <w:w w:val="101"/>
          <w:sz w:val="21"/>
          <w:szCs w:val="21"/>
        </w:rPr>
        <w:t xml:space="preserve"> </w:t>
      </w:r>
      <w:r>
        <w:rPr>
          <w:rFonts w:ascii="方正书宋简体" w:hAnsi="方正书宋简体" w:eastAsia="方正书宋简体" w:cs="方正书宋简体"/>
          <w:spacing w:val="-2"/>
          <w:sz w:val="21"/>
          <w:szCs w:val="21"/>
        </w:rPr>
        <w:t>4</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2"/>
          <w:sz w:val="21"/>
          <w:szCs w:val="21"/>
        </w:rPr>
        <w:t>个，二级指标</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2"/>
          <w:sz w:val="21"/>
          <w:szCs w:val="21"/>
        </w:rPr>
        <w:t>20</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2"/>
          <w:sz w:val="21"/>
          <w:szCs w:val="21"/>
        </w:rPr>
        <w:t>个，加黑的为重点指标共</w:t>
      </w:r>
      <w:r>
        <w:rPr>
          <w:rFonts w:ascii="方正书宋简体" w:hAnsi="方正书宋简体" w:eastAsia="方正书宋简体" w:cs="方正书宋简体"/>
          <w:spacing w:val="23"/>
          <w:w w:val="101"/>
          <w:sz w:val="21"/>
          <w:szCs w:val="21"/>
        </w:rPr>
        <w:t xml:space="preserve"> </w:t>
      </w:r>
      <w:r>
        <w:rPr>
          <w:rFonts w:ascii="方正书宋简体" w:hAnsi="方正书宋简体" w:eastAsia="方正书宋简体" w:cs="方正书宋简体"/>
          <w:spacing w:val="-2"/>
          <w:sz w:val="21"/>
          <w:szCs w:val="21"/>
        </w:rPr>
        <w:t>II</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2"/>
          <w:sz w:val="21"/>
          <w:szCs w:val="21"/>
        </w:rPr>
        <w:t>个。二级指标的评价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w w:val="99"/>
          <w:sz w:val="21"/>
          <w:szCs w:val="21"/>
        </w:rPr>
        <w:t>等级分为</w:t>
      </w:r>
      <w:r>
        <w:rPr>
          <w:rFonts w:ascii="方正书宋简体" w:hAnsi="方正书宋简体" w:eastAsia="方正书宋简体" w:cs="方正书宋简体"/>
          <w:spacing w:val="78"/>
          <w:w w:val="101"/>
          <w:sz w:val="21"/>
          <w:szCs w:val="21"/>
        </w:rPr>
        <w:t xml:space="preserve"> </w:t>
      </w:r>
      <w:r>
        <w:rPr>
          <w:rFonts w:ascii="方正书宋简体" w:hAnsi="方正书宋简体" w:eastAsia="方正书宋简体" w:cs="方正书宋简体"/>
          <w:spacing w:val="-12"/>
          <w:w w:val="99"/>
          <w:sz w:val="21"/>
          <w:szCs w:val="21"/>
        </w:rPr>
        <w:t>A、B、C、D</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2"/>
          <w:w w:val="99"/>
          <w:sz w:val="21"/>
          <w:szCs w:val="21"/>
        </w:rPr>
        <w:t>四级，</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w w:val="99"/>
          <w:sz w:val="21"/>
          <w:szCs w:val="21"/>
        </w:rPr>
        <w:t>评价标准给出</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2"/>
          <w:w w:val="99"/>
          <w:sz w:val="21"/>
          <w:szCs w:val="21"/>
        </w:rPr>
        <w:t>A、C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两级，</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2"/>
          <w:w w:val="99"/>
          <w:sz w:val="21"/>
          <w:szCs w:val="21"/>
        </w:rPr>
        <w:t>介于</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2"/>
          <w:w w:val="99"/>
          <w:sz w:val="21"/>
          <w:szCs w:val="21"/>
        </w:rPr>
        <w:t>A、C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级之间的为</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w w:val="99"/>
          <w:sz w:val="21"/>
          <w:szCs w:val="21"/>
        </w:rPr>
        <w:t>B</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2"/>
          <w:w w:val="99"/>
          <w:sz w:val="21"/>
          <w:szCs w:val="21"/>
        </w:rPr>
        <w:t>级，</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2"/>
          <w:w w:val="99"/>
          <w:sz w:val="21"/>
          <w:szCs w:val="21"/>
        </w:rPr>
        <w:t>低于</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2"/>
          <w:w w:val="99"/>
          <w:sz w:val="21"/>
          <w:szCs w:val="21"/>
        </w:rPr>
        <w:t>C</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2"/>
          <w:w w:val="99"/>
          <w:sz w:val="21"/>
          <w:szCs w:val="21"/>
        </w:rPr>
        <w:t>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的为</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6"/>
          <w:sz w:val="21"/>
          <w:szCs w:val="21"/>
        </w:rPr>
        <w:t>D</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6"/>
          <w:sz w:val="21"/>
          <w:szCs w:val="21"/>
        </w:rPr>
        <w:t>级。</w:t>
      </w:r>
    </w:p>
    <w:p>
      <w:pPr>
        <w:spacing w:before="18" w:line="187"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2、评价结论分为优秀、良好、中等、及格和不及格五等，其标准如下：</w:t>
      </w:r>
    </w:p>
    <w:p>
      <w:pPr>
        <w:spacing w:before="63" w:line="193"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优秀：</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0"/>
          <w:sz w:val="21"/>
          <w:szCs w:val="21"/>
        </w:rPr>
        <w:t>A≥17（重点指标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0"/>
          <w:sz w:val="21"/>
          <w:szCs w:val="21"/>
        </w:rPr>
        <w:t>A≥9</w:t>
      </w:r>
      <w:r>
        <w:rPr>
          <w:rFonts w:ascii="方正书宋简体" w:hAnsi="方正书宋简体" w:eastAsia="方正书宋简体" w:cs="方正书宋简体"/>
          <w:spacing w:val="-89"/>
          <w:w w:val="94"/>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10"/>
          <w:sz w:val="21"/>
          <w:szCs w:val="21"/>
        </w:rPr>
        <w:t>C≤3，D</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0"/>
          <w:sz w:val="21"/>
          <w:szCs w:val="21"/>
        </w:rPr>
        <w:t>=0</w:t>
      </w:r>
    </w:p>
    <w:p>
      <w:pPr>
        <w:spacing w:before="59" w:line="193"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良好：</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A+B≥17（其中重点指标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9"/>
          <w:sz w:val="21"/>
          <w:szCs w:val="21"/>
        </w:rPr>
        <w:t>A≥8</w:t>
      </w:r>
      <w:r>
        <w:rPr>
          <w:rFonts w:ascii="方正书宋简体" w:hAnsi="方正书宋简体" w:eastAsia="方正书宋简体" w:cs="方正书宋简体"/>
          <w:spacing w:val="-92"/>
          <w:w w:val="97"/>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C≤3，D=O</w:t>
      </w:r>
    </w:p>
    <w:p>
      <w:pPr>
        <w:spacing w:before="59" w:line="193" w:lineRule="auto"/>
        <w:ind w:firstLine="455"/>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中等：</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9"/>
          <w:sz w:val="21"/>
          <w:szCs w:val="21"/>
        </w:rPr>
        <w:t>A+B≥15（其中重点指标</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9"/>
          <w:sz w:val="21"/>
          <w:szCs w:val="21"/>
        </w:rPr>
        <w:t>A≥6</w:t>
      </w:r>
      <w:r>
        <w:rPr>
          <w:rFonts w:ascii="方正书宋简体" w:hAnsi="方正书宋简体" w:eastAsia="方正书宋简体" w:cs="方正书宋简体"/>
          <w:spacing w:val="-90"/>
          <w:w w:val="95"/>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C≤5，D</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9"/>
          <w:sz w:val="21"/>
          <w:szCs w:val="21"/>
        </w:rPr>
        <w:t>=0</w:t>
      </w:r>
    </w:p>
    <w:p>
      <w:pPr>
        <w:spacing w:before="59" w:line="193"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及格：</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0"/>
          <w:sz w:val="21"/>
          <w:szCs w:val="21"/>
        </w:rPr>
        <w:t>A</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0"/>
          <w:sz w:val="21"/>
          <w:szCs w:val="21"/>
        </w:rPr>
        <w:t>十</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0"/>
          <w:sz w:val="21"/>
          <w:szCs w:val="21"/>
        </w:rPr>
        <w:t>B≥12（其中重点指标</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sz w:val="21"/>
          <w:szCs w:val="21"/>
        </w:rPr>
        <w:t>A≥5</w:t>
      </w:r>
      <w:r>
        <w:rPr>
          <w:rFonts w:ascii="方正书宋简体" w:hAnsi="方正书宋简体" w:eastAsia="方正书宋简体" w:cs="方正书宋简体"/>
          <w:spacing w:val="-31"/>
          <w:sz w:val="21"/>
          <w:szCs w:val="21"/>
        </w:rPr>
        <w:t>），</w:t>
      </w:r>
      <w:r>
        <w:rPr>
          <w:rFonts w:ascii="方正书宋简体" w:hAnsi="方正书宋简体" w:eastAsia="方正书宋简体" w:cs="方正书宋简体"/>
          <w:spacing w:val="-10"/>
          <w:sz w:val="21"/>
          <w:szCs w:val="21"/>
        </w:rPr>
        <w:t>C≤5，</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10"/>
          <w:sz w:val="21"/>
          <w:szCs w:val="21"/>
        </w:rPr>
        <w:t>D≤3（其中重点指标</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0"/>
          <w:sz w:val="21"/>
          <w:szCs w:val="21"/>
        </w:rPr>
        <w:t>D=O）</w:t>
      </w:r>
    </w:p>
    <w:p>
      <w:pPr>
        <w:spacing w:before="68" w:line="180" w:lineRule="auto"/>
        <w:ind w:firstLine="4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不及格：</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15"/>
          <w:sz w:val="21"/>
          <w:szCs w:val="21"/>
        </w:rPr>
        <w:t>A+B≤11</w:t>
      </w:r>
    </w:p>
    <w:p>
      <w:pPr>
        <w:spacing w:before="71"/>
        <w:ind w:left="12" w:right="8" w:firstLine="42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3、本标准适用于理工及特殊专业，由于各专业的差异性，相关专业可在本标准指导下制定</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2"/>
          <w:sz w:val="21"/>
          <w:szCs w:val="21"/>
        </w:rPr>
        <w:t>适合本专业质量标准，报教务处审定。</w:t>
      </w:r>
    </w:p>
    <w:p>
      <w:pPr>
        <w:spacing w:line="309" w:lineRule="auto"/>
        <w:rPr>
          <w:rFonts w:ascii="Malgun Gothic"/>
          <w:sz w:val="21"/>
        </w:rPr>
      </w:pPr>
    </w:p>
    <w:p>
      <w:pPr>
        <w:spacing w:line="309" w:lineRule="auto"/>
        <w:rPr>
          <w:rFonts w:ascii="Malgun Gothic"/>
          <w:sz w:val="21"/>
        </w:rPr>
      </w:pPr>
    </w:p>
    <w:p>
      <w:pPr>
        <w:spacing w:line="310"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305</w:t>
      </w:r>
    </w:p>
    <w:p>
      <w:pPr>
        <w:sectPr>
          <w:footerReference r:id="rId309" w:type="default"/>
          <w:pgSz w:w="11905" w:h="16840"/>
          <w:pgMar w:top="1431" w:right="1577" w:bottom="400" w:left="157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7"/>
          <w:sz w:val="24"/>
          <w:szCs w:val="24"/>
        </w:rPr>
        <w:t>3</w:t>
      </w:r>
    </w:p>
    <w:p>
      <w:pPr>
        <w:spacing w:before="147" w:line="189" w:lineRule="auto"/>
        <w:ind w:left="2567" w:right="1576" w:hanging="982"/>
        <w:rPr>
          <w:rFonts w:ascii="Microsoft JhengHei" w:hAnsi="Microsoft JhengHei" w:eastAsia="Microsoft JhengHei" w:cs="Microsoft JhengHei"/>
          <w:sz w:val="28"/>
          <w:szCs w:val="28"/>
        </w:rPr>
      </w:pPr>
      <w:r>
        <w:rPr>
          <w:rFonts w:ascii="Microsoft JhengHei" w:hAnsi="Microsoft JhengHei" w:eastAsia="Microsoft JhengHei" w:cs="Microsoft JhengHei"/>
          <w:spacing w:val="-1"/>
          <w:sz w:val="28"/>
          <w:szCs w:val="28"/>
        </w:rPr>
        <w:t>吉首大学学院本科毕业论文（设计）工作质量</w:t>
      </w:r>
      <w:r>
        <w:rPr>
          <w:rFonts w:ascii="Microsoft JhengHei" w:hAnsi="Microsoft JhengHei" w:eastAsia="Microsoft JhengHei" w:cs="Microsoft JhengHei"/>
          <w:spacing w:val="7"/>
          <w:sz w:val="28"/>
          <w:szCs w:val="28"/>
        </w:rPr>
        <w:t xml:space="preserve"> </w:t>
      </w:r>
      <w:r>
        <w:rPr>
          <w:rFonts w:ascii="Microsoft JhengHei" w:hAnsi="Microsoft JhengHei" w:eastAsia="Microsoft JhengHei" w:cs="Microsoft JhengHei"/>
          <w:sz w:val="28"/>
          <w:szCs w:val="28"/>
        </w:rPr>
        <w:t>评价指标和等级标准（试行）</w:t>
      </w:r>
    </w:p>
    <w:p>
      <w:pPr>
        <w:spacing w:line="23"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592"/>
        <w:gridCol w:w="691"/>
        <w:gridCol w:w="2612"/>
        <w:gridCol w:w="2519"/>
        <w:gridCol w:w="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12" w:type="dxa"/>
            <w:vMerge w:val="restart"/>
            <w:tcBorders>
              <w:top w:val="single" w:color="000000" w:sz="6" w:space="0"/>
              <w:left w:val="single" w:color="000000" w:sz="6" w:space="0"/>
              <w:bottom w:val="nil"/>
            </w:tcBorders>
            <w:vAlign w:val="top"/>
          </w:tcPr>
          <w:p>
            <w:pPr>
              <w:spacing w:before="155" w:line="203" w:lineRule="auto"/>
              <w:ind w:firstLine="19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592" w:type="dxa"/>
            <w:vMerge w:val="restart"/>
            <w:tcBorders>
              <w:top w:val="single" w:color="000000" w:sz="6" w:space="0"/>
              <w:bottom w:val="nil"/>
            </w:tcBorders>
            <w:vAlign w:val="top"/>
          </w:tcPr>
          <w:p>
            <w:pPr>
              <w:spacing w:before="309" w:line="180" w:lineRule="auto"/>
              <w:ind w:firstLine="37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691" w:type="dxa"/>
            <w:vMerge w:val="restart"/>
            <w:tcBorders>
              <w:top w:val="single" w:color="000000" w:sz="6" w:space="0"/>
              <w:bottom w:val="nil"/>
            </w:tcBorders>
            <w:vAlign w:val="top"/>
          </w:tcPr>
          <w:p>
            <w:pPr>
              <w:spacing w:before="155" w:line="203" w:lineRule="auto"/>
              <w:ind w:left="132" w:right="134" w:firstLine="1"/>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参考</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4"/>
                <w:sz w:val="21"/>
                <w:szCs w:val="21"/>
              </w:rPr>
              <w:t>权重</w:t>
            </w:r>
          </w:p>
        </w:tc>
        <w:tc>
          <w:tcPr>
            <w:tcW w:w="5131" w:type="dxa"/>
            <w:gridSpan w:val="2"/>
            <w:tcBorders>
              <w:top w:val="single" w:color="000000" w:sz="6" w:space="0"/>
            </w:tcBorders>
            <w:vAlign w:val="top"/>
          </w:tcPr>
          <w:p>
            <w:pPr>
              <w:spacing w:before="99" w:line="180" w:lineRule="auto"/>
              <w:ind w:firstLine="2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c>
          <w:tcPr>
            <w:tcW w:w="508" w:type="dxa"/>
            <w:vMerge w:val="restart"/>
            <w:tcBorders>
              <w:top w:val="single" w:color="000000" w:sz="6" w:space="0"/>
              <w:bottom w:val="nil"/>
              <w:right w:val="single" w:color="000000" w:sz="6" w:space="0"/>
            </w:tcBorders>
            <w:vAlign w:val="top"/>
          </w:tcPr>
          <w:p>
            <w:pPr>
              <w:spacing w:before="309" w:line="180" w:lineRule="auto"/>
              <w:ind w:firstLine="4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812" w:type="dxa"/>
            <w:vMerge w:val="continue"/>
            <w:tcBorders>
              <w:top w:val="nil"/>
              <w:left w:val="single" w:color="000000" w:sz="6" w:space="0"/>
            </w:tcBorders>
            <w:vAlign w:val="top"/>
          </w:tcPr>
          <w:p>
            <w:pPr>
              <w:rPr>
                <w:rFonts w:ascii="Malgun Gothic"/>
                <w:sz w:val="21"/>
              </w:rPr>
            </w:pPr>
          </w:p>
        </w:tc>
        <w:tc>
          <w:tcPr>
            <w:tcW w:w="1592" w:type="dxa"/>
            <w:vMerge w:val="continue"/>
            <w:tcBorders>
              <w:top w:val="nil"/>
            </w:tcBorders>
            <w:vAlign w:val="top"/>
          </w:tcPr>
          <w:p>
            <w:pPr>
              <w:rPr>
                <w:rFonts w:ascii="Malgun Gothic"/>
                <w:sz w:val="21"/>
              </w:rPr>
            </w:pPr>
          </w:p>
        </w:tc>
        <w:tc>
          <w:tcPr>
            <w:tcW w:w="691" w:type="dxa"/>
            <w:vMerge w:val="continue"/>
            <w:tcBorders>
              <w:top w:val="nil"/>
            </w:tcBorders>
            <w:vAlign w:val="top"/>
          </w:tcPr>
          <w:p>
            <w:pPr>
              <w:rPr>
                <w:rFonts w:ascii="Malgun Gothic"/>
                <w:sz w:val="21"/>
              </w:rPr>
            </w:pPr>
          </w:p>
        </w:tc>
        <w:tc>
          <w:tcPr>
            <w:tcW w:w="2612" w:type="dxa"/>
            <w:vAlign w:val="top"/>
          </w:tcPr>
          <w:p>
            <w:pPr>
              <w:spacing w:before="127" w:line="212" w:lineRule="exact"/>
              <w:ind w:firstLine="1235"/>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519" w:type="dxa"/>
            <w:vAlign w:val="top"/>
          </w:tcPr>
          <w:p>
            <w:pPr>
              <w:spacing w:before="123" w:line="216" w:lineRule="exact"/>
              <w:ind w:firstLine="1192"/>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508"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3" w:hRule="atLeast"/>
        </w:trPr>
        <w:tc>
          <w:tcPr>
            <w:tcW w:w="812" w:type="dxa"/>
            <w:vMerge w:val="restart"/>
            <w:tcBorders>
              <w:left w:val="single" w:color="000000" w:sz="6" w:space="0"/>
              <w:bottom w:val="nil"/>
            </w:tcBorders>
            <w:vAlign w:val="top"/>
          </w:tcPr>
          <w:p>
            <w:pPr>
              <w:spacing w:line="269" w:lineRule="auto"/>
              <w:rPr>
                <w:rFonts w:ascii="Malgun Gothic"/>
                <w:sz w:val="21"/>
              </w:rPr>
            </w:pPr>
          </w:p>
          <w:p>
            <w:pPr>
              <w:spacing w:line="269" w:lineRule="auto"/>
              <w:rPr>
                <w:rFonts w:ascii="Malgun Gothic"/>
                <w:sz w:val="21"/>
              </w:rPr>
            </w:pPr>
          </w:p>
          <w:p>
            <w:pPr>
              <w:spacing w:line="269" w:lineRule="auto"/>
              <w:rPr>
                <w:rFonts w:ascii="Malgun Gothic"/>
                <w:sz w:val="21"/>
              </w:rPr>
            </w:pPr>
          </w:p>
          <w:p>
            <w:pPr>
              <w:spacing w:line="269" w:lineRule="auto"/>
              <w:rPr>
                <w:rFonts w:ascii="Malgun Gothic"/>
                <w:sz w:val="21"/>
              </w:rPr>
            </w:pPr>
          </w:p>
          <w:p>
            <w:pPr>
              <w:spacing w:line="269" w:lineRule="auto"/>
              <w:rPr>
                <w:rFonts w:ascii="Malgun Gothic"/>
                <w:sz w:val="21"/>
              </w:rPr>
            </w:pPr>
          </w:p>
          <w:p>
            <w:pPr>
              <w:spacing w:before="75" w:line="180" w:lineRule="auto"/>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领导</w:t>
            </w:r>
          </w:p>
          <w:p>
            <w:pPr>
              <w:spacing w:before="146" w:line="180" w:lineRule="auto"/>
              <w:ind w:firstLine="30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50"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组织</w:t>
            </w:r>
          </w:p>
        </w:tc>
        <w:tc>
          <w:tcPr>
            <w:tcW w:w="1592" w:type="dxa"/>
            <w:vAlign w:val="top"/>
          </w:tcPr>
          <w:p>
            <w:pPr>
              <w:spacing w:before="131" w:line="180" w:lineRule="auto"/>
              <w:ind w:firstLine="67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1.1</w:t>
            </w:r>
          </w:p>
          <w:p>
            <w:pPr>
              <w:spacing w:before="116" w:line="251" w:lineRule="auto"/>
              <w:ind w:left="52" w:right="60"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对毕业论文（设</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
                <w:sz w:val="21"/>
                <w:szCs w:val="21"/>
              </w:rPr>
              <w:t>计）工作的认识</w:t>
            </w:r>
          </w:p>
        </w:tc>
        <w:tc>
          <w:tcPr>
            <w:tcW w:w="691" w:type="dxa"/>
            <w:vAlign w:val="top"/>
          </w:tcPr>
          <w:p>
            <w:pPr>
              <w:spacing w:line="264"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0.4</w:t>
            </w:r>
          </w:p>
        </w:tc>
        <w:tc>
          <w:tcPr>
            <w:tcW w:w="2612" w:type="dxa"/>
            <w:vAlign w:val="top"/>
          </w:tcPr>
          <w:p>
            <w:pPr>
              <w:spacing w:before="123" w:line="269" w:lineRule="auto"/>
              <w:ind w:right="1" w:firstLine="113"/>
              <w:rPr>
                <w:rFonts w:ascii="方正书宋简体" w:hAnsi="方正书宋简体" w:eastAsia="方正书宋简体" w:cs="方正书宋简体"/>
                <w:sz w:val="20"/>
                <w:szCs w:val="20"/>
              </w:rPr>
            </w:pPr>
            <w:r>
              <w:rPr>
                <w:rFonts w:ascii="方正书宋简体" w:hAnsi="方正书宋简体" w:eastAsia="方正书宋简体" w:cs="方正书宋简体"/>
                <w:spacing w:val="7"/>
                <w:sz w:val="20"/>
                <w:szCs w:val="20"/>
              </w:rPr>
              <w:t>一贯重视毕业论文（设计）</w:t>
            </w:r>
            <w:r>
              <w:rPr>
                <w:rFonts w:ascii="方正书宋简体" w:hAnsi="方正书宋简体" w:eastAsia="方正书宋简体" w:cs="方正书宋简体"/>
                <w:w w:val="101"/>
                <w:sz w:val="20"/>
                <w:szCs w:val="20"/>
              </w:rPr>
              <w:t xml:space="preserve"> </w:t>
            </w:r>
            <w:r>
              <w:rPr>
                <w:rFonts w:ascii="方正书宋简体" w:hAnsi="方正书宋简体" w:eastAsia="方正书宋简体" w:cs="方正书宋简体"/>
                <w:spacing w:val="15"/>
                <w:sz w:val="20"/>
                <w:szCs w:val="20"/>
              </w:rPr>
              <w:t>工作，能正确处理毕业论文</w:t>
            </w:r>
            <w:r>
              <w:rPr>
                <w:rFonts w:ascii="方正书宋简体" w:hAnsi="方正书宋简体" w:eastAsia="方正书宋简体" w:cs="方正书宋简体"/>
                <w:spacing w:val="11"/>
                <w:w w:val="101"/>
                <w:sz w:val="20"/>
                <w:szCs w:val="20"/>
              </w:rPr>
              <w:t xml:space="preserve"> </w:t>
            </w:r>
            <w:r>
              <w:rPr>
                <w:rFonts w:ascii="方正书宋简体" w:hAnsi="方正书宋简体" w:eastAsia="方正书宋简体" w:cs="方正书宋简体"/>
                <w:spacing w:val="-1"/>
                <w:sz w:val="20"/>
                <w:szCs w:val="20"/>
              </w:rPr>
              <w:t>（设计）工作与就业的关系；</w:t>
            </w:r>
          </w:p>
        </w:tc>
        <w:tc>
          <w:tcPr>
            <w:tcW w:w="2519" w:type="dxa"/>
            <w:vAlign w:val="top"/>
          </w:tcPr>
          <w:p>
            <w:pPr>
              <w:spacing w:before="130" w:line="272" w:lineRule="auto"/>
              <w:ind w:left="16" w:firstLine="3"/>
              <w:rPr>
                <w:rFonts w:ascii="方正书宋简体" w:hAnsi="方正书宋简体" w:eastAsia="方正书宋简体" w:cs="方正书宋简体"/>
                <w:sz w:val="20"/>
                <w:szCs w:val="20"/>
              </w:rPr>
            </w:pPr>
            <w:r>
              <w:rPr>
                <w:rFonts w:ascii="方正书宋简体" w:hAnsi="方正书宋简体" w:eastAsia="方正书宋简体" w:cs="方正书宋简体"/>
                <w:spacing w:val="-9"/>
                <w:sz w:val="20"/>
                <w:szCs w:val="20"/>
              </w:rPr>
              <w:t>重视毕业论文（设计）工作，</w:t>
            </w:r>
            <w:r>
              <w:rPr>
                <w:rFonts w:ascii="方正书宋简体" w:hAnsi="方正书宋简体" w:eastAsia="方正书宋简体" w:cs="方正书宋简体"/>
                <w:spacing w:val="3"/>
                <w:w w:val="101"/>
                <w:sz w:val="20"/>
                <w:szCs w:val="20"/>
              </w:rPr>
              <w:t xml:space="preserve"> </w:t>
            </w:r>
            <w:r>
              <w:rPr>
                <w:rFonts w:ascii="方正书宋简体" w:hAnsi="方正书宋简体" w:eastAsia="方正书宋简体" w:cs="方正书宋简体"/>
                <w:spacing w:val="20"/>
                <w:sz w:val="20"/>
                <w:szCs w:val="20"/>
              </w:rPr>
              <w:t>能较好处理毕业论文（设</w:t>
            </w:r>
            <w:r>
              <w:rPr>
                <w:rFonts w:ascii="方正书宋简体" w:hAnsi="方正书宋简体" w:eastAsia="方正书宋简体" w:cs="方正书宋简体"/>
                <w:spacing w:val="3"/>
                <w:w w:val="101"/>
                <w:sz w:val="20"/>
                <w:szCs w:val="20"/>
              </w:rPr>
              <w:t xml:space="preserve">  </w:t>
            </w:r>
            <w:r>
              <w:rPr>
                <w:rFonts w:ascii="方正书宋简体" w:hAnsi="方正书宋简体" w:eastAsia="方正书宋简体" w:cs="方正书宋简体"/>
                <w:spacing w:val="1"/>
                <w:sz w:val="20"/>
                <w:szCs w:val="20"/>
              </w:rPr>
              <w:t>计）工作与就业的关系；</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6" w:hRule="atLeast"/>
        </w:trPr>
        <w:tc>
          <w:tcPr>
            <w:tcW w:w="812" w:type="dxa"/>
            <w:vMerge w:val="continue"/>
            <w:tcBorders>
              <w:top w:val="nil"/>
              <w:left w:val="single" w:color="000000" w:sz="6" w:space="0"/>
              <w:bottom w:val="nil"/>
            </w:tcBorders>
            <w:vAlign w:val="top"/>
          </w:tcPr>
          <w:p>
            <w:pPr>
              <w:rPr>
                <w:rFonts w:ascii="Malgun Gothic"/>
                <w:sz w:val="21"/>
              </w:rPr>
            </w:pPr>
          </w:p>
        </w:tc>
        <w:tc>
          <w:tcPr>
            <w:tcW w:w="1592" w:type="dxa"/>
            <w:vAlign w:val="top"/>
          </w:tcPr>
          <w:p>
            <w:pPr>
              <w:spacing w:line="268" w:lineRule="auto"/>
              <w:rPr>
                <w:rFonts w:ascii="Malgun Gothic"/>
                <w:sz w:val="21"/>
              </w:rPr>
            </w:pPr>
          </w:p>
          <w:p>
            <w:pPr>
              <w:spacing w:line="268" w:lineRule="auto"/>
              <w:rPr>
                <w:rFonts w:ascii="Malgun Gothic"/>
                <w:sz w:val="21"/>
              </w:rPr>
            </w:pPr>
          </w:p>
          <w:p>
            <w:pPr>
              <w:spacing w:before="75" w:line="180" w:lineRule="auto"/>
              <w:ind w:firstLine="67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1.2</w:t>
            </w:r>
          </w:p>
          <w:p>
            <w:pPr>
              <w:spacing w:before="103"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组织与安排</w:t>
            </w:r>
          </w:p>
        </w:tc>
        <w:tc>
          <w:tcPr>
            <w:tcW w:w="691" w:type="dxa"/>
            <w:vAlign w:val="top"/>
          </w:tcPr>
          <w:p>
            <w:pPr>
              <w:spacing w:line="329" w:lineRule="auto"/>
              <w:rPr>
                <w:rFonts w:ascii="Malgun Gothic"/>
                <w:sz w:val="21"/>
              </w:rPr>
            </w:pPr>
          </w:p>
          <w:p>
            <w:pPr>
              <w:spacing w:line="330" w:lineRule="auto"/>
              <w:rPr>
                <w:rFonts w:ascii="Malgun Gothic"/>
                <w:sz w:val="21"/>
              </w:rPr>
            </w:pPr>
          </w:p>
          <w:p>
            <w:pPr>
              <w:spacing w:before="7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0.4</w:t>
            </w:r>
          </w:p>
        </w:tc>
        <w:tc>
          <w:tcPr>
            <w:tcW w:w="2612" w:type="dxa"/>
            <w:vAlign w:val="top"/>
          </w:tcPr>
          <w:p>
            <w:pPr>
              <w:spacing w:before="92" w:line="252" w:lineRule="auto"/>
              <w:ind w:left="10" w:right="2"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成立了毕业论文（设计）</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5"/>
                <w:sz w:val="21"/>
                <w:szCs w:val="21"/>
              </w:rPr>
              <w:t>指</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导小组，</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8"/>
                <w:sz w:val="21"/>
                <w:szCs w:val="21"/>
              </w:rPr>
              <w:t>并开展了卓有成效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的工作；</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8"/>
                <w:sz w:val="21"/>
                <w:szCs w:val="21"/>
              </w:rPr>
              <w:t>有切实可行的进度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安排，并有效实施；</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召开了</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高标准的毕业论文（设计）</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7"/>
                <w:sz w:val="21"/>
                <w:szCs w:val="21"/>
              </w:rPr>
              <w:t>动员大会；</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7"/>
                <w:sz w:val="21"/>
                <w:szCs w:val="21"/>
              </w:rPr>
              <w:t>举办了专题辅导</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讲座，且成效显著；</w:t>
            </w:r>
          </w:p>
        </w:tc>
        <w:tc>
          <w:tcPr>
            <w:tcW w:w="2519" w:type="dxa"/>
            <w:vAlign w:val="top"/>
          </w:tcPr>
          <w:p>
            <w:pPr>
              <w:spacing w:before="410" w:line="252" w:lineRule="auto"/>
              <w:ind w:left="16" w:right="4"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成立了毕业论文（设计）</w:t>
            </w:r>
            <w:r>
              <w:rPr>
                <w:rFonts w:ascii="方正书宋简体" w:hAnsi="方正书宋简体" w:eastAsia="方正书宋简体" w:cs="方正书宋简体"/>
                <w:spacing w:val="46"/>
                <w:sz w:val="21"/>
                <w:szCs w:val="21"/>
              </w:rPr>
              <w:t xml:space="preserve"> </w:t>
            </w:r>
            <w:r>
              <w:rPr>
                <w:rFonts w:ascii="方正书宋简体" w:hAnsi="方正书宋简体" w:eastAsia="方正书宋简体" w:cs="方正书宋简体"/>
                <w:spacing w:val="-11"/>
                <w:sz w:val="21"/>
                <w:szCs w:val="21"/>
              </w:rPr>
              <w:t>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8"/>
                <w:sz w:val="21"/>
                <w:szCs w:val="21"/>
              </w:rPr>
              <w:t>导小组，</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20"/>
                <w:w w:val="98"/>
                <w:sz w:val="21"/>
                <w:szCs w:val="21"/>
              </w:rPr>
              <w:t>并开展了工作，</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20"/>
                <w:w w:val="98"/>
                <w:sz w:val="21"/>
                <w:szCs w:val="21"/>
              </w:rPr>
              <w:t>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有一定成效；有进度安排，</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3"/>
                <w:sz w:val="21"/>
                <w:szCs w:val="21"/>
              </w:rPr>
              <w:t>并付诸实施；</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3"/>
                <w:sz w:val="21"/>
                <w:szCs w:val="21"/>
              </w:rPr>
              <w:t>召开了毕业论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文（设计）动员大会；</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0" w:hRule="atLeast"/>
        </w:trPr>
        <w:tc>
          <w:tcPr>
            <w:tcW w:w="812" w:type="dxa"/>
            <w:vMerge w:val="continue"/>
            <w:tcBorders>
              <w:top w:val="nil"/>
              <w:left w:val="single" w:color="000000" w:sz="6" w:space="0"/>
            </w:tcBorders>
            <w:vAlign w:val="top"/>
          </w:tcPr>
          <w:p>
            <w:pPr>
              <w:rPr>
                <w:rFonts w:ascii="Malgun Gothic"/>
                <w:sz w:val="21"/>
              </w:rPr>
            </w:pPr>
          </w:p>
        </w:tc>
        <w:tc>
          <w:tcPr>
            <w:tcW w:w="1592" w:type="dxa"/>
            <w:vAlign w:val="top"/>
          </w:tcPr>
          <w:p>
            <w:pPr>
              <w:spacing w:line="350" w:lineRule="auto"/>
              <w:rPr>
                <w:rFonts w:ascii="Malgun Gothic"/>
                <w:sz w:val="21"/>
              </w:rPr>
            </w:pPr>
          </w:p>
          <w:p>
            <w:pPr>
              <w:spacing w:before="75" w:line="180" w:lineRule="auto"/>
              <w:ind w:firstLine="67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1.3</w:t>
            </w:r>
          </w:p>
          <w:p>
            <w:pPr>
              <w:spacing w:before="117" w:line="180" w:lineRule="auto"/>
              <w:ind w:firstLine="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教师指导的人数</w:t>
            </w:r>
          </w:p>
        </w:tc>
        <w:tc>
          <w:tcPr>
            <w:tcW w:w="691" w:type="dxa"/>
            <w:vAlign w:val="top"/>
          </w:tcPr>
          <w:p>
            <w:pPr>
              <w:spacing w:line="474"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612" w:type="dxa"/>
            <w:vAlign w:val="top"/>
          </w:tcPr>
          <w:p>
            <w:pPr>
              <w:spacing w:line="245" w:lineRule="auto"/>
              <w:rPr>
                <w:rFonts w:ascii="Malgun Gothic"/>
                <w:sz w:val="21"/>
              </w:rPr>
            </w:pPr>
          </w:p>
          <w:p>
            <w:pPr>
              <w:spacing w:before="74" w:line="260" w:lineRule="auto"/>
              <w:ind w:left="15" w:right="10"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对指导教师进行了科学合理</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7"/>
                <w:sz w:val="21"/>
                <w:szCs w:val="21"/>
              </w:rPr>
              <w:t>的分组，</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7"/>
                <w:sz w:val="21"/>
                <w:szCs w:val="21"/>
              </w:rPr>
              <w:t>且每个教师指导的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学生人数≤8</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
                <w:sz w:val="21"/>
                <w:szCs w:val="21"/>
              </w:rPr>
              <w:t>人；</w:t>
            </w:r>
          </w:p>
        </w:tc>
        <w:tc>
          <w:tcPr>
            <w:tcW w:w="2519" w:type="dxa"/>
            <w:vAlign w:val="top"/>
          </w:tcPr>
          <w:p>
            <w:pPr>
              <w:spacing w:before="101" w:line="263" w:lineRule="auto"/>
              <w:ind w:left="17" w:right="4"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举办了专题辅导讲座，</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3"/>
                <w:sz w:val="21"/>
                <w:szCs w:val="21"/>
              </w:rPr>
              <w:t>且有</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7"/>
                <w:sz w:val="21"/>
                <w:szCs w:val="21"/>
              </w:rPr>
              <w:t>一定成效；</w:t>
            </w:r>
          </w:p>
          <w:p>
            <w:pPr>
              <w:spacing w:before="34" w:line="230" w:lineRule="auto"/>
              <w:ind w:left="18" w:right="4"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对指导教师进行了科学合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3"/>
                <w:sz w:val="21"/>
                <w:szCs w:val="21"/>
              </w:rPr>
              <w:t>理的分组，</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3"/>
                <w:sz w:val="21"/>
                <w:szCs w:val="21"/>
              </w:rPr>
              <w:t>且每个教师指导</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的学生人数≤10</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人；</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812" w:type="dxa"/>
            <w:vMerge w:val="restart"/>
            <w:tcBorders>
              <w:left w:val="single" w:color="000000" w:sz="6" w:space="0"/>
              <w:bottom w:val="nil"/>
            </w:tcBorders>
            <w:vAlign w:val="top"/>
          </w:tcPr>
          <w:p>
            <w:pPr>
              <w:spacing w:line="248" w:lineRule="auto"/>
              <w:rPr>
                <w:rFonts w:ascii="Malgun Gothic"/>
                <w:sz w:val="21"/>
              </w:rPr>
            </w:pPr>
          </w:p>
          <w:p>
            <w:pPr>
              <w:spacing w:before="76" w:line="374" w:lineRule="exact"/>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3"/>
                <w:sz w:val="21"/>
                <w:szCs w:val="21"/>
              </w:rPr>
              <w:t>指导</w:t>
            </w:r>
          </w:p>
          <w:p>
            <w:pPr>
              <w:spacing w:line="204" w:lineRule="auto"/>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教师</w:t>
            </w:r>
          </w:p>
          <w:p>
            <w:pPr>
              <w:spacing w:before="114" w:line="180" w:lineRule="auto"/>
              <w:ind w:firstLine="20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队伍</w:t>
            </w:r>
          </w:p>
        </w:tc>
        <w:tc>
          <w:tcPr>
            <w:tcW w:w="1592" w:type="dxa"/>
            <w:vAlign w:val="top"/>
          </w:tcPr>
          <w:p>
            <w:pPr>
              <w:spacing w:before="137" w:line="344" w:lineRule="exact"/>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3"/>
                <w:sz w:val="21"/>
                <w:szCs w:val="21"/>
              </w:rPr>
              <w:t>2.1</w:t>
            </w:r>
          </w:p>
          <w:p>
            <w:pPr>
              <w:spacing w:line="204" w:lineRule="auto"/>
              <w:ind w:firstLine="37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职称结构</w:t>
            </w:r>
          </w:p>
        </w:tc>
        <w:tc>
          <w:tcPr>
            <w:tcW w:w="691" w:type="dxa"/>
            <w:vAlign w:val="top"/>
          </w:tcPr>
          <w:p>
            <w:pPr>
              <w:spacing w:before="320"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c>
          <w:tcPr>
            <w:tcW w:w="2612" w:type="dxa"/>
            <w:vAlign w:val="top"/>
          </w:tcPr>
          <w:p>
            <w:pPr>
              <w:spacing w:before="135" w:line="264" w:lineRule="auto"/>
              <w:ind w:left="38" w:right="10" w:hanging="22"/>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指导教师中具有高级职称的</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8"/>
                <w:sz w:val="21"/>
                <w:szCs w:val="21"/>
              </w:rPr>
              <w:t>比例≥50%；</w:t>
            </w:r>
          </w:p>
        </w:tc>
        <w:tc>
          <w:tcPr>
            <w:tcW w:w="2519" w:type="dxa"/>
            <w:vAlign w:val="top"/>
          </w:tcPr>
          <w:p>
            <w:pPr>
              <w:spacing w:before="135" w:line="264" w:lineRule="auto"/>
              <w:ind w:left="34" w:right="4" w:hanging="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指导教师中具有高级职称</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6"/>
                <w:sz w:val="21"/>
                <w:szCs w:val="21"/>
              </w:rPr>
              <w:t>的比例≥35%；</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812" w:type="dxa"/>
            <w:vMerge w:val="continue"/>
            <w:tcBorders>
              <w:top w:val="nil"/>
              <w:left w:val="single" w:color="000000" w:sz="6" w:space="0"/>
            </w:tcBorders>
            <w:vAlign w:val="top"/>
          </w:tcPr>
          <w:p>
            <w:pPr>
              <w:rPr>
                <w:rFonts w:ascii="Malgun Gothic"/>
                <w:sz w:val="21"/>
              </w:rPr>
            </w:pPr>
          </w:p>
        </w:tc>
        <w:tc>
          <w:tcPr>
            <w:tcW w:w="1592" w:type="dxa"/>
            <w:vAlign w:val="top"/>
          </w:tcPr>
          <w:p>
            <w:pPr>
              <w:spacing w:before="265" w:line="342" w:lineRule="exact"/>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3"/>
                <w:sz w:val="21"/>
                <w:szCs w:val="21"/>
              </w:rPr>
              <w:t>2.2</w:t>
            </w:r>
          </w:p>
          <w:p>
            <w:pPr>
              <w:spacing w:line="204" w:lineRule="auto"/>
              <w:ind w:firstLine="37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学术水平</w:t>
            </w:r>
          </w:p>
        </w:tc>
        <w:tc>
          <w:tcPr>
            <w:tcW w:w="691" w:type="dxa"/>
            <w:vAlign w:val="top"/>
          </w:tcPr>
          <w:p>
            <w:pPr>
              <w:spacing w:line="247" w:lineRule="auto"/>
              <w:rPr>
                <w:rFonts w:ascii="Malgun Gothic"/>
                <w:sz w:val="21"/>
              </w:rPr>
            </w:pPr>
          </w:p>
          <w:p>
            <w:pPr>
              <w:spacing w:before="7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c>
          <w:tcPr>
            <w:tcW w:w="2612" w:type="dxa"/>
            <w:vAlign w:val="top"/>
          </w:tcPr>
          <w:p>
            <w:pPr>
              <w:spacing w:before="102" w:line="232" w:lineRule="auto"/>
              <w:ind w:left="16" w:right="10" w:hanging="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70%以上的指导教师在近两</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rPr>
              <w:t>年内发表过科研、教改论文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4"/>
                <w:sz w:val="21"/>
                <w:szCs w:val="21"/>
              </w:rPr>
              <w:t>或承担科研、教改课题；</w:t>
            </w:r>
          </w:p>
        </w:tc>
        <w:tc>
          <w:tcPr>
            <w:tcW w:w="2519" w:type="dxa"/>
            <w:vAlign w:val="top"/>
          </w:tcPr>
          <w:p>
            <w:pPr>
              <w:spacing w:before="109" w:line="230" w:lineRule="auto"/>
              <w:ind w:left="19" w:right="4" w:hanging="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40%以上的指导教师在近两</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4"/>
                <w:sz w:val="21"/>
                <w:szCs w:val="21"/>
              </w:rPr>
              <w:t>年内发表过科研、教改论文</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4"/>
                <w:sz w:val="21"/>
                <w:szCs w:val="21"/>
              </w:rPr>
              <w:t>或承担科研、教改课题；</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812" w:type="dxa"/>
            <w:vMerge w:val="restart"/>
            <w:tcBorders>
              <w:left w:val="single" w:color="000000" w:sz="6" w:space="0"/>
              <w:bottom w:val="nil"/>
            </w:tcBorders>
            <w:vAlign w:val="top"/>
          </w:tcPr>
          <w:p>
            <w:pPr>
              <w:spacing w:line="259" w:lineRule="auto"/>
              <w:rPr>
                <w:rFonts w:ascii="Malgun Gothic"/>
                <w:sz w:val="21"/>
              </w:rPr>
            </w:pPr>
          </w:p>
          <w:p>
            <w:pPr>
              <w:spacing w:line="259" w:lineRule="auto"/>
              <w:rPr>
                <w:rFonts w:ascii="Malgun Gothic"/>
                <w:sz w:val="21"/>
              </w:rPr>
            </w:pPr>
          </w:p>
          <w:p>
            <w:pPr>
              <w:spacing w:line="260" w:lineRule="auto"/>
              <w:rPr>
                <w:rFonts w:ascii="Malgun Gothic"/>
                <w:sz w:val="21"/>
              </w:rPr>
            </w:pPr>
          </w:p>
          <w:p>
            <w:pPr>
              <w:spacing w:line="260" w:lineRule="auto"/>
              <w:rPr>
                <w:rFonts w:ascii="Malgun Gothic"/>
                <w:sz w:val="21"/>
              </w:rPr>
            </w:pPr>
          </w:p>
          <w:p>
            <w:pPr>
              <w:spacing w:before="75" w:line="372" w:lineRule="exact"/>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3"/>
                <w:sz w:val="21"/>
                <w:szCs w:val="21"/>
              </w:rPr>
              <w:t>保障</w:t>
            </w:r>
          </w:p>
          <w:p>
            <w:pPr>
              <w:spacing w:line="204" w:lineRule="auto"/>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条件</w:t>
            </w:r>
          </w:p>
        </w:tc>
        <w:tc>
          <w:tcPr>
            <w:tcW w:w="1592" w:type="dxa"/>
            <w:vAlign w:val="top"/>
          </w:tcPr>
          <w:p>
            <w:pPr>
              <w:spacing w:line="438" w:lineRule="auto"/>
              <w:rPr>
                <w:rFonts w:ascii="Malgun Gothic"/>
                <w:sz w:val="21"/>
              </w:rPr>
            </w:pPr>
          </w:p>
          <w:p>
            <w:pPr>
              <w:spacing w:before="75" w:line="180" w:lineRule="auto"/>
              <w:ind w:firstLine="6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p>
          <w:p>
            <w:pPr>
              <w:spacing w:before="117" w:line="180" w:lineRule="auto"/>
              <w:ind w:firstLine="2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制度与机制</w:t>
            </w:r>
          </w:p>
        </w:tc>
        <w:tc>
          <w:tcPr>
            <w:tcW w:w="691" w:type="dxa"/>
            <w:vAlign w:val="top"/>
          </w:tcPr>
          <w:p>
            <w:pPr>
              <w:spacing w:line="280" w:lineRule="auto"/>
              <w:rPr>
                <w:rFonts w:ascii="Malgun Gothic"/>
                <w:sz w:val="21"/>
              </w:rPr>
            </w:pPr>
          </w:p>
          <w:p>
            <w:pPr>
              <w:spacing w:line="281"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0.4</w:t>
            </w:r>
          </w:p>
        </w:tc>
        <w:tc>
          <w:tcPr>
            <w:tcW w:w="2612" w:type="dxa"/>
            <w:vAlign w:val="top"/>
          </w:tcPr>
          <w:p>
            <w:pPr>
              <w:spacing w:before="108" w:line="264" w:lineRule="auto"/>
              <w:ind w:right="9" w:firstLine="111"/>
              <w:rPr>
                <w:rFonts w:ascii="方正书宋简体" w:hAnsi="方正书宋简体" w:eastAsia="方正书宋简体" w:cs="方正书宋简体"/>
                <w:sz w:val="20"/>
                <w:szCs w:val="20"/>
              </w:rPr>
            </w:pPr>
            <w:r>
              <w:rPr>
                <w:rFonts w:ascii="方正书宋简体" w:hAnsi="方正书宋简体" w:eastAsia="方正书宋简体" w:cs="方正书宋简体"/>
                <w:spacing w:val="6"/>
                <w:sz w:val="20"/>
                <w:szCs w:val="20"/>
              </w:rPr>
              <w:t>严格执行学校关于毕业论文</w:t>
            </w:r>
            <w:r>
              <w:rPr>
                <w:rFonts w:ascii="方正书宋简体" w:hAnsi="方正书宋简体" w:eastAsia="方正书宋简体" w:cs="方正书宋简体"/>
                <w:spacing w:val="7"/>
                <w:w w:val="101"/>
                <w:sz w:val="20"/>
                <w:szCs w:val="20"/>
              </w:rPr>
              <w:t xml:space="preserve"> </w:t>
            </w:r>
            <w:r>
              <w:rPr>
                <w:rFonts w:ascii="方正书宋简体" w:hAnsi="方正书宋简体" w:eastAsia="方正书宋简体" w:cs="方正书宋简体"/>
                <w:spacing w:val="-10"/>
                <w:sz w:val="20"/>
                <w:szCs w:val="20"/>
              </w:rPr>
              <w:t>（设计）工作的管理规定；</w:t>
            </w:r>
            <w:r>
              <w:rPr>
                <w:rFonts w:ascii="方正书宋简体" w:hAnsi="方正书宋简体" w:eastAsia="方正书宋简体" w:cs="方正书宋简体"/>
                <w:spacing w:val="12"/>
                <w:sz w:val="20"/>
                <w:szCs w:val="20"/>
              </w:rPr>
              <w:t xml:space="preserve">  </w:t>
            </w:r>
            <w:r>
              <w:rPr>
                <w:rFonts w:ascii="方正书宋简体" w:hAnsi="方正书宋简体" w:eastAsia="方正书宋简体" w:cs="方正书宋简体"/>
                <w:spacing w:val="-10"/>
                <w:sz w:val="20"/>
                <w:szCs w:val="20"/>
              </w:rPr>
              <w:t>制</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15"/>
                <w:sz w:val="20"/>
                <w:szCs w:val="20"/>
              </w:rPr>
              <w:t>定了符合专业特点的质量管</w:t>
            </w:r>
            <w:r>
              <w:rPr>
                <w:rFonts w:ascii="方正书宋简体" w:hAnsi="方正书宋简体" w:eastAsia="方正书宋简体" w:cs="方正书宋简体"/>
                <w:spacing w:val="11"/>
                <w:sz w:val="20"/>
                <w:szCs w:val="20"/>
              </w:rPr>
              <w:t xml:space="preserve"> </w:t>
            </w:r>
            <w:r>
              <w:rPr>
                <w:rFonts w:ascii="方正书宋简体" w:hAnsi="方正书宋简体" w:eastAsia="方正书宋简体" w:cs="方正书宋简体"/>
                <w:spacing w:val="4"/>
                <w:sz w:val="20"/>
                <w:szCs w:val="20"/>
              </w:rPr>
              <w:t>理模式和监控机制；</w:t>
            </w:r>
            <w:r>
              <w:rPr>
                <w:rFonts w:ascii="方正书宋简体" w:hAnsi="方正书宋简体" w:eastAsia="方正书宋简体" w:cs="方正书宋简体"/>
                <w:spacing w:val="22"/>
                <w:w w:val="101"/>
                <w:sz w:val="20"/>
                <w:szCs w:val="20"/>
              </w:rPr>
              <w:t xml:space="preserve">  </w:t>
            </w:r>
            <w:r>
              <w:rPr>
                <w:rFonts w:ascii="方正书宋简体" w:hAnsi="方正书宋简体" w:eastAsia="方正书宋简体" w:cs="方正书宋简体"/>
                <w:spacing w:val="4"/>
                <w:sz w:val="20"/>
                <w:szCs w:val="20"/>
              </w:rPr>
              <w:t>毕业论</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7"/>
                <w:sz w:val="20"/>
                <w:szCs w:val="20"/>
              </w:rPr>
              <w:t>文（设计）</w:t>
            </w:r>
            <w:r>
              <w:rPr>
                <w:rFonts w:ascii="方正书宋简体" w:hAnsi="方正书宋简体" w:eastAsia="方正书宋简体" w:cs="方正书宋简体"/>
                <w:spacing w:val="4"/>
                <w:w w:val="101"/>
                <w:sz w:val="20"/>
                <w:szCs w:val="20"/>
              </w:rPr>
              <w:t xml:space="preserve">  </w:t>
            </w:r>
            <w:r>
              <w:rPr>
                <w:rFonts w:ascii="方正书宋简体" w:hAnsi="方正书宋简体" w:eastAsia="方正书宋简体" w:cs="方正书宋简体"/>
                <w:spacing w:val="7"/>
                <w:sz w:val="20"/>
                <w:szCs w:val="20"/>
              </w:rPr>
              <w:t>各主要环节管理</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16"/>
                <w:sz w:val="20"/>
                <w:szCs w:val="20"/>
              </w:rPr>
              <w:t>规范到位；</w:t>
            </w:r>
          </w:p>
        </w:tc>
        <w:tc>
          <w:tcPr>
            <w:tcW w:w="2519" w:type="dxa"/>
            <w:vAlign w:val="top"/>
          </w:tcPr>
          <w:p>
            <w:pPr>
              <w:spacing w:before="109" w:line="265" w:lineRule="auto"/>
              <w:ind w:left="15" w:hanging="1"/>
              <w:rPr>
                <w:rFonts w:ascii="方正书宋简体" w:hAnsi="方正书宋简体" w:eastAsia="方正书宋简体" w:cs="方正书宋简体"/>
                <w:sz w:val="20"/>
                <w:szCs w:val="20"/>
              </w:rPr>
            </w:pPr>
            <w:r>
              <w:rPr>
                <w:rFonts w:ascii="方正书宋简体" w:hAnsi="方正书宋简体" w:eastAsia="方正书宋简体" w:cs="方正书宋简体"/>
                <w:spacing w:val="20"/>
                <w:sz w:val="20"/>
                <w:szCs w:val="20"/>
              </w:rPr>
              <w:t>认真执行学校关于毕业论</w:t>
            </w:r>
            <w:r>
              <w:rPr>
                <w:rFonts w:ascii="方正书宋简体" w:hAnsi="方正书宋简体" w:eastAsia="方正书宋简体" w:cs="方正书宋简体"/>
                <w:spacing w:val="2"/>
                <w:w w:val="103"/>
                <w:sz w:val="20"/>
                <w:szCs w:val="20"/>
              </w:rPr>
              <w:t xml:space="preserve">  </w:t>
            </w:r>
            <w:r>
              <w:rPr>
                <w:rFonts w:ascii="方正书宋简体" w:hAnsi="方正书宋简体" w:eastAsia="方正书宋简体" w:cs="方正书宋简体"/>
                <w:spacing w:val="-9"/>
                <w:sz w:val="20"/>
                <w:szCs w:val="20"/>
              </w:rPr>
              <w:t>文（设计）工作的管理规定；</w:t>
            </w:r>
            <w:r>
              <w:rPr>
                <w:rFonts w:ascii="方正书宋简体" w:hAnsi="方正书宋简体" w:eastAsia="方正书宋简体" w:cs="方正书宋简体"/>
                <w:spacing w:val="7"/>
                <w:sz w:val="20"/>
                <w:szCs w:val="20"/>
              </w:rPr>
              <w:t xml:space="preserve"> </w:t>
            </w:r>
            <w:r>
              <w:rPr>
                <w:rFonts w:ascii="方正书宋简体" w:hAnsi="方正书宋简体" w:eastAsia="方正书宋简体" w:cs="方正书宋简体"/>
                <w:spacing w:val="20"/>
                <w:sz w:val="20"/>
                <w:szCs w:val="20"/>
              </w:rPr>
              <w:t>制定了符合专业特点的质</w:t>
            </w:r>
            <w:r>
              <w:rPr>
                <w:rFonts w:ascii="方正书宋简体" w:hAnsi="方正书宋简体" w:eastAsia="方正书宋简体" w:cs="方正书宋简体"/>
                <w:spacing w:val="2"/>
                <w:sz w:val="20"/>
                <w:szCs w:val="20"/>
              </w:rPr>
              <w:t xml:space="preserve">  </w:t>
            </w:r>
            <w:r>
              <w:rPr>
                <w:rFonts w:ascii="方正书宋简体" w:hAnsi="方正书宋简体" w:eastAsia="方正书宋简体" w:cs="方正书宋简体"/>
                <w:spacing w:val="-8"/>
                <w:sz w:val="20"/>
                <w:szCs w:val="20"/>
              </w:rPr>
              <w:t>量管理模式和监控机制；</w:t>
            </w:r>
            <w:r>
              <w:rPr>
                <w:rFonts w:ascii="方正书宋简体" w:hAnsi="方正书宋简体" w:eastAsia="方正书宋简体" w:cs="方正书宋简体"/>
                <w:spacing w:val="10"/>
                <w:w w:val="101"/>
                <w:sz w:val="20"/>
                <w:szCs w:val="20"/>
              </w:rPr>
              <w:t xml:space="preserve">  </w:t>
            </w:r>
            <w:r>
              <w:rPr>
                <w:rFonts w:ascii="方正书宋简体" w:hAnsi="方正书宋简体" w:eastAsia="方正书宋简体" w:cs="方正书宋简体"/>
                <w:spacing w:val="-8"/>
                <w:sz w:val="20"/>
                <w:szCs w:val="20"/>
              </w:rPr>
              <w:t>毕</w:t>
            </w:r>
            <w:r>
              <w:rPr>
                <w:rFonts w:ascii="方正书宋简体" w:hAnsi="方正书宋简体" w:eastAsia="方正书宋简体" w:cs="方正书宋简体"/>
                <w:w w:val="101"/>
                <w:sz w:val="20"/>
                <w:szCs w:val="20"/>
              </w:rPr>
              <w:t xml:space="preserve">  </w:t>
            </w:r>
            <w:r>
              <w:rPr>
                <w:rFonts w:ascii="方正书宋简体" w:hAnsi="方正书宋简体" w:eastAsia="方正书宋简体" w:cs="方正书宋简体"/>
                <w:spacing w:val="-6"/>
                <w:sz w:val="20"/>
                <w:szCs w:val="20"/>
              </w:rPr>
              <w:t>业论文（设计）</w:t>
            </w:r>
            <w:r>
              <w:rPr>
                <w:rFonts w:ascii="方正书宋简体" w:hAnsi="方正书宋简体" w:eastAsia="方正书宋简体" w:cs="方正书宋简体"/>
                <w:spacing w:val="45"/>
                <w:w w:val="101"/>
                <w:sz w:val="20"/>
                <w:szCs w:val="20"/>
              </w:rPr>
              <w:t xml:space="preserve"> </w:t>
            </w:r>
            <w:r>
              <w:rPr>
                <w:rFonts w:ascii="方正书宋简体" w:hAnsi="方正书宋简体" w:eastAsia="方正书宋简体" w:cs="方正书宋简体"/>
                <w:spacing w:val="-6"/>
                <w:sz w:val="20"/>
                <w:szCs w:val="20"/>
              </w:rPr>
              <w:t>各主要环节</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2"/>
                <w:sz w:val="20"/>
                <w:szCs w:val="20"/>
              </w:rPr>
              <w:t>管理较规范；</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3" w:hRule="atLeast"/>
        </w:trPr>
        <w:tc>
          <w:tcPr>
            <w:tcW w:w="812" w:type="dxa"/>
            <w:vMerge w:val="continue"/>
            <w:tcBorders>
              <w:top w:val="nil"/>
              <w:left w:val="single" w:color="000000" w:sz="6" w:space="0"/>
              <w:bottom w:val="nil"/>
            </w:tcBorders>
            <w:vAlign w:val="top"/>
          </w:tcPr>
          <w:p>
            <w:pPr>
              <w:rPr>
                <w:rFonts w:ascii="Malgun Gothic"/>
                <w:sz w:val="21"/>
              </w:rPr>
            </w:pPr>
          </w:p>
        </w:tc>
        <w:tc>
          <w:tcPr>
            <w:tcW w:w="1592" w:type="dxa"/>
            <w:vAlign w:val="top"/>
          </w:tcPr>
          <w:p>
            <w:pPr>
              <w:spacing w:before="269" w:line="340" w:lineRule="exact"/>
              <w:ind w:firstLine="6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3"/>
                <w:sz w:val="21"/>
                <w:szCs w:val="21"/>
              </w:rPr>
              <w:t>3.2</w:t>
            </w:r>
          </w:p>
          <w:p>
            <w:pPr>
              <w:spacing w:before="1" w:line="204" w:lineRule="auto"/>
              <w:ind w:firstLine="3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工作条件</w:t>
            </w:r>
          </w:p>
        </w:tc>
        <w:tc>
          <w:tcPr>
            <w:tcW w:w="691" w:type="dxa"/>
            <w:vAlign w:val="top"/>
          </w:tcPr>
          <w:p>
            <w:pPr>
              <w:spacing w:line="252"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612" w:type="dxa"/>
            <w:vAlign w:val="top"/>
          </w:tcPr>
          <w:p>
            <w:pPr>
              <w:spacing w:before="108" w:line="243" w:lineRule="auto"/>
              <w:ind w:left="15" w:firstLine="1"/>
              <w:rPr>
                <w:rFonts w:ascii="方正书宋简体" w:hAnsi="方正书宋简体" w:eastAsia="方正书宋简体" w:cs="方正书宋简体"/>
                <w:sz w:val="20"/>
                <w:szCs w:val="20"/>
              </w:rPr>
            </w:pPr>
            <w:r>
              <w:rPr>
                <w:rFonts w:ascii="方正书宋简体" w:hAnsi="方正书宋简体" w:eastAsia="方正书宋简体" w:cs="方正书宋简体"/>
                <w:spacing w:val="6"/>
                <w:sz w:val="20"/>
                <w:szCs w:val="20"/>
              </w:rPr>
              <w:t>实践条件、参考资料、工作</w:t>
            </w:r>
            <w:r>
              <w:rPr>
                <w:rFonts w:ascii="方正书宋简体" w:hAnsi="方正书宋简体" w:eastAsia="方正书宋简体" w:cs="方正书宋简体"/>
                <w:spacing w:val="1"/>
                <w:sz w:val="20"/>
                <w:szCs w:val="20"/>
              </w:rPr>
              <w:t xml:space="preserve">   </w:t>
            </w:r>
            <w:r>
              <w:rPr>
                <w:rFonts w:ascii="方正书宋简体" w:hAnsi="方正书宋简体" w:eastAsia="方正书宋简体" w:cs="方正书宋简体"/>
                <w:spacing w:val="-2"/>
                <w:sz w:val="20"/>
                <w:szCs w:val="20"/>
              </w:rPr>
              <w:t>环境能满足毕业论文（设计）</w:t>
            </w:r>
            <w:r>
              <w:rPr>
                <w:rFonts w:ascii="方正书宋简体" w:hAnsi="方正书宋简体" w:eastAsia="方正书宋简体" w:cs="方正书宋简体"/>
                <w:spacing w:val="11"/>
                <w:sz w:val="20"/>
                <w:szCs w:val="20"/>
              </w:rPr>
              <w:t xml:space="preserve"> </w:t>
            </w:r>
            <w:r>
              <w:rPr>
                <w:rFonts w:ascii="方正书宋简体" w:hAnsi="方正书宋简体" w:eastAsia="方正书宋简体" w:cs="方正书宋简体"/>
                <w:spacing w:val="-6"/>
                <w:sz w:val="20"/>
                <w:szCs w:val="20"/>
              </w:rPr>
              <w:t>的需求；</w:t>
            </w:r>
          </w:p>
        </w:tc>
        <w:tc>
          <w:tcPr>
            <w:tcW w:w="2519" w:type="dxa"/>
            <w:vAlign w:val="top"/>
          </w:tcPr>
          <w:p>
            <w:pPr>
              <w:spacing w:before="109" w:line="231" w:lineRule="auto"/>
              <w:ind w:left="19" w:right="4"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实践条件、参考资料、工作</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5"/>
                <w:sz w:val="21"/>
                <w:szCs w:val="21"/>
              </w:rPr>
              <w:t>环境基本上能满足毕业论</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文（设计）的需求；</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812" w:type="dxa"/>
            <w:vMerge w:val="continue"/>
            <w:tcBorders>
              <w:top w:val="nil"/>
              <w:left w:val="single" w:color="000000" w:sz="6" w:space="0"/>
              <w:bottom w:val="single" w:color="000000" w:sz="6" w:space="0"/>
            </w:tcBorders>
            <w:vAlign w:val="top"/>
          </w:tcPr>
          <w:p>
            <w:pPr>
              <w:rPr>
                <w:rFonts w:ascii="Malgun Gothic"/>
                <w:sz w:val="21"/>
              </w:rPr>
            </w:pPr>
          </w:p>
        </w:tc>
        <w:tc>
          <w:tcPr>
            <w:tcW w:w="1592" w:type="dxa"/>
            <w:tcBorders>
              <w:bottom w:val="single" w:color="000000" w:sz="6" w:space="0"/>
            </w:tcBorders>
            <w:vAlign w:val="top"/>
          </w:tcPr>
          <w:p>
            <w:pPr>
              <w:spacing w:before="145" w:line="344" w:lineRule="exact"/>
              <w:ind w:firstLine="66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3"/>
                <w:sz w:val="21"/>
                <w:szCs w:val="21"/>
              </w:rPr>
              <w:t>3.3</w:t>
            </w:r>
          </w:p>
          <w:p>
            <w:pPr>
              <w:spacing w:line="204" w:lineRule="auto"/>
              <w:ind w:firstLine="3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经费投入</w:t>
            </w:r>
          </w:p>
        </w:tc>
        <w:tc>
          <w:tcPr>
            <w:tcW w:w="691" w:type="dxa"/>
            <w:tcBorders>
              <w:bottom w:val="single" w:color="000000" w:sz="6" w:space="0"/>
            </w:tcBorders>
            <w:vAlign w:val="top"/>
          </w:tcPr>
          <w:p>
            <w:pPr>
              <w:spacing w:before="331"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612" w:type="dxa"/>
            <w:tcBorders>
              <w:bottom w:val="single" w:color="000000" w:sz="6" w:space="0"/>
            </w:tcBorders>
            <w:vAlign w:val="top"/>
          </w:tcPr>
          <w:p>
            <w:pPr>
              <w:spacing w:before="138" w:line="251" w:lineRule="auto"/>
              <w:ind w:left="14" w:right="1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毕业论文（设计）经费管理</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4"/>
                <w:sz w:val="21"/>
                <w:szCs w:val="21"/>
              </w:rPr>
              <w:t>规范，使用合理有效；</w:t>
            </w:r>
          </w:p>
        </w:tc>
        <w:tc>
          <w:tcPr>
            <w:tcW w:w="2519" w:type="dxa"/>
            <w:tcBorders>
              <w:bottom w:val="single" w:color="000000" w:sz="6" w:space="0"/>
            </w:tcBorders>
            <w:vAlign w:val="top"/>
          </w:tcPr>
          <w:p>
            <w:pPr>
              <w:spacing w:before="138" w:line="251" w:lineRule="auto"/>
              <w:ind w:left="18" w:right="6"/>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毕业论文（设计）</w:t>
            </w:r>
            <w:r>
              <w:rPr>
                <w:rFonts w:ascii="方正书宋简体" w:hAnsi="方正书宋简体" w:eastAsia="方正书宋简体" w:cs="方正书宋简体"/>
                <w:spacing w:val="44"/>
                <w:sz w:val="21"/>
                <w:szCs w:val="21"/>
              </w:rPr>
              <w:t xml:space="preserve"> </w:t>
            </w:r>
            <w:r>
              <w:rPr>
                <w:rFonts w:ascii="方正书宋简体" w:hAnsi="方正书宋简体" w:eastAsia="方正书宋简体" w:cs="方正书宋简体"/>
                <w:spacing w:val="-11"/>
                <w:sz w:val="21"/>
                <w:szCs w:val="21"/>
              </w:rPr>
              <w:t>经费管理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较好；</w:t>
            </w:r>
          </w:p>
        </w:tc>
        <w:tc>
          <w:tcPr>
            <w:tcW w:w="508" w:type="dxa"/>
            <w:tcBorders>
              <w:bottom w:val="single" w:color="000000" w:sz="6" w:space="0"/>
              <w:right w:val="single" w:color="000000" w:sz="6" w:space="0"/>
            </w:tcBorders>
            <w:vAlign w:val="top"/>
          </w:tcPr>
          <w:p>
            <w:pPr>
              <w:rPr>
                <w:rFonts w:ascii="Malgun Gothic"/>
                <w:sz w:val="21"/>
              </w:rPr>
            </w:pPr>
          </w:p>
        </w:tc>
      </w:tr>
    </w:tbl>
    <w:p>
      <w:pPr>
        <w:rPr>
          <w:rFonts w:ascii="Malgun Gothic"/>
          <w:sz w:val="21"/>
        </w:rPr>
      </w:pPr>
    </w:p>
    <w:p>
      <w:pPr>
        <w:spacing w:before="60"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306</w:t>
      </w:r>
    </w:p>
    <w:p>
      <w:pPr>
        <w:sectPr>
          <w:footerReference r:id="rId310"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2"/>
        <w:gridCol w:w="1592"/>
        <w:gridCol w:w="691"/>
        <w:gridCol w:w="2612"/>
        <w:gridCol w:w="2519"/>
        <w:gridCol w:w="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812" w:type="dxa"/>
            <w:vMerge w:val="restart"/>
            <w:tcBorders>
              <w:top w:val="single" w:color="000000" w:sz="6" w:space="0"/>
              <w:left w:val="single" w:color="000000" w:sz="6" w:space="0"/>
              <w:bottom w:val="nil"/>
            </w:tcBorders>
            <w:vAlign w:val="top"/>
          </w:tcPr>
          <w:p>
            <w:pPr>
              <w:spacing w:before="155" w:line="203" w:lineRule="auto"/>
              <w:ind w:firstLine="19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4" w:lineRule="auto"/>
              <w:ind w:firstLine="193"/>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592" w:type="dxa"/>
            <w:vMerge w:val="restart"/>
            <w:tcBorders>
              <w:top w:val="single" w:color="000000" w:sz="6" w:space="0"/>
              <w:bottom w:val="nil"/>
            </w:tcBorders>
            <w:vAlign w:val="top"/>
          </w:tcPr>
          <w:p>
            <w:pPr>
              <w:spacing w:before="309" w:line="180" w:lineRule="auto"/>
              <w:ind w:firstLine="37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二级指标</w:t>
            </w:r>
          </w:p>
        </w:tc>
        <w:tc>
          <w:tcPr>
            <w:tcW w:w="691" w:type="dxa"/>
            <w:vMerge w:val="restart"/>
            <w:tcBorders>
              <w:top w:val="single" w:color="000000" w:sz="6" w:space="0"/>
              <w:bottom w:val="nil"/>
            </w:tcBorders>
            <w:vAlign w:val="top"/>
          </w:tcPr>
          <w:p>
            <w:pPr>
              <w:spacing w:before="155" w:line="203" w:lineRule="auto"/>
              <w:ind w:left="132" w:right="134" w:firstLine="1"/>
              <w:rPr>
                <w:rFonts w:ascii="Microsoft JhengHei" w:hAnsi="Microsoft JhengHei" w:eastAsia="Microsoft JhengHei" w:cs="Microsoft JhengHei"/>
                <w:sz w:val="21"/>
                <w:szCs w:val="21"/>
              </w:rPr>
            </w:pPr>
            <w:r>
              <w:rPr>
                <w:rFonts w:ascii="Microsoft JhengHei" w:hAnsi="Microsoft JhengHei" w:eastAsia="Microsoft JhengHei" w:cs="Microsoft JhengHei"/>
                <w:spacing w:val="-5"/>
                <w:sz w:val="21"/>
                <w:szCs w:val="21"/>
              </w:rPr>
              <w:t>参考</w:t>
            </w:r>
            <w:r>
              <w:rPr>
                <w:rFonts w:ascii="Microsoft JhengHei" w:hAnsi="Microsoft JhengHei" w:eastAsia="Microsoft JhengHei" w:cs="Microsoft JhengHei"/>
                <w:spacing w:val="1"/>
                <w:w w:val="101"/>
                <w:sz w:val="21"/>
                <w:szCs w:val="21"/>
              </w:rPr>
              <w:t xml:space="preserve"> </w:t>
            </w:r>
            <w:r>
              <w:rPr>
                <w:rFonts w:ascii="Microsoft JhengHei" w:hAnsi="Microsoft JhengHei" w:eastAsia="Microsoft JhengHei" w:cs="Microsoft JhengHei"/>
                <w:spacing w:val="-4"/>
                <w:sz w:val="21"/>
                <w:szCs w:val="21"/>
              </w:rPr>
              <w:t>权重</w:t>
            </w:r>
          </w:p>
        </w:tc>
        <w:tc>
          <w:tcPr>
            <w:tcW w:w="5131" w:type="dxa"/>
            <w:gridSpan w:val="2"/>
            <w:tcBorders>
              <w:top w:val="single" w:color="000000" w:sz="6" w:space="0"/>
            </w:tcBorders>
            <w:vAlign w:val="top"/>
          </w:tcPr>
          <w:p>
            <w:pPr>
              <w:spacing w:before="99" w:line="180" w:lineRule="auto"/>
              <w:ind w:firstLine="2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等级标准</w:t>
            </w:r>
          </w:p>
        </w:tc>
        <w:tc>
          <w:tcPr>
            <w:tcW w:w="508" w:type="dxa"/>
            <w:vMerge w:val="restart"/>
            <w:tcBorders>
              <w:top w:val="single" w:color="000000" w:sz="6" w:space="0"/>
              <w:bottom w:val="nil"/>
              <w:right w:val="single" w:color="000000" w:sz="6" w:space="0"/>
            </w:tcBorders>
            <w:vAlign w:val="top"/>
          </w:tcPr>
          <w:p>
            <w:pPr>
              <w:spacing w:before="309" w:line="180" w:lineRule="auto"/>
              <w:ind w:firstLine="4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812" w:type="dxa"/>
            <w:vMerge w:val="continue"/>
            <w:tcBorders>
              <w:top w:val="nil"/>
              <w:left w:val="single" w:color="000000" w:sz="6" w:space="0"/>
            </w:tcBorders>
            <w:vAlign w:val="top"/>
          </w:tcPr>
          <w:p>
            <w:pPr>
              <w:rPr>
                <w:rFonts w:ascii="Malgun Gothic"/>
                <w:sz w:val="21"/>
              </w:rPr>
            </w:pPr>
          </w:p>
        </w:tc>
        <w:tc>
          <w:tcPr>
            <w:tcW w:w="1592" w:type="dxa"/>
            <w:vMerge w:val="continue"/>
            <w:tcBorders>
              <w:top w:val="nil"/>
            </w:tcBorders>
            <w:vAlign w:val="top"/>
          </w:tcPr>
          <w:p>
            <w:pPr>
              <w:rPr>
                <w:rFonts w:ascii="Malgun Gothic"/>
                <w:sz w:val="21"/>
              </w:rPr>
            </w:pPr>
          </w:p>
        </w:tc>
        <w:tc>
          <w:tcPr>
            <w:tcW w:w="691" w:type="dxa"/>
            <w:vMerge w:val="continue"/>
            <w:tcBorders>
              <w:top w:val="nil"/>
            </w:tcBorders>
            <w:vAlign w:val="top"/>
          </w:tcPr>
          <w:p>
            <w:pPr>
              <w:rPr>
                <w:rFonts w:ascii="Malgun Gothic"/>
                <w:sz w:val="21"/>
              </w:rPr>
            </w:pPr>
          </w:p>
        </w:tc>
        <w:tc>
          <w:tcPr>
            <w:tcW w:w="2612" w:type="dxa"/>
            <w:vAlign w:val="top"/>
          </w:tcPr>
          <w:p>
            <w:pPr>
              <w:spacing w:before="127" w:line="212" w:lineRule="exact"/>
              <w:ind w:firstLine="1235"/>
              <w:rPr>
                <w:rFonts w:ascii="Microsoft JhengHei" w:hAnsi="Microsoft JhengHei" w:eastAsia="Microsoft JhengHei" w:cs="Microsoft JhengHei"/>
                <w:sz w:val="21"/>
                <w:szCs w:val="21"/>
              </w:rPr>
            </w:pPr>
            <w:r>
              <w:rPr>
                <w:rFonts w:ascii="Microsoft JhengHei" w:hAnsi="Microsoft JhengHei" w:eastAsia="Microsoft JhengHei" w:cs="Microsoft JhengHei"/>
                <w:sz w:val="21"/>
                <w:szCs w:val="21"/>
              </w:rPr>
              <w:t>A</w:t>
            </w:r>
          </w:p>
        </w:tc>
        <w:tc>
          <w:tcPr>
            <w:tcW w:w="2519" w:type="dxa"/>
            <w:vAlign w:val="top"/>
          </w:tcPr>
          <w:p>
            <w:pPr>
              <w:spacing w:before="123" w:line="216" w:lineRule="exact"/>
              <w:ind w:firstLine="1192"/>
              <w:rPr>
                <w:rFonts w:ascii="Microsoft JhengHei" w:hAnsi="Microsoft JhengHei" w:eastAsia="Microsoft JhengHei" w:cs="Microsoft JhengHei"/>
                <w:sz w:val="21"/>
                <w:szCs w:val="21"/>
              </w:rPr>
            </w:pPr>
            <w:r>
              <w:rPr>
                <w:rFonts w:ascii="Microsoft JhengHei" w:hAnsi="Microsoft JhengHei" w:eastAsia="Microsoft JhengHei" w:cs="Microsoft JhengHei"/>
                <w:spacing w:val="1"/>
                <w:sz w:val="21"/>
                <w:szCs w:val="21"/>
              </w:rPr>
              <w:t>C</w:t>
            </w:r>
          </w:p>
        </w:tc>
        <w:tc>
          <w:tcPr>
            <w:tcW w:w="508"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812" w:type="dxa"/>
            <w:vMerge w:val="restart"/>
            <w:tcBorders>
              <w:left w:val="single" w:color="000000" w:sz="6" w:space="0"/>
              <w:bottom w:val="nil"/>
            </w:tcBorders>
            <w:vAlign w:val="top"/>
          </w:tcPr>
          <w:p>
            <w:pPr>
              <w:spacing w:line="300" w:lineRule="auto"/>
              <w:rPr>
                <w:rFonts w:ascii="Malgun Gothic"/>
                <w:sz w:val="21"/>
              </w:rPr>
            </w:pPr>
          </w:p>
          <w:p>
            <w:pPr>
              <w:spacing w:line="300" w:lineRule="auto"/>
              <w:rPr>
                <w:rFonts w:ascii="Malgun Gothic"/>
                <w:sz w:val="21"/>
              </w:rPr>
            </w:pPr>
          </w:p>
          <w:p>
            <w:pPr>
              <w:spacing w:line="300" w:lineRule="auto"/>
              <w:rPr>
                <w:rFonts w:ascii="Malgun Gothic"/>
                <w:sz w:val="21"/>
              </w:rPr>
            </w:pPr>
          </w:p>
          <w:p>
            <w:pPr>
              <w:spacing w:before="68" w:line="247" w:lineRule="auto"/>
              <w:ind w:right="27" w:firstLine="245"/>
              <w:rPr>
                <w:rFonts w:ascii="方正书宋简体" w:hAnsi="方正书宋简体" w:eastAsia="方正书宋简体" w:cs="方正书宋简体"/>
                <w:sz w:val="19"/>
                <w:szCs w:val="19"/>
              </w:rPr>
            </w:pPr>
            <w:r>
              <w:rPr>
                <w:rFonts w:ascii="方正书宋简体" w:hAnsi="方正书宋简体" w:eastAsia="方正书宋简体" w:cs="方正书宋简体"/>
                <w:spacing w:val="-3"/>
                <w:sz w:val="19"/>
                <w:szCs w:val="19"/>
              </w:rPr>
              <w:t>论文</w:t>
            </w:r>
            <w:r>
              <w:rPr>
                <w:rFonts w:ascii="方正书宋简体" w:hAnsi="方正书宋简体" w:eastAsia="方正书宋简体" w:cs="方正书宋简体"/>
                <w:w w:val="101"/>
                <w:sz w:val="19"/>
                <w:szCs w:val="19"/>
              </w:rPr>
              <w:t xml:space="preserve">    </w:t>
            </w:r>
            <w:r>
              <w:rPr>
                <w:rFonts w:ascii="方正书宋简体" w:hAnsi="方正书宋简体" w:eastAsia="方正书宋简体" w:cs="方正书宋简体"/>
                <w:spacing w:val="2"/>
                <w:sz w:val="19"/>
                <w:szCs w:val="19"/>
              </w:rPr>
              <w:t>（设计）</w:t>
            </w:r>
          </w:p>
          <w:p>
            <w:pPr>
              <w:spacing w:before="163"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撰写</w:t>
            </w:r>
          </w:p>
          <w:p>
            <w:pPr>
              <w:spacing w:before="136"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指导</w:t>
            </w:r>
          </w:p>
        </w:tc>
        <w:tc>
          <w:tcPr>
            <w:tcW w:w="1592" w:type="dxa"/>
            <w:vAlign w:val="top"/>
          </w:tcPr>
          <w:p>
            <w:pPr>
              <w:spacing w:before="408" w:line="332" w:lineRule="exact"/>
              <w:ind w:firstLine="65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4.1</w:t>
            </w:r>
          </w:p>
          <w:p>
            <w:pPr>
              <w:spacing w:line="204" w:lineRule="auto"/>
              <w:ind w:firstLine="5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选题</w:t>
            </w:r>
          </w:p>
        </w:tc>
        <w:tc>
          <w:tcPr>
            <w:tcW w:w="691" w:type="dxa"/>
            <w:vAlign w:val="top"/>
          </w:tcPr>
          <w:p>
            <w:pPr>
              <w:spacing w:line="339"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612" w:type="dxa"/>
            <w:vAlign w:val="top"/>
          </w:tcPr>
          <w:p>
            <w:pPr>
              <w:spacing w:before="89" w:line="235" w:lineRule="auto"/>
              <w:ind w:left="12" w:right="1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题目的性质、难度、份量和</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4"/>
                <w:sz w:val="21"/>
                <w:szCs w:val="21"/>
              </w:rPr>
              <w:t>综合训练等能达到教学计划</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11"/>
                <w:sz w:val="21"/>
                <w:szCs w:val="21"/>
              </w:rPr>
              <w:t>对本教学</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1"/>
                <w:sz w:val="21"/>
                <w:szCs w:val="21"/>
              </w:rPr>
              <w:t>环</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1"/>
                <w:sz w:val="21"/>
                <w:szCs w:val="21"/>
              </w:rPr>
              <w:t>节所规定</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1"/>
                <w:sz w:val="21"/>
                <w:szCs w:val="21"/>
              </w:rPr>
              <w:t>的</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1"/>
                <w:sz w:val="21"/>
                <w:szCs w:val="21"/>
              </w:rPr>
              <w:t>要</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求；做到了一人一题；</w:t>
            </w:r>
          </w:p>
        </w:tc>
        <w:tc>
          <w:tcPr>
            <w:tcW w:w="2519" w:type="dxa"/>
            <w:vAlign w:val="top"/>
          </w:tcPr>
          <w:p>
            <w:pPr>
              <w:spacing w:before="89" w:line="235" w:lineRule="auto"/>
              <w:ind w:left="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题目的性质、难度、份量和综</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3"/>
                <w:sz w:val="21"/>
                <w:szCs w:val="21"/>
              </w:rPr>
              <w:t>合训练等能基本达到教学计</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3"/>
                <w:sz w:val="21"/>
                <w:szCs w:val="21"/>
              </w:rPr>
              <w:t>划对本教学环节所规定的要</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4"/>
                <w:sz w:val="21"/>
                <w:szCs w:val="21"/>
              </w:rPr>
              <w:t>求；基本做到了一人一题；</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12" w:type="dxa"/>
            <w:vMerge w:val="continue"/>
            <w:tcBorders>
              <w:top w:val="nil"/>
              <w:left w:val="single" w:color="000000" w:sz="6" w:space="0"/>
              <w:bottom w:val="nil"/>
            </w:tcBorders>
            <w:vAlign w:val="top"/>
          </w:tcPr>
          <w:p>
            <w:pPr>
              <w:rPr>
                <w:rFonts w:ascii="Malgun Gothic"/>
                <w:sz w:val="21"/>
              </w:rPr>
            </w:pPr>
          </w:p>
        </w:tc>
        <w:tc>
          <w:tcPr>
            <w:tcW w:w="1592" w:type="dxa"/>
            <w:vAlign w:val="top"/>
          </w:tcPr>
          <w:p>
            <w:pPr>
              <w:spacing w:before="121" w:line="227" w:lineRule="auto"/>
              <w:ind w:firstLine="65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p>
          <w:p>
            <w:pPr>
              <w:spacing w:line="204" w:lineRule="auto"/>
              <w:ind w:firstLine="5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开题</w:t>
            </w:r>
          </w:p>
        </w:tc>
        <w:tc>
          <w:tcPr>
            <w:tcW w:w="691" w:type="dxa"/>
            <w:vAlign w:val="top"/>
          </w:tcPr>
          <w:p>
            <w:pPr>
              <w:spacing w:before="27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612" w:type="dxa"/>
            <w:vAlign w:val="top"/>
          </w:tcPr>
          <w:p>
            <w:pPr>
              <w:spacing w:before="88" w:line="220" w:lineRule="auto"/>
              <w:ind w:left="13" w:right="1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组织督促每个学生都作了开</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题报告，且成效显著；</w:t>
            </w:r>
          </w:p>
        </w:tc>
        <w:tc>
          <w:tcPr>
            <w:tcW w:w="2519" w:type="dxa"/>
            <w:vAlign w:val="top"/>
          </w:tcPr>
          <w:p>
            <w:pPr>
              <w:spacing w:before="88" w:line="220" w:lineRule="auto"/>
              <w:ind w:left="17" w:right="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组织督促</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7"/>
                <w:sz w:val="21"/>
                <w:szCs w:val="21"/>
              </w:rPr>
              <w:t>70%以上的学生</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作了开题报告，有记录；</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812" w:type="dxa"/>
            <w:vMerge w:val="continue"/>
            <w:tcBorders>
              <w:top w:val="nil"/>
              <w:left w:val="single" w:color="000000" w:sz="6" w:space="0"/>
              <w:bottom w:val="nil"/>
            </w:tcBorders>
            <w:vAlign w:val="top"/>
          </w:tcPr>
          <w:p>
            <w:pPr>
              <w:rPr>
                <w:rFonts w:ascii="Malgun Gothic"/>
                <w:sz w:val="21"/>
              </w:rPr>
            </w:pPr>
          </w:p>
        </w:tc>
        <w:tc>
          <w:tcPr>
            <w:tcW w:w="1592" w:type="dxa"/>
            <w:vAlign w:val="top"/>
          </w:tcPr>
          <w:p>
            <w:pPr>
              <w:spacing w:before="255" w:line="329" w:lineRule="exact"/>
              <w:ind w:firstLine="65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4.3</w:t>
            </w:r>
          </w:p>
          <w:p>
            <w:pPr>
              <w:spacing w:line="204" w:lineRule="auto"/>
              <w:ind w:firstLine="39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中期检查</w:t>
            </w:r>
          </w:p>
        </w:tc>
        <w:tc>
          <w:tcPr>
            <w:tcW w:w="691" w:type="dxa"/>
            <w:vAlign w:val="top"/>
          </w:tcPr>
          <w:p>
            <w:pPr>
              <w:spacing w:before="43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612" w:type="dxa"/>
            <w:vAlign w:val="top"/>
          </w:tcPr>
          <w:p>
            <w:pPr>
              <w:spacing w:before="90" w:line="242" w:lineRule="auto"/>
              <w:ind w:left="13" w:hanging="3"/>
              <w:rPr>
                <w:rFonts w:ascii="方正书宋简体" w:hAnsi="方正书宋简体" w:eastAsia="方正书宋简体" w:cs="方正书宋简体"/>
                <w:sz w:val="20"/>
                <w:szCs w:val="20"/>
              </w:rPr>
            </w:pPr>
            <w:r>
              <w:rPr>
                <w:rFonts w:ascii="方正书宋简体" w:hAnsi="方正书宋简体" w:eastAsia="方正书宋简体" w:cs="方正书宋简体"/>
                <w:spacing w:val="-1"/>
                <w:sz w:val="20"/>
                <w:szCs w:val="20"/>
              </w:rPr>
              <w:t>认真进行了毕业论文（设计）</w:t>
            </w:r>
            <w:r>
              <w:rPr>
                <w:rFonts w:ascii="方正书宋简体" w:hAnsi="方正书宋简体" w:eastAsia="方正书宋简体" w:cs="方正书宋简体"/>
                <w:spacing w:val="3"/>
                <w:sz w:val="20"/>
                <w:szCs w:val="20"/>
              </w:rPr>
              <w:t xml:space="preserve"> </w:t>
            </w:r>
            <w:r>
              <w:rPr>
                <w:rFonts w:ascii="方正书宋简体" w:hAnsi="方正书宋简体" w:eastAsia="方正书宋简体" w:cs="方正书宋简体"/>
                <w:spacing w:val="-18"/>
                <w:sz w:val="20"/>
                <w:szCs w:val="20"/>
              </w:rPr>
              <w:t>中期检查，</w:t>
            </w:r>
            <w:r>
              <w:rPr>
                <w:rFonts w:ascii="方正书宋简体" w:hAnsi="方正书宋简体" w:eastAsia="方正书宋简体" w:cs="方正书宋简体"/>
                <w:spacing w:val="25"/>
                <w:w w:val="101"/>
                <w:sz w:val="20"/>
                <w:szCs w:val="20"/>
              </w:rPr>
              <w:t xml:space="preserve">  </w:t>
            </w:r>
            <w:r>
              <w:rPr>
                <w:rFonts w:ascii="方正书宋简体" w:hAnsi="方正书宋简体" w:eastAsia="方正书宋简体" w:cs="方正书宋简体"/>
                <w:spacing w:val="-18"/>
                <w:sz w:val="20"/>
                <w:szCs w:val="20"/>
              </w:rPr>
              <w:t>及时整改，</w:t>
            </w:r>
            <w:r>
              <w:rPr>
                <w:rFonts w:ascii="方正书宋简体" w:hAnsi="方正书宋简体" w:eastAsia="方正书宋简体" w:cs="方正书宋简体"/>
                <w:spacing w:val="23"/>
                <w:sz w:val="20"/>
                <w:szCs w:val="20"/>
              </w:rPr>
              <w:t xml:space="preserve">  </w:t>
            </w:r>
            <w:r>
              <w:rPr>
                <w:rFonts w:ascii="方正书宋简体" w:hAnsi="方正书宋简体" w:eastAsia="方正书宋简体" w:cs="方正书宋简体"/>
                <w:spacing w:val="-18"/>
                <w:sz w:val="20"/>
                <w:szCs w:val="20"/>
              </w:rPr>
              <w:t>措施</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3"/>
                <w:sz w:val="20"/>
                <w:szCs w:val="20"/>
              </w:rPr>
              <w:t>有力，且成效显著；</w:t>
            </w:r>
          </w:p>
        </w:tc>
        <w:tc>
          <w:tcPr>
            <w:tcW w:w="2519" w:type="dxa"/>
            <w:vAlign w:val="top"/>
          </w:tcPr>
          <w:p>
            <w:pPr>
              <w:spacing w:before="84" w:line="232" w:lineRule="auto"/>
              <w:ind w:left="16" w:right="4"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进行了毕业论文（设计）</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2"/>
                <w:sz w:val="21"/>
                <w:szCs w:val="21"/>
              </w:rPr>
              <w:t>中</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期检查，及时进行了整改，</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6"/>
                <w:sz w:val="21"/>
                <w:szCs w:val="21"/>
              </w:rPr>
              <w:t>有一定成效；</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812" w:type="dxa"/>
            <w:vMerge w:val="continue"/>
            <w:tcBorders>
              <w:top w:val="nil"/>
              <w:left w:val="single" w:color="000000" w:sz="6" w:space="0"/>
            </w:tcBorders>
            <w:vAlign w:val="top"/>
          </w:tcPr>
          <w:p>
            <w:pPr>
              <w:rPr>
                <w:rFonts w:ascii="Malgun Gothic"/>
                <w:sz w:val="21"/>
              </w:rPr>
            </w:pPr>
          </w:p>
        </w:tc>
        <w:tc>
          <w:tcPr>
            <w:tcW w:w="1592" w:type="dxa"/>
            <w:vAlign w:val="top"/>
          </w:tcPr>
          <w:p>
            <w:pPr>
              <w:spacing w:before="257" w:line="180" w:lineRule="auto"/>
              <w:ind w:firstLine="65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4.4</w:t>
            </w:r>
          </w:p>
          <w:p>
            <w:pPr>
              <w:spacing w:before="105" w:line="180" w:lineRule="auto"/>
              <w:ind w:firstLine="1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教师指导情况</w:t>
            </w:r>
          </w:p>
        </w:tc>
        <w:tc>
          <w:tcPr>
            <w:tcW w:w="691" w:type="dxa"/>
            <w:vAlign w:val="top"/>
          </w:tcPr>
          <w:p>
            <w:pPr>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0.3</w:t>
            </w:r>
          </w:p>
        </w:tc>
        <w:tc>
          <w:tcPr>
            <w:tcW w:w="2612" w:type="dxa"/>
            <w:vAlign w:val="top"/>
          </w:tcPr>
          <w:p>
            <w:pPr>
              <w:spacing w:before="243" w:line="251" w:lineRule="auto"/>
              <w:ind w:left="16" w:right="2"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具体指导每个学生次数≥5；</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指导意见具体，有针对性；</w:t>
            </w:r>
          </w:p>
        </w:tc>
        <w:tc>
          <w:tcPr>
            <w:tcW w:w="2519" w:type="dxa"/>
            <w:vAlign w:val="top"/>
          </w:tcPr>
          <w:p>
            <w:pPr>
              <w:spacing w:before="90" w:line="231" w:lineRule="auto"/>
              <w:ind w:left="17" w:right="4"/>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具体指导每个学生次数≥</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6"/>
                <w:sz w:val="21"/>
                <w:szCs w:val="21"/>
              </w:rPr>
              <w:t>3；指导意见较具体，有一</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7"/>
                <w:sz w:val="21"/>
                <w:szCs w:val="21"/>
              </w:rPr>
              <w:t>定针对性；</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4" w:hRule="atLeast"/>
        </w:trPr>
        <w:tc>
          <w:tcPr>
            <w:tcW w:w="812" w:type="dxa"/>
            <w:vMerge w:val="restart"/>
            <w:tcBorders>
              <w:left w:val="single" w:color="000000" w:sz="6" w:space="0"/>
              <w:bottom w:val="nil"/>
            </w:tcBorders>
            <w:vAlign w:val="top"/>
          </w:tcPr>
          <w:p>
            <w:pPr>
              <w:spacing w:line="257"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before="75"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成绩</w:t>
            </w:r>
          </w:p>
          <w:p>
            <w:pPr>
              <w:spacing w:before="138"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评定</w:t>
            </w:r>
          </w:p>
          <w:p>
            <w:pPr>
              <w:spacing w:before="135" w:line="180" w:lineRule="auto"/>
              <w:ind w:firstLine="19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与效</w:t>
            </w:r>
          </w:p>
          <w:p>
            <w:pPr>
              <w:spacing w:before="139" w:line="180" w:lineRule="auto"/>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果</w:t>
            </w:r>
          </w:p>
        </w:tc>
        <w:tc>
          <w:tcPr>
            <w:tcW w:w="1592" w:type="dxa"/>
            <w:vAlign w:val="top"/>
          </w:tcPr>
          <w:p>
            <w:pPr>
              <w:spacing w:line="342" w:lineRule="auto"/>
              <w:rPr>
                <w:rFonts w:ascii="Malgun Gothic"/>
                <w:sz w:val="21"/>
              </w:rPr>
            </w:pPr>
          </w:p>
          <w:p>
            <w:pPr>
              <w:spacing w:before="75" w:line="333" w:lineRule="exact"/>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5.1</w:t>
            </w:r>
          </w:p>
          <w:p>
            <w:pPr>
              <w:spacing w:line="204" w:lineRule="auto"/>
              <w:ind w:firstLine="37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质量标准</w:t>
            </w:r>
          </w:p>
        </w:tc>
        <w:tc>
          <w:tcPr>
            <w:tcW w:w="691" w:type="dxa"/>
            <w:vAlign w:val="top"/>
          </w:tcPr>
          <w:p>
            <w:pPr>
              <w:spacing w:line="463" w:lineRule="auto"/>
              <w:rPr>
                <w:rFonts w:ascii="Malgun Gothic"/>
                <w:sz w:val="21"/>
              </w:rPr>
            </w:pPr>
          </w:p>
          <w:p>
            <w:pPr>
              <w:spacing w:before="7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0.2</w:t>
            </w:r>
          </w:p>
        </w:tc>
        <w:tc>
          <w:tcPr>
            <w:tcW w:w="2612" w:type="dxa"/>
            <w:vAlign w:val="top"/>
          </w:tcPr>
          <w:p>
            <w:pPr>
              <w:spacing w:before="117" w:line="267" w:lineRule="auto"/>
              <w:ind w:left="12" w:firstLine="2"/>
              <w:rPr>
                <w:rFonts w:ascii="方正书宋简体" w:hAnsi="方正书宋简体" w:eastAsia="方正书宋简体" w:cs="方正书宋简体"/>
                <w:sz w:val="20"/>
                <w:szCs w:val="20"/>
              </w:rPr>
            </w:pPr>
            <w:r>
              <w:rPr>
                <w:rFonts w:ascii="方正书宋简体" w:hAnsi="方正书宋简体" w:eastAsia="方正书宋简体" w:cs="方正书宋简体"/>
                <w:spacing w:val="6"/>
                <w:sz w:val="20"/>
                <w:szCs w:val="20"/>
              </w:rPr>
              <w:t>制定了科学的符合专业教学</w:t>
            </w:r>
            <w:r>
              <w:rPr>
                <w:rFonts w:ascii="方正书宋简体" w:hAnsi="方正书宋简体" w:eastAsia="方正书宋简体" w:cs="方正书宋简体"/>
                <w:spacing w:val="1"/>
                <w:w w:val="102"/>
                <w:sz w:val="20"/>
                <w:szCs w:val="20"/>
              </w:rPr>
              <w:t xml:space="preserve">   </w:t>
            </w:r>
            <w:r>
              <w:rPr>
                <w:rFonts w:ascii="方正书宋简体" w:hAnsi="方正书宋简体" w:eastAsia="方正书宋简体" w:cs="方正书宋简体"/>
                <w:spacing w:val="-1"/>
                <w:sz w:val="20"/>
                <w:szCs w:val="20"/>
              </w:rPr>
              <w:t>计划要求的毕业论文（设计）</w:t>
            </w:r>
            <w:r>
              <w:rPr>
                <w:rFonts w:ascii="方正书宋简体" w:hAnsi="方正书宋简体" w:eastAsia="方正书宋简体" w:cs="方正书宋简体"/>
                <w:spacing w:val="1"/>
                <w:sz w:val="20"/>
                <w:szCs w:val="20"/>
              </w:rPr>
              <w:t xml:space="preserve"> </w:t>
            </w:r>
            <w:r>
              <w:rPr>
                <w:rFonts w:ascii="方正书宋简体" w:hAnsi="方正书宋简体" w:eastAsia="方正书宋简体" w:cs="方正书宋简体"/>
                <w:spacing w:val="-6"/>
                <w:sz w:val="20"/>
                <w:szCs w:val="20"/>
              </w:rPr>
              <w:t>质量标准；</w:t>
            </w:r>
            <w:r>
              <w:rPr>
                <w:rFonts w:ascii="方正书宋简体" w:hAnsi="方正书宋简体" w:eastAsia="方正书宋简体" w:cs="方正书宋简体"/>
                <w:spacing w:val="26"/>
                <w:w w:val="101"/>
                <w:sz w:val="20"/>
                <w:szCs w:val="20"/>
              </w:rPr>
              <w:t xml:space="preserve">  </w:t>
            </w:r>
            <w:r>
              <w:rPr>
                <w:rFonts w:ascii="方正书宋简体" w:hAnsi="方正书宋简体" w:eastAsia="方正书宋简体" w:cs="方正书宋简体"/>
                <w:spacing w:val="-6"/>
                <w:sz w:val="20"/>
                <w:szCs w:val="20"/>
              </w:rPr>
              <w:t>有科学的成绩评</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6"/>
                <w:sz w:val="20"/>
                <w:szCs w:val="20"/>
              </w:rPr>
              <w:t>定的制度与机制，且严格执</w:t>
            </w:r>
            <w:r>
              <w:rPr>
                <w:rFonts w:ascii="方正书宋简体" w:hAnsi="方正书宋简体" w:eastAsia="方正书宋简体" w:cs="方正书宋简体"/>
                <w:spacing w:val="2"/>
                <w:w w:val="102"/>
                <w:sz w:val="20"/>
                <w:szCs w:val="20"/>
              </w:rPr>
              <w:t xml:space="preserve">   </w:t>
            </w:r>
            <w:r>
              <w:rPr>
                <w:rFonts w:ascii="方正书宋简体" w:hAnsi="方正书宋简体" w:eastAsia="方正书宋简体" w:cs="方正书宋简体"/>
                <w:spacing w:val="-9"/>
                <w:sz w:val="20"/>
                <w:szCs w:val="20"/>
              </w:rPr>
              <w:t>行；</w:t>
            </w:r>
          </w:p>
        </w:tc>
        <w:tc>
          <w:tcPr>
            <w:tcW w:w="2519" w:type="dxa"/>
            <w:vAlign w:val="top"/>
          </w:tcPr>
          <w:p>
            <w:pPr>
              <w:spacing w:before="94" w:line="259" w:lineRule="auto"/>
              <w:ind w:left="16" w:right="4"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制定了基本符合专业教学</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6"/>
                <w:sz w:val="21"/>
                <w:szCs w:val="21"/>
              </w:rPr>
              <w:t>计划要求的毕业论文（设</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5"/>
                <w:sz w:val="21"/>
                <w:szCs w:val="21"/>
              </w:rPr>
              <w:t>计）质量标准；</w:t>
            </w:r>
          </w:p>
          <w:p>
            <w:pPr>
              <w:spacing w:before="17" w:line="220" w:lineRule="auto"/>
              <w:ind w:left="23" w:right="4"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有科学的成绩评定的制度</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4"/>
                <w:sz w:val="21"/>
                <w:szCs w:val="21"/>
              </w:rPr>
              <w:t>与机制，且认真执行；</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812" w:type="dxa"/>
            <w:vMerge w:val="continue"/>
            <w:tcBorders>
              <w:top w:val="nil"/>
              <w:left w:val="single" w:color="000000" w:sz="6" w:space="0"/>
              <w:bottom w:val="nil"/>
            </w:tcBorders>
            <w:vAlign w:val="top"/>
          </w:tcPr>
          <w:p>
            <w:pPr>
              <w:rPr>
                <w:rFonts w:ascii="Malgun Gothic"/>
                <w:sz w:val="21"/>
              </w:rPr>
            </w:pPr>
          </w:p>
        </w:tc>
        <w:tc>
          <w:tcPr>
            <w:tcW w:w="1592" w:type="dxa"/>
            <w:vAlign w:val="top"/>
          </w:tcPr>
          <w:p>
            <w:pPr>
              <w:spacing w:before="257" w:line="331" w:lineRule="exact"/>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5.2</w:t>
            </w:r>
          </w:p>
          <w:p>
            <w:pPr>
              <w:spacing w:line="204" w:lineRule="auto"/>
              <w:ind w:firstLine="3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成绩评定</w:t>
            </w:r>
          </w:p>
        </w:tc>
        <w:tc>
          <w:tcPr>
            <w:tcW w:w="691" w:type="dxa"/>
            <w:vAlign w:val="top"/>
          </w:tcPr>
          <w:p>
            <w:pPr>
              <w:spacing w:line="242"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0.4</w:t>
            </w:r>
          </w:p>
        </w:tc>
        <w:tc>
          <w:tcPr>
            <w:tcW w:w="2612" w:type="dxa"/>
            <w:vAlign w:val="top"/>
          </w:tcPr>
          <w:p>
            <w:pPr>
              <w:spacing w:before="90" w:line="251" w:lineRule="auto"/>
              <w:ind w:left="14" w:right="1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毕业论文（设计）答辩组织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4"/>
                <w:sz w:val="21"/>
                <w:szCs w:val="21"/>
              </w:rPr>
              <w:t>有序；成绩评定公正公平公</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4"/>
                <w:sz w:val="21"/>
                <w:szCs w:val="21"/>
              </w:rPr>
              <w:t>开，符合质量标准要求；</w:t>
            </w:r>
          </w:p>
        </w:tc>
        <w:tc>
          <w:tcPr>
            <w:tcW w:w="2519" w:type="dxa"/>
            <w:vAlign w:val="top"/>
          </w:tcPr>
          <w:p>
            <w:pPr>
              <w:spacing w:before="96" w:line="230" w:lineRule="auto"/>
              <w:ind w:left="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w w:val="93"/>
                <w:sz w:val="21"/>
                <w:szCs w:val="21"/>
              </w:rPr>
              <w:t>毕业论文（设计）答辩组织基本</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19"/>
                <w:w w:val="93"/>
                <w:sz w:val="21"/>
                <w:szCs w:val="21"/>
              </w:rPr>
              <w:t>符合要求；成绩评定公正公平公</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20"/>
                <w:w w:val="97"/>
                <w:sz w:val="21"/>
                <w:szCs w:val="21"/>
              </w:rPr>
              <w:t>开，基本符合质量标准要求；</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812" w:type="dxa"/>
            <w:vMerge w:val="continue"/>
            <w:tcBorders>
              <w:top w:val="nil"/>
              <w:left w:val="single" w:color="000000" w:sz="6" w:space="0"/>
            </w:tcBorders>
            <w:vAlign w:val="top"/>
          </w:tcPr>
          <w:p>
            <w:pPr>
              <w:rPr>
                <w:rFonts w:ascii="Malgun Gothic"/>
                <w:sz w:val="21"/>
              </w:rPr>
            </w:pPr>
          </w:p>
        </w:tc>
        <w:tc>
          <w:tcPr>
            <w:tcW w:w="1592" w:type="dxa"/>
            <w:vAlign w:val="top"/>
          </w:tcPr>
          <w:p>
            <w:pPr>
              <w:spacing w:before="259" w:line="329" w:lineRule="exact"/>
              <w:ind w:firstLine="6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5.3</w:t>
            </w:r>
          </w:p>
          <w:p>
            <w:pPr>
              <w:spacing w:before="1" w:line="204" w:lineRule="auto"/>
              <w:ind w:firstLine="37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总体效果</w:t>
            </w:r>
          </w:p>
        </w:tc>
        <w:tc>
          <w:tcPr>
            <w:tcW w:w="691" w:type="dxa"/>
            <w:vAlign w:val="top"/>
          </w:tcPr>
          <w:p>
            <w:pPr>
              <w:spacing w:line="243" w:lineRule="auto"/>
              <w:rPr>
                <w:rFonts w:ascii="Malgun Gothic"/>
                <w:sz w:val="21"/>
              </w:rPr>
            </w:pPr>
          </w:p>
          <w:p>
            <w:pPr>
              <w:spacing w:before="75"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0.4</w:t>
            </w:r>
          </w:p>
        </w:tc>
        <w:tc>
          <w:tcPr>
            <w:tcW w:w="2612" w:type="dxa"/>
            <w:vAlign w:val="top"/>
          </w:tcPr>
          <w:p>
            <w:pPr>
              <w:spacing w:before="99" w:line="230" w:lineRule="auto"/>
              <w:ind w:left="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毕业论文（设计）形式规范，</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7"/>
                <w:sz w:val="21"/>
                <w:szCs w:val="21"/>
              </w:rPr>
              <w:t>符合要求；</w:t>
            </w:r>
            <w:r>
              <w:rPr>
                <w:rFonts w:ascii="方正书宋简体" w:hAnsi="方正书宋简体" w:eastAsia="方正书宋简体" w:cs="方正书宋简体"/>
                <w:spacing w:val="32"/>
                <w:w w:val="101"/>
                <w:sz w:val="21"/>
                <w:szCs w:val="21"/>
              </w:rPr>
              <w:t xml:space="preserve">  </w:t>
            </w:r>
            <w:r>
              <w:rPr>
                <w:rFonts w:ascii="方正书宋简体" w:hAnsi="方正书宋简体" w:eastAsia="方正书宋简体" w:cs="方正书宋简体"/>
                <w:spacing w:val="-20"/>
                <w:w w:val="97"/>
                <w:sz w:val="21"/>
                <w:szCs w:val="21"/>
              </w:rPr>
              <w:t>总体质量好，</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20"/>
                <w:w w:val="97"/>
                <w:sz w:val="21"/>
                <w:szCs w:val="21"/>
              </w:rPr>
              <w:t>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到教学计划要求；</w:t>
            </w:r>
          </w:p>
        </w:tc>
        <w:tc>
          <w:tcPr>
            <w:tcW w:w="2519" w:type="dxa"/>
            <w:vAlign w:val="top"/>
          </w:tcPr>
          <w:p>
            <w:pPr>
              <w:spacing w:before="97" w:line="242" w:lineRule="auto"/>
              <w:ind w:left="18"/>
              <w:rPr>
                <w:rFonts w:ascii="方正书宋简体" w:hAnsi="方正书宋简体" w:eastAsia="方正书宋简体" w:cs="方正书宋简体"/>
                <w:sz w:val="20"/>
                <w:szCs w:val="20"/>
              </w:rPr>
            </w:pPr>
            <w:r>
              <w:rPr>
                <w:rFonts w:ascii="方正书宋简体" w:hAnsi="方正书宋简体" w:eastAsia="方正书宋简体" w:cs="方正书宋简体"/>
                <w:spacing w:val="-13"/>
                <w:sz w:val="20"/>
                <w:szCs w:val="20"/>
              </w:rPr>
              <w:t>毕业论文（设计）形式基本规</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13"/>
                <w:sz w:val="20"/>
                <w:szCs w:val="20"/>
              </w:rPr>
              <w:t>范，基本符合要求；总体质量</w:t>
            </w:r>
            <w:r>
              <w:rPr>
                <w:rFonts w:ascii="方正书宋简体" w:hAnsi="方正书宋简体" w:eastAsia="方正书宋简体" w:cs="方正书宋简体"/>
                <w:sz w:val="20"/>
                <w:szCs w:val="20"/>
              </w:rPr>
              <w:t xml:space="preserve">  </w:t>
            </w:r>
            <w:r>
              <w:rPr>
                <w:rFonts w:ascii="方正书宋简体" w:hAnsi="方正书宋简体" w:eastAsia="方正书宋简体" w:cs="方正书宋简体"/>
                <w:spacing w:val="-19"/>
                <w:w w:val="98"/>
                <w:sz w:val="20"/>
                <w:szCs w:val="20"/>
              </w:rPr>
              <w:t>较好，基本达到教学计划要求；</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3" w:hRule="atLeast"/>
        </w:trPr>
        <w:tc>
          <w:tcPr>
            <w:tcW w:w="812" w:type="dxa"/>
            <w:vMerge w:val="restart"/>
            <w:tcBorders>
              <w:left w:val="single" w:color="000000" w:sz="6" w:space="0"/>
              <w:bottom w:val="nil"/>
            </w:tcBorders>
            <w:vAlign w:val="top"/>
          </w:tcPr>
          <w:p>
            <w:pPr>
              <w:spacing w:line="327" w:lineRule="auto"/>
              <w:rPr>
                <w:rFonts w:ascii="Malgun Gothic"/>
                <w:sz w:val="21"/>
              </w:rPr>
            </w:pPr>
          </w:p>
          <w:p>
            <w:pPr>
              <w:spacing w:before="75" w:line="180" w:lineRule="auto"/>
              <w:ind w:firstLine="19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总结</w:t>
            </w:r>
          </w:p>
          <w:p>
            <w:pPr>
              <w:spacing w:before="136" w:line="180" w:lineRule="auto"/>
              <w:ind w:firstLine="30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38" w:line="180" w:lineRule="auto"/>
              <w:ind w:firstLine="19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归档</w:t>
            </w:r>
          </w:p>
        </w:tc>
        <w:tc>
          <w:tcPr>
            <w:tcW w:w="1592" w:type="dxa"/>
            <w:vAlign w:val="top"/>
          </w:tcPr>
          <w:p>
            <w:pPr>
              <w:spacing w:before="419" w:line="332" w:lineRule="exact"/>
              <w:ind w:firstLine="6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6.1</w:t>
            </w:r>
          </w:p>
          <w:p>
            <w:pPr>
              <w:spacing w:line="204" w:lineRule="auto"/>
              <w:ind w:firstLine="58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总结</w:t>
            </w:r>
          </w:p>
        </w:tc>
        <w:tc>
          <w:tcPr>
            <w:tcW w:w="691" w:type="dxa"/>
            <w:vAlign w:val="top"/>
          </w:tcPr>
          <w:p>
            <w:pPr>
              <w:spacing w:line="345" w:lineRule="auto"/>
              <w:rPr>
                <w:rFonts w:ascii="Malgun Gothic"/>
                <w:sz w:val="21"/>
              </w:rPr>
            </w:pPr>
          </w:p>
          <w:p>
            <w:pPr>
              <w:spacing w:before="7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c>
          <w:tcPr>
            <w:tcW w:w="2612" w:type="dxa"/>
            <w:vAlign w:val="top"/>
          </w:tcPr>
          <w:p>
            <w:pPr>
              <w:spacing w:before="96" w:line="236" w:lineRule="auto"/>
              <w:ind w:left="13"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4"/>
                <w:sz w:val="21"/>
                <w:szCs w:val="21"/>
              </w:rPr>
              <w:t>认真进行了毕业论文（设计）</w:t>
            </w:r>
            <w:r>
              <w:rPr>
                <w:rFonts w:ascii="方正书宋简体" w:hAnsi="方正书宋简体" w:eastAsia="方正书宋简体" w:cs="方正书宋简体"/>
                <w:spacing w:val="55"/>
                <w:w w:val="101"/>
                <w:sz w:val="21"/>
                <w:szCs w:val="21"/>
              </w:rPr>
              <w:t xml:space="preserve"> </w:t>
            </w:r>
            <w:r>
              <w:rPr>
                <w:rFonts w:ascii="方正书宋简体" w:hAnsi="方正书宋简体" w:eastAsia="方正书宋简体" w:cs="方正书宋简体"/>
                <w:spacing w:val="-20"/>
                <w:w w:val="94"/>
                <w:sz w:val="21"/>
                <w:szCs w:val="21"/>
              </w:rPr>
              <w:t>总</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9"/>
                <w:w w:val="93"/>
                <w:sz w:val="21"/>
                <w:szCs w:val="21"/>
              </w:rPr>
              <w:t>结，且自我评价准确合理；</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9"/>
                <w:w w:val="93"/>
                <w:sz w:val="21"/>
                <w:szCs w:val="21"/>
              </w:rPr>
              <w:t>积极</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7"/>
                <w:sz w:val="21"/>
                <w:szCs w:val="21"/>
              </w:rPr>
              <w:t>开展优秀毕业论文和优秀指导老</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9"/>
                <w:w w:val="92"/>
                <w:sz w:val="21"/>
                <w:szCs w:val="21"/>
              </w:rPr>
              <w:t>师评选活动，</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9"/>
                <w:w w:val="92"/>
                <w:sz w:val="21"/>
                <w:szCs w:val="21"/>
              </w:rPr>
              <w:t>且评选有声有色；</w:t>
            </w:r>
          </w:p>
        </w:tc>
        <w:tc>
          <w:tcPr>
            <w:tcW w:w="2519" w:type="dxa"/>
            <w:vAlign w:val="top"/>
          </w:tcPr>
          <w:p>
            <w:pPr>
              <w:spacing w:before="96" w:line="236" w:lineRule="auto"/>
              <w:ind w:left="18" w:right="4"/>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进行了毕业论文（设计）</w:t>
            </w:r>
            <w:r>
              <w:rPr>
                <w:rFonts w:ascii="方正书宋简体" w:hAnsi="方正书宋简体" w:eastAsia="方正书宋简体" w:cs="方正书宋简体"/>
                <w:spacing w:val="46"/>
                <w:sz w:val="21"/>
                <w:szCs w:val="21"/>
              </w:rPr>
              <w:t xml:space="preserve"> </w:t>
            </w:r>
            <w:r>
              <w:rPr>
                <w:rFonts w:ascii="方正书宋简体" w:hAnsi="方正书宋简体" w:eastAsia="方正书宋简体" w:cs="方正书宋简体"/>
                <w:spacing w:val="-11"/>
                <w:sz w:val="21"/>
                <w:szCs w:val="21"/>
              </w:rPr>
              <w:t>总</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结；</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2"/>
                <w:sz w:val="21"/>
                <w:szCs w:val="21"/>
              </w:rPr>
              <w:t>基本上按要求开展了优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5"/>
                <w:sz w:val="21"/>
                <w:szCs w:val="21"/>
              </w:rPr>
              <w:t>秀毕业论文和优秀指导老</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6"/>
                <w:sz w:val="21"/>
                <w:szCs w:val="21"/>
              </w:rPr>
              <w:t>师评选活动；</w:t>
            </w:r>
          </w:p>
        </w:tc>
        <w:tc>
          <w:tcPr>
            <w:tcW w:w="508"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12" w:type="dxa"/>
            <w:vMerge w:val="continue"/>
            <w:tcBorders>
              <w:top w:val="nil"/>
              <w:left w:val="single" w:color="000000" w:sz="6" w:space="0"/>
              <w:bottom w:val="single" w:color="000000" w:sz="6" w:space="0"/>
            </w:tcBorders>
            <w:vAlign w:val="top"/>
          </w:tcPr>
          <w:p>
            <w:pPr>
              <w:rPr>
                <w:rFonts w:ascii="Malgun Gothic"/>
                <w:sz w:val="21"/>
              </w:rPr>
            </w:pPr>
          </w:p>
        </w:tc>
        <w:tc>
          <w:tcPr>
            <w:tcW w:w="1592" w:type="dxa"/>
            <w:tcBorders>
              <w:bottom w:val="single" w:color="000000" w:sz="6" w:space="0"/>
            </w:tcBorders>
            <w:vAlign w:val="top"/>
          </w:tcPr>
          <w:p>
            <w:pPr>
              <w:spacing w:before="131" w:line="228" w:lineRule="auto"/>
              <w:ind w:firstLine="6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6.2</w:t>
            </w:r>
          </w:p>
          <w:p>
            <w:pPr>
              <w:spacing w:line="204" w:lineRule="auto"/>
              <w:ind w:firstLine="58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归档</w:t>
            </w:r>
          </w:p>
        </w:tc>
        <w:tc>
          <w:tcPr>
            <w:tcW w:w="691" w:type="dxa"/>
            <w:tcBorders>
              <w:bottom w:val="single" w:color="000000" w:sz="6" w:space="0"/>
            </w:tcBorders>
            <w:vAlign w:val="top"/>
          </w:tcPr>
          <w:p>
            <w:pPr>
              <w:spacing w:before="286" w:line="180" w:lineRule="auto"/>
              <w:ind w:firstLine="2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0.5</w:t>
            </w:r>
          </w:p>
        </w:tc>
        <w:tc>
          <w:tcPr>
            <w:tcW w:w="2612" w:type="dxa"/>
            <w:tcBorders>
              <w:bottom w:val="single" w:color="000000" w:sz="6" w:space="0"/>
            </w:tcBorders>
            <w:vAlign w:val="top"/>
          </w:tcPr>
          <w:p>
            <w:pPr>
              <w:spacing w:before="95" w:line="251" w:lineRule="auto"/>
              <w:ind w:left="30" w:right="2" w:hanging="1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严格按照毕业论文（设计）</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5"/>
                <w:sz w:val="21"/>
                <w:szCs w:val="21"/>
              </w:rPr>
              <w:t>的要求归档，且未出差错；</w:t>
            </w:r>
          </w:p>
        </w:tc>
        <w:tc>
          <w:tcPr>
            <w:tcW w:w="2519" w:type="dxa"/>
            <w:tcBorders>
              <w:bottom w:val="single" w:color="000000" w:sz="6" w:space="0"/>
            </w:tcBorders>
            <w:vAlign w:val="top"/>
          </w:tcPr>
          <w:p>
            <w:pPr>
              <w:spacing w:before="100" w:line="220" w:lineRule="auto"/>
              <w:ind w:left="16" w:right="4"/>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基本能按照毕业论文（设</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计）的要求归档；</w:t>
            </w:r>
          </w:p>
        </w:tc>
        <w:tc>
          <w:tcPr>
            <w:tcW w:w="508" w:type="dxa"/>
            <w:tcBorders>
              <w:bottom w:val="single" w:color="000000" w:sz="6" w:space="0"/>
              <w:right w:val="single" w:color="000000" w:sz="6" w:space="0"/>
            </w:tcBorders>
            <w:vAlign w:val="top"/>
          </w:tcPr>
          <w:p>
            <w:pPr>
              <w:rPr>
                <w:rFonts w:ascii="Malgun Gothic"/>
                <w:sz w:val="21"/>
              </w:rPr>
            </w:pPr>
          </w:p>
        </w:tc>
      </w:tr>
    </w:tbl>
    <w:p>
      <w:pPr>
        <w:spacing w:before="113" w:line="180" w:lineRule="auto"/>
        <w:ind w:firstLine="42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说明：学院毕业论文（设计）工作质量管理评价指标结论及标准</w:t>
      </w:r>
    </w:p>
    <w:p>
      <w:pPr>
        <w:spacing w:before="114" w:line="261" w:lineRule="auto"/>
        <w:ind w:left="19"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6"/>
          <w:sz w:val="21"/>
          <w:szCs w:val="21"/>
        </w:rPr>
        <w:t>1、本方案有一级指标</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10"/>
          <w:w w:val="96"/>
          <w:sz w:val="21"/>
          <w:szCs w:val="21"/>
        </w:rPr>
        <w:t>6</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w w:val="96"/>
          <w:sz w:val="21"/>
          <w:szCs w:val="21"/>
        </w:rPr>
        <w:t>个，</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0"/>
          <w:w w:val="96"/>
          <w:sz w:val="21"/>
          <w:szCs w:val="21"/>
        </w:rPr>
        <w:t>二级指标</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0"/>
          <w:w w:val="96"/>
          <w:sz w:val="21"/>
          <w:szCs w:val="21"/>
        </w:rPr>
        <w:t>17</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0"/>
          <w:w w:val="96"/>
          <w:sz w:val="21"/>
          <w:szCs w:val="21"/>
        </w:rPr>
        <w:t>个，</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10"/>
          <w:w w:val="96"/>
          <w:sz w:val="21"/>
          <w:szCs w:val="21"/>
        </w:rPr>
        <w:t>加黑的为重点指标共</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0"/>
          <w:w w:val="96"/>
          <w:sz w:val="21"/>
          <w:szCs w:val="21"/>
        </w:rPr>
        <w:t>9</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w w:val="96"/>
          <w:sz w:val="21"/>
          <w:szCs w:val="21"/>
        </w:rPr>
        <w:t>个。二级指标的评价等级分</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1"/>
          <w:sz w:val="21"/>
          <w:szCs w:val="21"/>
        </w:rPr>
        <w:t>为</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1"/>
          <w:sz w:val="21"/>
          <w:szCs w:val="21"/>
        </w:rPr>
        <w:t>A、B、C、D</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11"/>
          <w:sz w:val="21"/>
          <w:szCs w:val="21"/>
        </w:rPr>
        <w:t>四级，评价标准给出</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1"/>
          <w:sz w:val="21"/>
          <w:szCs w:val="21"/>
        </w:rPr>
        <w:t>A、C</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1"/>
          <w:sz w:val="21"/>
          <w:szCs w:val="21"/>
        </w:rPr>
        <w:t>两级，介于</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11"/>
          <w:sz w:val="21"/>
          <w:szCs w:val="21"/>
        </w:rPr>
        <w:t>A、C</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级之间的为</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1"/>
          <w:sz w:val="21"/>
          <w:szCs w:val="21"/>
        </w:rPr>
        <w:t>B</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1"/>
          <w:sz w:val="21"/>
          <w:szCs w:val="21"/>
        </w:rPr>
        <w:t>级，低于</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1"/>
          <w:sz w:val="21"/>
          <w:szCs w:val="21"/>
        </w:rPr>
        <w:t>C</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1"/>
          <w:sz w:val="21"/>
          <w:szCs w:val="21"/>
        </w:rPr>
        <w:t>级的为</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1"/>
          <w:sz w:val="21"/>
          <w:szCs w:val="21"/>
        </w:rPr>
        <w:t>D</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级。</w:t>
      </w:r>
    </w:p>
    <w:p>
      <w:pPr>
        <w:spacing w:before="31"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2、评价结论分为优秀、良好、合格和不合格四种，其标准如下：</w:t>
      </w:r>
    </w:p>
    <w:p>
      <w:pPr>
        <w:spacing w:before="111" w:line="193"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优秀：</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9"/>
          <w:sz w:val="21"/>
          <w:szCs w:val="21"/>
        </w:rPr>
        <w:t>A≥14（重点指标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9"/>
          <w:sz w:val="21"/>
          <w:szCs w:val="21"/>
        </w:rPr>
        <w:t>A≥7</w:t>
      </w:r>
      <w:r>
        <w:rPr>
          <w:rFonts w:ascii="方正书宋简体" w:hAnsi="方正书宋简体" w:eastAsia="方正书宋简体" w:cs="方正书宋简体"/>
          <w:spacing w:val="-87"/>
          <w:w w:val="92"/>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C≤3，D=O</w:t>
      </w:r>
    </w:p>
    <w:p>
      <w:pPr>
        <w:spacing w:before="99" w:line="193"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良好：</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9"/>
          <w:sz w:val="21"/>
          <w:szCs w:val="21"/>
        </w:rPr>
        <w:t>A</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9"/>
          <w:sz w:val="21"/>
          <w:szCs w:val="21"/>
        </w:rPr>
        <w:t>+B≥14（其中重点指标</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9"/>
          <w:sz w:val="21"/>
          <w:szCs w:val="21"/>
        </w:rPr>
        <w:t>A≥6</w:t>
      </w:r>
      <w:r>
        <w:rPr>
          <w:rFonts w:ascii="方正书宋简体" w:hAnsi="方正书宋简体" w:eastAsia="方正书宋简体" w:cs="方正书宋简体"/>
          <w:spacing w:val="-88"/>
          <w:w w:val="93"/>
          <w:sz w:val="21"/>
          <w:szCs w:val="21"/>
        </w:rPr>
        <w:t>），</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9"/>
          <w:sz w:val="21"/>
          <w:szCs w:val="21"/>
        </w:rPr>
        <w:t>C≤4，D=O</w:t>
      </w:r>
    </w:p>
    <w:p>
      <w:pPr>
        <w:spacing w:before="100" w:line="193"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合格：</w:t>
      </w:r>
      <w:r>
        <w:rPr>
          <w:rFonts w:ascii="方正书宋简体" w:hAnsi="方正书宋简体" w:eastAsia="方正书宋简体" w:cs="方正书宋简体"/>
          <w:spacing w:val="20"/>
          <w:w w:val="101"/>
          <w:sz w:val="21"/>
          <w:szCs w:val="21"/>
        </w:rPr>
        <w:t xml:space="preserve">  </w:t>
      </w:r>
      <w:r>
        <w:rPr>
          <w:rFonts w:ascii="方正书宋简体" w:hAnsi="方正书宋简体" w:eastAsia="方正书宋简体" w:cs="方正书宋简体"/>
          <w:spacing w:val="-10"/>
          <w:sz w:val="21"/>
          <w:szCs w:val="21"/>
        </w:rPr>
        <w:t>A+B≥10（其中重点指标</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0"/>
          <w:sz w:val="21"/>
          <w:szCs w:val="21"/>
        </w:rPr>
        <w:t>A≥5</w:t>
      </w:r>
      <w:r>
        <w:rPr>
          <w:rFonts w:ascii="方正书宋简体" w:hAnsi="方正书宋简体" w:eastAsia="方正书宋简体" w:cs="方正书宋简体"/>
          <w:spacing w:val="-23"/>
          <w:sz w:val="21"/>
          <w:szCs w:val="21"/>
        </w:rPr>
        <w:t>），</w:t>
      </w:r>
      <w:r>
        <w:rPr>
          <w:rFonts w:ascii="方正书宋简体" w:hAnsi="方正书宋简体" w:eastAsia="方正书宋简体" w:cs="方正书宋简体"/>
          <w:spacing w:val="-10"/>
          <w:sz w:val="21"/>
          <w:szCs w:val="21"/>
        </w:rPr>
        <w:t>C≤4，</w:t>
      </w:r>
      <w:r>
        <w:rPr>
          <w:rFonts w:ascii="方正书宋简体" w:hAnsi="方正书宋简体" w:eastAsia="方正书宋简体" w:cs="方正书宋简体"/>
          <w:spacing w:val="22"/>
          <w:w w:val="101"/>
          <w:sz w:val="21"/>
          <w:szCs w:val="21"/>
        </w:rPr>
        <w:t xml:space="preserve">  </w:t>
      </w:r>
      <w:r>
        <w:rPr>
          <w:rFonts w:ascii="方正书宋简体" w:hAnsi="方正书宋简体" w:eastAsia="方正书宋简体" w:cs="方正书宋简体"/>
          <w:spacing w:val="-10"/>
          <w:sz w:val="21"/>
          <w:szCs w:val="21"/>
        </w:rPr>
        <w:t>D≤3（其中重点指标</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0"/>
          <w:sz w:val="21"/>
          <w:szCs w:val="21"/>
        </w:rPr>
        <w:t>D=O）</w:t>
      </w:r>
    </w:p>
    <w:p>
      <w:pPr>
        <w:spacing w:before="279"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307</w:t>
      </w:r>
    </w:p>
    <w:p>
      <w:pPr>
        <w:sectPr>
          <w:footerReference r:id="rId311" w:type="default"/>
          <w:pgSz w:w="11905" w:h="16840"/>
          <w:pgMar w:top="1431" w:right="1575" w:bottom="400" w:left="1578" w:header="0" w:footer="0" w:gutter="0"/>
          <w:cols w:space="720" w:num="1"/>
        </w:sectPr>
      </w:pPr>
    </w:p>
    <w:p>
      <w:pPr>
        <w:spacing w:before="349" w:line="180" w:lineRule="auto"/>
        <w:ind w:firstLine="152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吉首大学教学学院本科教学质量考核方案</w:t>
      </w:r>
    </w:p>
    <w:p>
      <w:pPr>
        <w:spacing w:before="110" w:line="184" w:lineRule="auto"/>
        <w:ind w:firstLine="3464"/>
        <w:rPr>
          <w:rFonts w:ascii="楷体" w:hAnsi="楷体" w:eastAsia="楷体" w:cs="楷体"/>
          <w:sz w:val="24"/>
          <w:szCs w:val="24"/>
        </w:rPr>
      </w:pPr>
      <w:r>
        <w:rPr>
          <w:rFonts w:ascii="楷体" w:hAnsi="楷体" w:eastAsia="楷体" w:cs="楷体"/>
          <w:spacing w:val="-4"/>
          <w:sz w:val="24"/>
          <w:szCs w:val="24"/>
        </w:rPr>
        <w:t>（2016</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1" w:lineRule="auto"/>
        <w:rPr>
          <w:rFonts w:ascii="Malgun Gothic"/>
          <w:sz w:val="21"/>
        </w:rPr>
      </w:pPr>
    </w:p>
    <w:p>
      <w:pPr>
        <w:spacing w:before="86" w:line="265" w:lineRule="auto"/>
        <w:ind w:left="34" w:right="96"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为进一步加强对本科教学工作的管理，不断深化教育教学改革，调动各学院在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教学建设、教学改革、教学组织与管理中的积极性和主动性，促进本科教育教学质</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量的提高，根据学校年度二级单位考核工作的有关规定，特制定本方案。</w:t>
      </w:r>
    </w:p>
    <w:p>
      <w:pPr>
        <w:spacing w:before="204" w:line="180" w:lineRule="auto"/>
        <w:ind w:firstLine="52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一、考核原则</w:t>
      </w:r>
    </w:p>
    <w:p>
      <w:pPr>
        <w:spacing w:before="147" w:line="193"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sz w:val="24"/>
          <w:szCs w:val="24"/>
        </w:rPr>
        <w:t>1、坚持公开、公平、公正原则；</w:t>
      </w:r>
    </w:p>
    <w:p>
      <w:pPr>
        <w:spacing w:before="174" w:line="193" w:lineRule="auto"/>
        <w:ind w:firstLine="51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2、坚持定性定量结合、以定量为主原则；</w:t>
      </w:r>
    </w:p>
    <w:p>
      <w:pPr>
        <w:spacing w:before="174" w:line="193" w:lineRule="auto"/>
        <w:ind w:firstLine="52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3、坚持过程管理与目标管理相结合、核实数据与重点考察相结合的原则。</w:t>
      </w:r>
    </w:p>
    <w:p>
      <w:pPr>
        <w:spacing w:before="166" w:line="180" w:lineRule="auto"/>
        <w:ind w:firstLine="5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二、考核机构</w:t>
      </w:r>
    </w:p>
    <w:p>
      <w:pPr>
        <w:spacing w:before="151" w:line="315" w:lineRule="auto"/>
        <w:ind w:left="514" w:right="30" w:hanging="1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成立吉首大学本科教学质量考核工作组，工作组下设办公室，办公室设在教务处。</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
          <w:sz w:val="24"/>
          <w:szCs w:val="24"/>
        </w:rPr>
        <w:t>组</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
          <w:sz w:val="24"/>
          <w:szCs w:val="24"/>
        </w:rPr>
        <w:t>长：分管本科教学工作校领导</w:t>
      </w:r>
    </w:p>
    <w:p>
      <w:pPr>
        <w:spacing w:before="1" w:line="202" w:lineRule="auto"/>
        <w:ind w:firstLine="52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副组长：教务处处长、实验室与设备管理中心主任</w:t>
      </w:r>
    </w:p>
    <w:p>
      <w:pPr>
        <w:spacing w:before="161"/>
        <w:ind w:left="80" w:right="99" w:firstLine="43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成</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员：校教学委员会、教学督导团专家、教学管理部门负责人、学校教学项</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0"/>
          <w:sz w:val="24"/>
          <w:szCs w:val="24"/>
        </w:rPr>
        <w:t>目评审专家等。</w:t>
      </w:r>
    </w:p>
    <w:p>
      <w:pPr>
        <w:spacing w:before="204" w:line="180" w:lineRule="auto"/>
        <w:ind w:firstLine="527"/>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三、考核指标体系</w:t>
      </w:r>
    </w:p>
    <w:p>
      <w:pPr>
        <w:spacing w:before="152" w:line="300" w:lineRule="auto"/>
        <w:ind w:left="3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考核指标体系由定量评价、定性评价和附加项三部分组成。主要考核各学院本</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6"/>
          <w:sz w:val="24"/>
          <w:szCs w:val="24"/>
        </w:rPr>
        <w:t>科教学工作开展与质量情况，</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包括教学工作思路与中心地位、教学建设、教学改革、</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w w:val="98"/>
          <w:sz w:val="24"/>
          <w:szCs w:val="24"/>
        </w:rPr>
        <w:t>教学运行、教学效果和附加项目</w:t>
      </w:r>
      <w:r>
        <w:rPr>
          <w:rFonts w:ascii="方正书宋简体" w:hAnsi="方正书宋简体" w:eastAsia="方正书宋简体" w:cs="方正书宋简体"/>
          <w:spacing w:val="69"/>
          <w:sz w:val="24"/>
          <w:szCs w:val="24"/>
        </w:rPr>
        <w:t xml:space="preserve"> </w:t>
      </w:r>
      <w:r>
        <w:rPr>
          <w:rFonts w:ascii="方正书宋简体" w:hAnsi="方正书宋简体" w:eastAsia="方正书宋简体" w:cs="方正书宋简体"/>
          <w:spacing w:val="-11"/>
          <w:w w:val="98"/>
          <w:sz w:val="24"/>
          <w:szCs w:val="24"/>
        </w:rPr>
        <w:t>6</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8"/>
          <w:sz w:val="24"/>
          <w:szCs w:val="24"/>
        </w:rPr>
        <w:t>个一级指标，</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8"/>
          <w:sz w:val="24"/>
          <w:szCs w:val="24"/>
        </w:rPr>
        <w:t>25</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1"/>
          <w:w w:val="98"/>
          <w:sz w:val="24"/>
          <w:szCs w:val="24"/>
        </w:rPr>
        <w:t>个二级指标，</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w w:val="98"/>
          <w:sz w:val="24"/>
          <w:szCs w:val="24"/>
        </w:rPr>
        <w:t>43</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8"/>
          <w:sz w:val="24"/>
          <w:szCs w:val="24"/>
        </w:rPr>
        <w:t>个观测点，</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w w:val="98"/>
          <w:sz w:val="24"/>
          <w:szCs w:val="24"/>
        </w:rPr>
        <w:t>通过</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9"/>
          <w:sz w:val="24"/>
          <w:szCs w:val="24"/>
        </w:rPr>
        <w:t>定性定量评价完成，</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9"/>
          <w:sz w:val="24"/>
          <w:szCs w:val="24"/>
        </w:rPr>
        <w:t>总得分为（100±5）</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9"/>
          <w:sz w:val="24"/>
          <w:szCs w:val="24"/>
        </w:rPr>
        <w:t>分，</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9"/>
          <w:sz w:val="24"/>
          <w:szCs w:val="24"/>
        </w:rPr>
        <w:t>其中定量评价部分占（75±5）</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9"/>
          <w:sz w:val="24"/>
          <w:szCs w:val="24"/>
        </w:rPr>
        <w:t>分，</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9"/>
          <w:sz w:val="24"/>
          <w:szCs w:val="24"/>
        </w:rPr>
        <w:t>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7"/>
          <w:sz w:val="24"/>
          <w:szCs w:val="24"/>
        </w:rPr>
        <w:t>性部分占</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7"/>
          <w:sz w:val="24"/>
          <w:szCs w:val="24"/>
        </w:rPr>
        <w:t>25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分，</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7"/>
          <w:sz w:val="24"/>
          <w:szCs w:val="24"/>
        </w:rPr>
        <w:t>由分管教学副校长、校教学委员会、教学督导专家团正副团长、教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务处正副处长、实验与设备管理中心正副主任、教学质量监控与评估中心正副主任、</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张家界校区教科研办正副主任等对各学院年度教学工作情况及工作绩效进行定性定</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量评价打分。附加项包括加分项和减分项，加分项主要奖励各学院本科教学工作中</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获得的省级以上奖励、成果等，减分项主要对各学院教学事故、教学通报及其它未</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按要求完成的工作部分进行扣分处理。</w:t>
      </w:r>
    </w:p>
    <w:p>
      <w:pPr>
        <w:spacing w:before="205" w:line="180" w:lineRule="auto"/>
        <w:ind w:firstLine="53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四、考核方法及步骤</w:t>
      </w:r>
    </w:p>
    <w:p>
      <w:pPr>
        <w:spacing w:before="154" w:line="180" w:lineRule="auto"/>
        <w:ind w:firstLine="53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1、学院自查自评</w:t>
      </w:r>
    </w:p>
    <w:p>
      <w:pPr>
        <w:spacing w:before="189" w:line="180" w:lineRule="auto"/>
        <w:ind w:firstLine="51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各学院对照《吉首大学本科教学质量年度考核指标体系》进行自查自评，按主</w:t>
      </w:r>
    </w:p>
    <w:p>
      <w:pPr>
        <w:spacing w:before="253" w:line="180" w:lineRule="auto"/>
        <w:ind w:firstLine="42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308</w:t>
      </w:r>
    </w:p>
    <w:p>
      <w:pPr>
        <w:sectPr>
          <w:footerReference r:id="rId312" w:type="default"/>
          <w:pgSz w:w="11905" w:h="16840"/>
          <w:pgMar w:top="1431" w:right="1489" w:bottom="400" w:left="1557" w:header="0" w:footer="0" w:gutter="0"/>
          <w:cols w:space="720" w:num="1"/>
        </w:sectPr>
      </w:pPr>
    </w:p>
    <w:p>
      <w:pPr>
        <w:spacing w:before="424" w:line="304" w:lineRule="auto"/>
        <w:ind w:left="4" w:hanging="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要观测点逐项统计、核定数据，</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6"/>
          <w:sz w:val="24"/>
          <w:szCs w:val="24"/>
        </w:rPr>
        <w:t>提供必要的支撑材料（也可依据本科教学状态数据、</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年度本科教学质量报告</w:t>
      </w:r>
      <w:r>
        <w:rPr>
          <w:rFonts w:ascii="方正书宋简体" w:hAnsi="方正书宋简体" w:eastAsia="方正书宋简体" w:cs="方正书宋简体"/>
          <w:spacing w:val="-4"/>
          <w:sz w:val="24"/>
          <w:szCs w:val="24"/>
        </w:rPr>
        <w:t>），</w:t>
      </w:r>
      <w:r>
        <w:rPr>
          <w:rFonts w:ascii="方正书宋简体" w:hAnsi="方正书宋简体" w:eastAsia="方正书宋简体" w:cs="方正书宋简体"/>
          <w:spacing w:val="-8"/>
          <w:sz w:val="24"/>
          <w:szCs w:val="24"/>
        </w:rPr>
        <w:t>并上报自评结果。</w:t>
      </w:r>
    </w:p>
    <w:p>
      <w:pPr>
        <w:spacing w:before="39"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2、学校考核认定</w:t>
      </w:r>
    </w:p>
    <w:p>
      <w:pPr>
        <w:spacing w:before="188" w:line="311" w:lineRule="auto"/>
        <w:ind w:left="2" w:right="9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学校组织专家进行现场考察，听取学院汇报，</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对照考核指标进行检查评价、评</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分，然后对各学院各评价指标考核分值进行汇总、排序。</w:t>
      </w:r>
    </w:p>
    <w:p>
      <w:pPr>
        <w:spacing w:before="15" w:line="192"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3、结果公布</w:t>
      </w:r>
    </w:p>
    <w:p>
      <w:pPr>
        <w:spacing w:before="175" w:line="264" w:lineRule="auto"/>
        <w:ind w:right="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各学院年度本科教学考核结果经学校审核汇总后公示，</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6"/>
          <w:sz w:val="24"/>
          <w:szCs w:val="24"/>
        </w:rPr>
        <w:t>并在全校范围下文公布。</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本科教学质量考核结果按学校年度绩效考核要求纳入学校总体考核奖励。对年度发</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生一级重大教学事故单位取消评优评奖资格。</w:t>
      </w:r>
    </w:p>
    <w:p>
      <w:pPr>
        <w:spacing w:before="205"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五、分值计算</w:t>
      </w:r>
    </w:p>
    <w:p>
      <w:pPr>
        <w:spacing w:before="153" w:line="444" w:lineRule="exact"/>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position w:val="16"/>
          <w:sz w:val="24"/>
          <w:szCs w:val="24"/>
        </w:rPr>
        <w:t>各学院年度本科教学质量考核得分按照下列公式计算：</w:t>
      </w:r>
    </w:p>
    <w:p>
      <w:pPr>
        <w:spacing w:line="204" w:lineRule="auto"/>
        <w:ind w:firstLine="49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总分</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6"/>
          <w:sz w:val="24"/>
          <w:szCs w:val="24"/>
        </w:rPr>
        <w:t>定量评价得分</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6"/>
          <w:sz w:val="24"/>
          <w:szCs w:val="24"/>
        </w:rPr>
        <w:t>定性评价得分</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6"/>
          <w:sz w:val="24"/>
          <w:szCs w:val="24"/>
        </w:rPr>
        <w:t>附加项得分</w:t>
      </w:r>
    </w:p>
    <w:p>
      <w:pPr>
        <w:spacing w:before="151"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六、奖励办法</w:t>
      </w:r>
    </w:p>
    <w:p>
      <w:pPr>
        <w:spacing w:before="150"/>
        <w:ind w:left="4" w:right="99"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依据学校二级单位年度考核办法，按照考核评定情况设立一等奖、二等奖、三</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2"/>
          <w:sz w:val="24"/>
          <w:szCs w:val="24"/>
        </w:rPr>
        <w:t>等奖，由学校统一对本科教学质量年度考核优秀教学单位进行奖励。</w:t>
      </w:r>
    </w:p>
    <w:p>
      <w:pPr>
        <w:spacing w:before="204"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6"/>
          <w:sz w:val="24"/>
          <w:szCs w:val="24"/>
        </w:rPr>
        <w:t>七、</w:t>
      </w:r>
      <w:r>
        <w:rPr>
          <w:rFonts w:ascii="Microsoft JhengHei" w:hAnsi="Microsoft JhengHei" w:eastAsia="Microsoft JhengHei" w:cs="Microsoft JhengHei"/>
          <w:spacing w:val="22"/>
          <w:sz w:val="24"/>
          <w:szCs w:val="24"/>
        </w:rPr>
        <w:t xml:space="preserve">  </w:t>
      </w:r>
      <w:r>
        <w:rPr>
          <w:rFonts w:ascii="方正书宋简体" w:hAnsi="方正书宋简体" w:eastAsia="方正书宋简体" w:cs="方正书宋简体"/>
          <w:spacing w:val="-6"/>
          <w:sz w:val="24"/>
          <w:szCs w:val="24"/>
        </w:rPr>
        <w:t>本方案自</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2016</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6"/>
          <w:sz w:val="24"/>
          <w:szCs w:val="24"/>
        </w:rPr>
        <w:t>年开始执行，由教务处、实验室与设备管理中心负责解释。</w:t>
      </w:r>
    </w:p>
    <w:p>
      <w:pPr>
        <w:spacing w:line="339" w:lineRule="auto"/>
        <w:rPr>
          <w:rFonts w:ascii="Malgun Gothic"/>
          <w:sz w:val="21"/>
        </w:rPr>
      </w:pPr>
    </w:p>
    <w:p>
      <w:pPr>
        <w:spacing w:before="86"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附件：1、吉首大学教学学院年度本科教学质量考核指标体系（简表）</w:t>
      </w:r>
    </w:p>
    <w:p>
      <w:pPr>
        <w:spacing w:before="193" w:line="180" w:lineRule="auto"/>
        <w:ind w:firstLine="116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2、吉首大学教学学院年度本科教学质量考核指标体系与评分标准</w:t>
      </w: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61"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309</w:t>
      </w:r>
    </w:p>
    <w:p>
      <w:pPr>
        <w:sectPr>
          <w:footerReference r:id="rId313" w:type="default"/>
          <w:pgSz w:w="11905" w:h="16840"/>
          <w:pgMar w:top="1431" w:right="1489" w:bottom="400" w:left="1590"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1：</w:t>
      </w:r>
    </w:p>
    <w:p>
      <w:pPr>
        <w:spacing w:before="148" w:line="166" w:lineRule="auto"/>
        <w:ind w:firstLine="744"/>
        <w:rPr>
          <w:rFonts w:ascii="Microsoft JhengHei" w:hAnsi="Microsoft JhengHei" w:eastAsia="Microsoft JhengHei" w:cs="Microsoft JhengHei"/>
          <w:sz w:val="28"/>
          <w:szCs w:val="28"/>
        </w:rPr>
      </w:pPr>
      <w:r>
        <w:rPr>
          <w:rFonts w:ascii="Microsoft JhengHei" w:hAnsi="Microsoft JhengHei" w:eastAsia="Microsoft JhengHei" w:cs="Microsoft JhengHei"/>
          <w:sz w:val="28"/>
          <w:szCs w:val="28"/>
        </w:rPr>
        <w:t>吉首大学教学学院本科教学质量年度考核指标体系（简表）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0"/>
        <w:gridCol w:w="2154"/>
        <w:gridCol w:w="3406"/>
        <w:gridCol w:w="957"/>
        <w:gridCol w:w="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1470" w:type="dxa"/>
            <w:tcBorders>
              <w:top w:val="single" w:color="000000" w:sz="6" w:space="0"/>
              <w:left w:val="single" w:color="000000" w:sz="6" w:space="0"/>
            </w:tcBorders>
            <w:vAlign w:val="top"/>
          </w:tcPr>
          <w:p>
            <w:pPr>
              <w:spacing w:before="223" w:line="180" w:lineRule="auto"/>
              <w:ind w:firstLine="31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一级指标</w:t>
            </w:r>
          </w:p>
        </w:tc>
        <w:tc>
          <w:tcPr>
            <w:tcW w:w="2154" w:type="dxa"/>
            <w:tcBorders>
              <w:top w:val="single" w:color="000000" w:sz="6" w:space="0"/>
            </w:tcBorders>
            <w:vAlign w:val="top"/>
          </w:tcPr>
          <w:p>
            <w:pPr>
              <w:spacing w:before="223" w:line="180" w:lineRule="auto"/>
              <w:ind w:firstLine="503"/>
              <w:rPr>
                <w:rFonts w:ascii="Microsoft JhengHei" w:hAnsi="Microsoft JhengHei" w:eastAsia="Microsoft JhengHei" w:cs="Microsoft JhengHei"/>
                <w:sz w:val="21"/>
                <w:szCs w:val="21"/>
              </w:rPr>
            </w:pPr>
            <w:r>
              <w:rPr>
                <w:rFonts w:ascii="Microsoft JhengHei" w:hAnsi="Microsoft JhengHei" w:eastAsia="Microsoft JhengHei" w:cs="Microsoft JhengHei"/>
                <w:spacing w:val="-8"/>
                <w:sz w:val="21"/>
                <w:szCs w:val="21"/>
              </w:rPr>
              <w:t>二</w:t>
            </w:r>
            <w:r>
              <w:rPr>
                <w:rFonts w:ascii="Microsoft JhengHei" w:hAnsi="Microsoft JhengHei" w:eastAsia="Microsoft JhengHei" w:cs="Microsoft JhengHei"/>
                <w:spacing w:val="5"/>
                <w:sz w:val="21"/>
                <w:szCs w:val="21"/>
              </w:rPr>
              <w:t xml:space="preserve">  </w:t>
            </w:r>
            <w:r>
              <w:rPr>
                <w:rFonts w:ascii="Microsoft JhengHei" w:hAnsi="Microsoft JhengHei" w:eastAsia="Microsoft JhengHei" w:cs="Microsoft JhengHei"/>
                <w:spacing w:val="-8"/>
                <w:sz w:val="21"/>
                <w:szCs w:val="21"/>
              </w:rPr>
              <w:t>级</w:t>
            </w:r>
            <w:r>
              <w:rPr>
                <w:rFonts w:ascii="Microsoft JhengHei" w:hAnsi="Microsoft JhengHei" w:eastAsia="Microsoft JhengHei" w:cs="Microsoft JhengHei"/>
                <w:spacing w:val="4"/>
                <w:w w:val="101"/>
                <w:sz w:val="21"/>
                <w:szCs w:val="21"/>
              </w:rPr>
              <w:t xml:space="preserve">  </w:t>
            </w:r>
            <w:r>
              <w:rPr>
                <w:rFonts w:ascii="Microsoft JhengHei" w:hAnsi="Microsoft JhengHei" w:eastAsia="Microsoft JhengHei" w:cs="Microsoft JhengHei"/>
                <w:spacing w:val="-8"/>
                <w:sz w:val="21"/>
                <w:szCs w:val="21"/>
              </w:rPr>
              <w:t>指</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8"/>
                <w:sz w:val="21"/>
                <w:szCs w:val="21"/>
              </w:rPr>
              <w:t>标</w:t>
            </w:r>
          </w:p>
        </w:tc>
        <w:tc>
          <w:tcPr>
            <w:tcW w:w="3406" w:type="dxa"/>
            <w:tcBorders>
              <w:top w:val="single" w:color="000000" w:sz="6" w:space="0"/>
            </w:tcBorders>
            <w:vAlign w:val="top"/>
          </w:tcPr>
          <w:p>
            <w:pPr>
              <w:spacing w:before="223" w:line="180" w:lineRule="auto"/>
              <w:ind w:firstLine="118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957" w:type="dxa"/>
            <w:tcBorders>
              <w:top w:val="single" w:color="000000" w:sz="6" w:space="0"/>
            </w:tcBorders>
            <w:vAlign w:val="top"/>
          </w:tcPr>
          <w:p>
            <w:pPr>
              <w:spacing w:before="223" w:line="180" w:lineRule="auto"/>
              <w:ind w:firstLine="273"/>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分值</w:t>
            </w:r>
          </w:p>
        </w:tc>
        <w:tc>
          <w:tcPr>
            <w:tcW w:w="747" w:type="dxa"/>
            <w:tcBorders>
              <w:top w:val="single" w:color="000000" w:sz="6" w:space="0"/>
              <w:right w:val="single" w:color="000000" w:sz="6" w:space="0"/>
            </w:tcBorders>
            <w:vAlign w:val="top"/>
          </w:tcPr>
          <w:p>
            <w:pPr>
              <w:spacing w:before="70" w:line="202" w:lineRule="auto"/>
              <w:ind w:firstLine="16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p>
            <w:pPr>
              <w:spacing w:line="204" w:lineRule="auto"/>
              <w:ind w:firstLine="167"/>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restart"/>
            <w:tcBorders>
              <w:left w:val="single" w:color="000000" w:sz="6" w:space="0"/>
              <w:bottom w:val="nil"/>
            </w:tcBorders>
            <w:vAlign w:val="top"/>
          </w:tcPr>
          <w:p>
            <w:pPr>
              <w:spacing w:before="160" w:line="180"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1.教学工作</w:t>
            </w:r>
          </w:p>
          <w:p>
            <w:pPr>
              <w:spacing w:before="89" w:line="180" w:lineRule="auto"/>
              <w:ind w:firstLine="2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思路与中心</w:t>
            </w:r>
          </w:p>
          <w:p>
            <w:pPr>
              <w:spacing w:before="87" w:line="180" w:lineRule="auto"/>
              <w:ind w:firstLine="52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地位</w:t>
            </w:r>
          </w:p>
          <w:p>
            <w:pPr>
              <w:spacing w:before="113" w:line="193" w:lineRule="auto"/>
              <w:ind w:firstLine="2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（10</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分）</w:t>
            </w:r>
          </w:p>
        </w:tc>
        <w:tc>
          <w:tcPr>
            <w:tcW w:w="2154" w:type="dxa"/>
            <w:vMerge w:val="restart"/>
            <w:tcBorders>
              <w:bottom w:val="nil"/>
            </w:tcBorders>
            <w:vAlign w:val="top"/>
          </w:tcPr>
          <w:p>
            <w:pPr>
              <w:spacing w:before="254"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1.1</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5"/>
                <w:w w:val="97"/>
                <w:sz w:val="21"/>
                <w:szCs w:val="21"/>
              </w:rPr>
              <w:t>本科教学工作思路</w:t>
            </w:r>
          </w:p>
        </w:tc>
        <w:tc>
          <w:tcPr>
            <w:tcW w:w="3406" w:type="dxa"/>
            <w:vAlign w:val="top"/>
          </w:tcPr>
          <w:p>
            <w:pPr>
              <w:spacing w:before="6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教学工作思路、目标与措施</w:t>
            </w:r>
          </w:p>
        </w:tc>
        <w:tc>
          <w:tcPr>
            <w:tcW w:w="957" w:type="dxa"/>
            <w:vAlign w:val="top"/>
          </w:tcPr>
          <w:p>
            <w:pPr>
              <w:spacing w:before="9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6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69"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办学定位与发展规划</w:t>
            </w:r>
          </w:p>
        </w:tc>
        <w:tc>
          <w:tcPr>
            <w:tcW w:w="957" w:type="dxa"/>
            <w:vAlign w:val="top"/>
          </w:tcPr>
          <w:p>
            <w:pPr>
              <w:spacing w:before="101"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56" w:line="180" w:lineRule="auto"/>
              <w:ind w:firstLine="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教学中心地位</w:t>
            </w:r>
          </w:p>
        </w:tc>
        <w:tc>
          <w:tcPr>
            <w:tcW w:w="3406" w:type="dxa"/>
            <w:vAlign w:val="top"/>
          </w:tcPr>
          <w:p>
            <w:pPr>
              <w:spacing w:before="68"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党政领导重视教学工作</w:t>
            </w:r>
          </w:p>
        </w:tc>
        <w:tc>
          <w:tcPr>
            <w:tcW w:w="957" w:type="dxa"/>
            <w:vAlign w:val="top"/>
          </w:tcPr>
          <w:p>
            <w:pPr>
              <w:spacing w:before="100"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6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教学管理制度与管理队伍建设</w:t>
            </w:r>
          </w:p>
        </w:tc>
        <w:tc>
          <w:tcPr>
            <w:tcW w:w="957" w:type="dxa"/>
            <w:vAlign w:val="top"/>
          </w:tcPr>
          <w:p>
            <w:pPr>
              <w:spacing w:before="102"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1"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restart"/>
            <w:tcBorders>
              <w:left w:val="single" w:color="000000" w:sz="6" w:space="0"/>
              <w:bottom w:val="nil"/>
            </w:tcBorders>
            <w:vAlign w:val="top"/>
          </w:tcPr>
          <w:p>
            <w:pPr>
              <w:spacing w:line="302" w:lineRule="auto"/>
              <w:rPr>
                <w:rFonts w:ascii="Malgun Gothic"/>
                <w:sz w:val="21"/>
              </w:rPr>
            </w:pPr>
          </w:p>
          <w:p>
            <w:pPr>
              <w:spacing w:line="302" w:lineRule="auto"/>
              <w:rPr>
                <w:rFonts w:ascii="Malgun Gothic"/>
                <w:sz w:val="21"/>
              </w:rPr>
            </w:pPr>
          </w:p>
          <w:p>
            <w:pPr>
              <w:spacing w:line="303" w:lineRule="auto"/>
              <w:rPr>
                <w:rFonts w:ascii="Malgun Gothic"/>
                <w:sz w:val="21"/>
              </w:rPr>
            </w:pPr>
          </w:p>
          <w:p>
            <w:pPr>
              <w:spacing w:before="76" w:line="290" w:lineRule="auto"/>
              <w:ind w:left="218" w:right="234"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2.教学建设</w:t>
            </w:r>
            <w:r>
              <w:rPr>
                <w:rFonts w:ascii="方正书宋简体" w:hAnsi="方正书宋简体" w:eastAsia="方正书宋简体" w:cs="方正书宋简体"/>
                <w:sz w:val="21"/>
                <w:szCs w:val="21"/>
              </w:rPr>
              <w:t xml:space="preserve"> （25</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z w:val="21"/>
                <w:szCs w:val="21"/>
              </w:rPr>
              <w:t>分）</w:t>
            </w:r>
          </w:p>
        </w:tc>
        <w:tc>
          <w:tcPr>
            <w:tcW w:w="2154" w:type="dxa"/>
            <w:vMerge w:val="restart"/>
            <w:tcBorders>
              <w:bottom w:val="nil"/>
            </w:tcBorders>
            <w:vAlign w:val="top"/>
          </w:tcPr>
          <w:p>
            <w:pPr>
              <w:spacing w:before="25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2"/>
                <w:sz w:val="21"/>
                <w:szCs w:val="21"/>
              </w:rPr>
              <w:t>师资队伍</w:t>
            </w:r>
          </w:p>
        </w:tc>
        <w:tc>
          <w:tcPr>
            <w:tcW w:w="3406" w:type="dxa"/>
            <w:vAlign w:val="top"/>
          </w:tcPr>
          <w:p>
            <w:pPr>
              <w:spacing w:before="72"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生师比</w:t>
            </w:r>
          </w:p>
        </w:tc>
        <w:tc>
          <w:tcPr>
            <w:tcW w:w="957" w:type="dxa"/>
            <w:vAlign w:val="top"/>
          </w:tcPr>
          <w:p>
            <w:pPr>
              <w:spacing w:before="102"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1"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72"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教师水平</w:t>
            </w:r>
          </w:p>
        </w:tc>
        <w:tc>
          <w:tcPr>
            <w:tcW w:w="957" w:type="dxa"/>
            <w:vAlign w:val="top"/>
          </w:tcPr>
          <w:p>
            <w:pPr>
              <w:spacing w:before="102"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2"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57"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专业建设</w:t>
            </w:r>
          </w:p>
        </w:tc>
        <w:tc>
          <w:tcPr>
            <w:tcW w:w="3406" w:type="dxa"/>
            <w:vAlign w:val="top"/>
          </w:tcPr>
          <w:p>
            <w:pPr>
              <w:spacing w:before="70"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专业综合改革</w:t>
            </w:r>
          </w:p>
        </w:tc>
        <w:tc>
          <w:tcPr>
            <w:tcW w:w="957" w:type="dxa"/>
            <w:vAlign w:val="top"/>
          </w:tcPr>
          <w:p>
            <w:pPr>
              <w:spacing w:before="103"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3"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71"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专业人才培养方案</w:t>
            </w:r>
          </w:p>
        </w:tc>
        <w:tc>
          <w:tcPr>
            <w:tcW w:w="957" w:type="dxa"/>
            <w:vAlign w:val="top"/>
          </w:tcPr>
          <w:p>
            <w:pPr>
              <w:spacing w:before="104"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4"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57"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2.3</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
                <w:sz w:val="21"/>
                <w:szCs w:val="21"/>
              </w:rPr>
              <w:t>课程建设</w:t>
            </w:r>
          </w:p>
        </w:tc>
        <w:tc>
          <w:tcPr>
            <w:tcW w:w="3406" w:type="dxa"/>
            <w:vAlign w:val="top"/>
          </w:tcPr>
          <w:p>
            <w:pPr>
              <w:spacing w:before="71"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课程建设规划与执行</w:t>
            </w:r>
          </w:p>
        </w:tc>
        <w:tc>
          <w:tcPr>
            <w:tcW w:w="957" w:type="dxa"/>
            <w:vAlign w:val="top"/>
          </w:tcPr>
          <w:p>
            <w:pPr>
              <w:spacing w:before="104"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5"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71"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优质课程资源建设</w:t>
            </w:r>
          </w:p>
        </w:tc>
        <w:tc>
          <w:tcPr>
            <w:tcW w:w="957" w:type="dxa"/>
            <w:vAlign w:val="top"/>
          </w:tcPr>
          <w:p>
            <w:pPr>
              <w:spacing w:before="106"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6"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Align w:val="top"/>
          </w:tcPr>
          <w:p>
            <w:pPr>
              <w:spacing w:before="70" w:line="193"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2.4</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教材建设与管理</w:t>
            </w:r>
          </w:p>
        </w:tc>
        <w:tc>
          <w:tcPr>
            <w:tcW w:w="3406" w:type="dxa"/>
            <w:vAlign w:val="top"/>
          </w:tcPr>
          <w:p>
            <w:pPr>
              <w:spacing w:before="70" w:line="193"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教材选用与建设</w:t>
            </w:r>
          </w:p>
        </w:tc>
        <w:tc>
          <w:tcPr>
            <w:tcW w:w="957" w:type="dxa"/>
            <w:vAlign w:val="top"/>
          </w:tcPr>
          <w:p>
            <w:pPr>
              <w:spacing w:before="106"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7"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106" w:line="249" w:lineRule="auto"/>
              <w:ind w:left="102" w:right="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w w:val="101"/>
                <w:sz w:val="21"/>
                <w:szCs w:val="21"/>
              </w:rPr>
              <w:t>2.5</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6"/>
                <w:w w:val="101"/>
                <w:sz w:val="21"/>
                <w:szCs w:val="21"/>
              </w:rPr>
              <w:t>实验室与实践基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地建设</w:t>
            </w:r>
          </w:p>
        </w:tc>
        <w:tc>
          <w:tcPr>
            <w:tcW w:w="3406" w:type="dxa"/>
            <w:vAlign w:val="top"/>
          </w:tcPr>
          <w:p>
            <w:pPr>
              <w:spacing w:before="74"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实验室建设与管理</w:t>
            </w:r>
          </w:p>
        </w:tc>
        <w:tc>
          <w:tcPr>
            <w:tcW w:w="957" w:type="dxa"/>
            <w:vAlign w:val="top"/>
          </w:tcPr>
          <w:p>
            <w:pPr>
              <w:spacing w:before="107"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470" w:type="dxa"/>
            <w:vMerge w:val="continue"/>
            <w:tcBorders>
              <w:top w:val="nil"/>
              <w:left w:val="single" w:color="000000" w:sz="6" w:space="0"/>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75"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实践教学基地建设</w:t>
            </w:r>
          </w:p>
        </w:tc>
        <w:tc>
          <w:tcPr>
            <w:tcW w:w="957" w:type="dxa"/>
            <w:vAlign w:val="top"/>
          </w:tcPr>
          <w:p>
            <w:pPr>
              <w:spacing w:before="10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restart"/>
            <w:tcBorders>
              <w:left w:val="single" w:color="000000" w:sz="6" w:space="0"/>
              <w:bottom w:val="nil"/>
            </w:tcBorders>
            <w:vAlign w:val="top"/>
          </w:tcPr>
          <w:p>
            <w:pPr>
              <w:spacing w:line="268" w:lineRule="auto"/>
              <w:rPr>
                <w:rFonts w:ascii="Malgun Gothic"/>
                <w:sz w:val="21"/>
              </w:rPr>
            </w:pPr>
          </w:p>
          <w:p>
            <w:pPr>
              <w:spacing w:before="75" w:line="288" w:lineRule="auto"/>
              <w:ind w:left="218" w:right="234"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3.教学改革</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（10</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分）</w:t>
            </w:r>
          </w:p>
        </w:tc>
        <w:tc>
          <w:tcPr>
            <w:tcW w:w="2154" w:type="dxa"/>
            <w:vAlign w:val="top"/>
          </w:tcPr>
          <w:p>
            <w:pPr>
              <w:spacing w:before="7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教研教改活动</w:t>
            </w:r>
          </w:p>
        </w:tc>
        <w:tc>
          <w:tcPr>
            <w:tcW w:w="3406" w:type="dxa"/>
            <w:vAlign w:val="top"/>
          </w:tcPr>
          <w:p>
            <w:pPr>
              <w:spacing w:before="73"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专题教研教改活动开展情况</w:t>
            </w:r>
          </w:p>
        </w:tc>
        <w:tc>
          <w:tcPr>
            <w:tcW w:w="957" w:type="dxa"/>
            <w:vAlign w:val="top"/>
          </w:tcPr>
          <w:p>
            <w:pPr>
              <w:spacing w:before="107"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7"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Align w:val="top"/>
          </w:tcPr>
          <w:p>
            <w:pPr>
              <w:spacing w:before="79"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教研教改课题</w:t>
            </w:r>
          </w:p>
        </w:tc>
        <w:tc>
          <w:tcPr>
            <w:tcW w:w="3406" w:type="dxa"/>
            <w:vAlign w:val="top"/>
          </w:tcPr>
          <w:p>
            <w:pPr>
              <w:spacing w:before="76"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教研教改课题立项及完成情况</w:t>
            </w:r>
          </w:p>
        </w:tc>
        <w:tc>
          <w:tcPr>
            <w:tcW w:w="957" w:type="dxa"/>
            <w:vAlign w:val="top"/>
          </w:tcPr>
          <w:p>
            <w:pPr>
              <w:spacing w:before="108"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7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Align w:val="top"/>
          </w:tcPr>
          <w:p>
            <w:pPr>
              <w:spacing w:before="78"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教学研究论文</w:t>
            </w:r>
          </w:p>
        </w:tc>
        <w:tc>
          <w:tcPr>
            <w:tcW w:w="3406" w:type="dxa"/>
            <w:vAlign w:val="top"/>
          </w:tcPr>
          <w:p>
            <w:pPr>
              <w:spacing w:before="78"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教学研究论文发表情况</w:t>
            </w:r>
          </w:p>
        </w:tc>
        <w:tc>
          <w:tcPr>
            <w:tcW w:w="957" w:type="dxa"/>
            <w:vAlign w:val="top"/>
          </w:tcPr>
          <w:p>
            <w:pPr>
              <w:spacing w:before="110" w:line="180"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7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tcBorders>
            <w:vAlign w:val="top"/>
          </w:tcPr>
          <w:p>
            <w:pPr>
              <w:rPr>
                <w:rFonts w:ascii="Malgun Gothic"/>
                <w:sz w:val="21"/>
              </w:rPr>
            </w:pPr>
          </w:p>
        </w:tc>
        <w:tc>
          <w:tcPr>
            <w:tcW w:w="2154" w:type="dxa"/>
            <w:vAlign w:val="top"/>
          </w:tcPr>
          <w:p>
            <w:pPr>
              <w:spacing w:before="81"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3.4</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教研教改成果</w:t>
            </w:r>
          </w:p>
        </w:tc>
        <w:tc>
          <w:tcPr>
            <w:tcW w:w="3406" w:type="dxa"/>
            <w:vAlign w:val="top"/>
          </w:tcPr>
          <w:p>
            <w:pPr>
              <w:spacing w:before="80"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教学成果获奖</w:t>
            </w:r>
          </w:p>
        </w:tc>
        <w:tc>
          <w:tcPr>
            <w:tcW w:w="957" w:type="dxa"/>
            <w:vAlign w:val="top"/>
          </w:tcPr>
          <w:p>
            <w:pPr>
              <w:spacing w:before="110"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restart"/>
            <w:tcBorders>
              <w:left w:val="single" w:color="000000" w:sz="6" w:space="0"/>
              <w:bottom w:val="nil"/>
            </w:tcBorders>
            <w:vAlign w:val="top"/>
          </w:tcPr>
          <w:p>
            <w:pPr>
              <w:spacing w:line="264" w:lineRule="auto"/>
              <w:rPr>
                <w:rFonts w:ascii="Malgun Gothic"/>
                <w:sz w:val="21"/>
              </w:rPr>
            </w:pPr>
          </w:p>
          <w:p>
            <w:pPr>
              <w:spacing w:line="265" w:lineRule="auto"/>
              <w:rPr>
                <w:rFonts w:ascii="Malgun Gothic"/>
                <w:sz w:val="21"/>
              </w:rPr>
            </w:pPr>
          </w:p>
          <w:p>
            <w:pPr>
              <w:spacing w:before="75" w:line="288" w:lineRule="auto"/>
              <w:ind w:left="218" w:right="234" w:firstLine="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4.教学运行</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（31</w:t>
            </w:r>
            <w:r>
              <w:rPr>
                <w:rFonts w:ascii="方正书宋简体" w:hAnsi="方正书宋简体" w:eastAsia="方正书宋简体" w:cs="方正书宋简体"/>
                <w:spacing w:val="27"/>
                <w:w w:val="101"/>
                <w:sz w:val="21"/>
                <w:szCs w:val="21"/>
              </w:rPr>
              <w:t xml:space="preserve"> </w:t>
            </w:r>
            <w:r>
              <w:rPr>
                <w:rFonts w:ascii="方正书宋简体" w:hAnsi="方正书宋简体" w:eastAsia="方正书宋简体" w:cs="方正书宋简体"/>
                <w:spacing w:val="-2"/>
                <w:sz w:val="21"/>
                <w:szCs w:val="21"/>
              </w:rPr>
              <w:t>分）</w:t>
            </w:r>
          </w:p>
        </w:tc>
        <w:tc>
          <w:tcPr>
            <w:tcW w:w="2154" w:type="dxa"/>
            <w:vMerge w:val="restart"/>
            <w:tcBorders>
              <w:bottom w:val="nil"/>
            </w:tcBorders>
            <w:vAlign w:val="top"/>
          </w:tcPr>
          <w:p>
            <w:pPr>
              <w:spacing w:before="268"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教师教学</w:t>
            </w:r>
          </w:p>
        </w:tc>
        <w:tc>
          <w:tcPr>
            <w:tcW w:w="3406" w:type="dxa"/>
            <w:vAlign w:val="top"/>
          </w:tcPr>
          <w:p>
            <w:pPr>
              <w:spacing w:before="79"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教授、副教授授课</w:t>
            </w:r>
          </w:p>
        </w:tc>
        <w:tc>
          <w:tcPr>
            <w:tcW w:w="957" w:type="dxa"/>
            <w:vAlign w:val="top"/>
          </w:tcPr>
          <w:p>
            <w:pPr>
              <w:spacing w:before="111"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7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教师教学竞赛获奖</w:t>
            </w:r>
          </w:p>
        </w:tc>
        <w:tc>
          <w:tcPr>
            <w:tcW w:w="957" w:type="dxa"/>
            <w:vAlign w:val="top"/>
          </w:tcPr>
          <w:p>
            <w:pPr>
              <w:spacing w:before="111"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1"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68"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
                <w:sz w:val="21"/>
                <w:szCs w:val="21"/>
              </w:rPr>
              <w:t>教学秩序</w:t>
            </w:r>
          </w:p>
        </w:tc>
        <w:tc>
          <w:tcPr>
            <w:tcW w:w="3406" w:type="dxa"/>
            <w:vAlign w:val="top"/>
          </w:tcPr>
          <w:p>
            <w:pPr>
              <w:spacing w:before="81"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教学计划执行</w:t>
            </w:r>
          </w:p>
        </w:tc>
        <w:tc>
          <w:tcPr>
            <w:tcW w:w="957" w:type="dxa"/>
            <w:vAlign w:val="top"/>
          </w:tcPr>
          <w:p>
            <w:pPr>
              <w:spacing w:before="113"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2"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81"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停调课</w:t>
            </w:r>
          </w:p>
        </w:tc>
        <w:tc>
          <w:tcPr>
            <w:tcW w:w="957" w:type="dxa"/>
            <w:vAlign w:val="top"/>
          </w:tcPr>
          <w:p>
            <w:pPr>
              <w:spacing w:before="114"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3"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68"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教学专项检查</w:t>
            </w:r>
          </w:p>
        </w:tc>
        <w:tc>
          <w:tcPr>
            <w:tcW w:w="3406" w:type="dxa"/>
            <w:vAlign w:val="top"/>
          </w:tcPr>
          <w:p>
            <w:pPr>
              <w:spacing w:before="83"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试卷检查情况</w:t>
            </w:r>
          </w:p>
        </w:tc>
        <w:tc>
          <w:tcPr>
            <w:tcW w:w="957" w:type="dxa"/>
            <w:vAlign w:val="top"/>
          </w:tcPr>
          <w:p>
            <w:pPr>
              <w:spacing w:before="114"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4"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70" w:type="dxa"/>
            <w:vMerge w:val="continue"/>
            <w:tcBorders>
              <w:top w:val="nil"/>
              <w:left w:val="single" w:color="000000" w:sz="6" w:space="0"/>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84"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毕业论文（设计）与综合训练检查</w:t>
            </w:r>
          </w:p>
        </w:tc>
        <w:tc>
          <w:tcPr>
            <w:tcW w:w="957" w:type="dxa"/>
            <w:vAlign w:val="top"/>
          </w:tcPr>
          <w:p>
            <w:pPr>
              <w:spacing w:before="115"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5"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restart"/>
            <w:tcBorders>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72"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4.4</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2"/>
                <w:sz w:val="21"/>
                <w:szCs w:val="21"/>
              </w:rPr>
              <w:t>实践教学</w:t>
            </w:r>
          </w:p>
        </w:tc>
        <w:tc>
          <w:tcPr>
            <w:tcW w:w="3406" w:type="dxa"/>
            <w:vAlign w:val="top"/>
          </w:tcPr>
          <w:p>
            <w:pPr>
              <w:spacing w:before="85"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实验教学</w:t>
            </w:r>
          </w:p>
        </w:tc>
        <w:tc>
          <w:tcPr>
            <w:tcW w:w="957" w:type="dxa"/>
            <w:vAlign w:val="top"/>
          </w:tcPr>
          <w:p>
            <w:pPr>
              <w:spacing w:before="114"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4"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84"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实（见）习执行情况</w:t>
            </w:r>
          </w:p>
        </w:tc>
        <w:tc>
          <w:tcPr>
            <w:tcW w:w="957" w:type="dxa"/>
            <w:vAlign w:val="top"/>
          </w:tcPr>
          <w:p>
            <w:pPr>
              <w:spacing w:before="115"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85"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Align w:val="top"/>
          </w:tcPr>
          <w:p>
            <w:pPr>
              <w:spacing w:before="83"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4.5</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第二课堂</w:t>
            </w:r>
          </w:p>
        </w:tc>
        <w:tc>
          <w:tcPr>
            <w:tcW w:w="3406" w:type="dxa"/>
            <w:vAlign w:val="top"/>
          </w:tcPr>
          <w:p>
            <w:pPr>
              <w:spacing w:before="85"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校园文化、科技活动开展情况</w:t>
            </w:r>
          </w:p>
        </w:tc>
        <w:tc>
          <w:tcPr>
            <w:tcW w:w="957" w:type="dxa"/>
            <w:vAlign w:val="top"/>
          </w:tcPr>
          <w:p>
            <w:pPr>
              <w:spacing w:before="116"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6"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line="388" w:lineRule="auto"/>
              <w:rPr>
                <w:rFonts w:ascii="Malgun Gothic"/>
                <w:sz w:val="21"/>
              </w:rPr>
            </w:pPr>
          </w:p>
          <w:p>
            <w:pPr>
              <w:spacing w:before="75" w:line="180"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4.6</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教学质量监控</w:t>
            </w:r>
          </w:p>
        </w:tc>
        <w:tc>
          <w:tcPr>
            <w:tcW w:w="3406" w:type="dxa"/>
            <w:vAlign w:val="top"/>
          </w:tcPr>
          <w:p>
            <w:pPr>
              <w:spacing w:before="82"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教学质量保障体系</w:t>
            </w:r>
          </w:p>
        </w:tc>
        <w:tc>
          <w:tcPr>
            <w:tcW w:w="957" w:type="dxa"/>
            <w:vAlign w:val="top"/>
          </w:tcPr>
          <w:p>
            <w:pPr>
              <w:spacing w:before="117"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7"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bottom w:val="nil"/>
            </w:tcBorders>
            <w:vAlign w:val="top"/>
          </w:tcPr>
          <w:p>
            <w:pPr>
              <w:rPr>
                <w:rFonts w:ascii="Malgun Gothic"/>
                <w:sz w:val="21"/>
              </w:rPr>
            </w:pPr>
          </w:p>
        </w:tc>
        <w:tc>
          <w:tcPr>
            <w:tcW w:w="3406" w:type="dxa"/>
            <w:vAlign w:val="top"/>
          </w:tcPr>
          <w:p>
            <w:pPr>
              <w:spacing w:before="86"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领导干部听评课</w:t>
            </w:r>
          </w:p>
        </w:tc>
        <w:tc>
          <w:tcPr>
            <w:tcW w:w="957" w:type="dxa"/>
            <w:vAlign w:val="top"/>
          </w:tcPr>
          <w:p>
            <w:pPr>
              <w:spacing w:before="118"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bottom w:val="nil"/>
            </w:tcBorders>
            <w:vAlign w:val="top"/>
          </w:tcPr>
          <w:p>
            <w:pPr>
              <w:rPr>
                <w:rFonts w:ascii="Malgun Gothic"/>
                <w:sz w:val="21"/>
              </w:rPr>
            </w:pPr>
          </w:p>
        </w:tc>
        <w:tc>
          <w:tcPr>
            <w:tcW w:w="3406" w:type="dxa"/>
            <w:vAlign w:val="top"/>
          </w:tcPr>
          <w:p>
            <w:pPr>
              <w:spacing w:before="85"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教学督导、学生信息员工作</w:t>
            </w:r>
          </w:p>
        </w:tc>
        <w:tc>
          <w:tcPr>
            <w:tcW w:w="957" w:type="dxa"/>
            <w:vAlign w:val="top"/>
          </w:tcPr>
          <w:p>
            <w:pPr>
              <w:spacing w:before="119"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470" w:type="dxa"/>
            <w:vMerge w:val="continue"/>
            <w:tcBorders>
              <w:top w:val="nil"/>
              <w:left w:val="single" w:color="000000" w:sz="6" w:space="0"/>
              <w:bottom w:val="single" w:color="000000" w:sz="6" w:space="0"/>
            </w:tcBorders>
            <w:vAlign w:val="top"/>
          </w:tcPr>
          <w:p>
            <w:pPr>
              <w:rPr>
                <w:rFonts w:ascii="Malgun Gothic"/>
                <w:sz w:val="21"/>
              </w:rPr>
            </w:pPr>
          </w:p>
        </w:tc>
        <w:tc>
          <w:tcPr>
            <w:tcW w:w="2154" w:type="dxa"/>
            <w:vMerge w:val="continue"/>
            <w:tcBorders>
              <w:top w:val="nil"/>
              <w:bottom w:val="single" w:color="000000" w:sz="6" w:space="0"/>
            </w:tcBorders>
            <w:vAlign w:val="top"/>
          </w:tcPr>
          <w:p>
            <w:pPr>
              <w:rPr>
                <w:rFonts w:ascii="Malgun Gothic"/>
                <w:sz w:val="21"/>
              </w:rPr>
            </w:pPr>
          </w:p>
        </w:tc>
        <w:tc>
          <w:tcPr>
            <w:tcW w:w="3406" w:type="dxa"/>
            <w:tcBorders>
              <w:bottom w:val="single" w:color="000000" w:sz="6" w:space="0"/>
            </w:tcBorders>
            <w:vAlign w:val="top"/>
          </w:tcPr>
          <w:p>
            <w:pPr>
              <w:spacing w:before="91"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学生评教</w:t>
            </w:r>
          </w:p>
        </w:tc>
        <w:tc>
          <w:tcPr>
            <w:tcW w:w="957" w:type="dxa"/>
            <w:tcBorders>
              <w:bottom w:val="single" w:color="000000" w:sz="6" w:space="0"/>
            </w:tcBorders>
            <w:vAlign w:val="top"/>
          </w:tcPr>
          <w:p>
            <w:pPr>
              <w:spacing w:before="120"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bottom w:val="single" w:color="000000" w:sz="6" w:space="0"/>
              <w:right w:val="single" w:color="000000" w:sz="6" w:space="0"/>
            </w:tcBorders>
            <w:vAlign w:val="top"/>
          </w:tcPr>
          <w:p>
            <w:pPr>
              <w:spacing w:before="9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bl>
    <w:p>
      <w:pPr>
        <w:spacing w:before="390"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310</w:t>
      </w:r>
    </w:p>
    <w:p>
      <w:pPr>
        <w:sectPr>
          <w:footerReference r:id="rId314"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70"/>
        <w:gridCol w:w="2154"/>
        <w:gridCol w:w="3406"/>
        <w:gridCol w:w="957"/>
        <w:gridCol w:w="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470" w:type="dxa"/>
            <w:tcBorders>
              <w:top w:val="single" w:color="000000" w:sz="6" w:space="0"/>
              <w:left w:val="single" w:color="000000" w:sz="6" w:space="0"/>
            </w:tcBorders>
            <w:vAlign w:val="top"/>
          </w:tcPr>
          <w:p>
            <w:pPr>
              <w:spacing w:before="223" w:line="180" w:lineRule="auto"/>
              <w:ind w:firstLine="31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一级指标</w:t>
            </w:r>
          </w:p>
        </w:tc>
        <w:tc>
          <w:tcPr>
            <w:tcW w:w="2154" w:type="dxa"/>
            <w:tcBorders>
              <w:top w:val="single" w:color="000000" w:sz="6" w:space="0"/>
            </w:tcBorders>
            <w:vAlign w:val="top"/>
          </w:tcPr>
          <w:p>
            <w:pPr>
              <w:spacing w:before="223" w:line="180" w:lineRule="auto"/>
              <w:ind w:firstLine="503"/>
              <w:rPr>
                <w:rFonts w:ascii="Microsoft JhengHei" w:hAnsi="Microsoft JhengHei" w:eastAsia="Microsoft JhengHei" w:cs="Microsoft JhengHei"/>
                <w:sz w:val="21"/>
                <w:szCs w:val="21"/>
              </w:rPr>
            </w:pPr>
            <w:r>
              <w:rPr>
                <w:rFonts w:ascii="Microsoft JhengHei" w:hAnsi="Microsoft JhengHei" w:eastAsia="Microsoft JhengHei" w:cs="Microsoft JhengHei"/>
                <w:spacing w:val="-8"/>
                <w:sz w:val="21"/>
                <w:szCs w:val="21"/>
              </w:rPr>
              <w:t>二</w:t>
            </w:r>
            <w:r>
              <w:rPr>
                <w:rFonts w:ascii="Microsoft JhengHei" w:hAnsi="Microsoft JhengHei" w:eastAsia="Microsoft JhengHei" w:cs="Microsoft JhengHei"/>
                <w:spacing w:val="5"/>
                <w:sz w:val="21"/>
                <w:szCs w:val="21"/>
              </w:rPr>
              <w:t xml:space="preserve">  </w:t>
            </w:r>
            <w:r>
              <w:rPr>
                <w:rFonts w:ascii="Microsoft JhengHei" w:hAnsi="Microsoft JhengHei" w:eastAsia="Microsoft JhengHei" w:cs="Microsoft JhengHei"/>
                <w:spacing w:val="-8"/>
                <w:sz w:val="21"/>
                <w:szCs w:val="21"/>
              </w:rPr>
              <w:t>级</w:t>
            </w:r>
            <w:r>
              <w:rPr>
                <w:rFonts w:ascii="Microsoft JhengHei" w:hAnsi="Microsoft JhengHei" w:eastAsia="Microsoft JhengHei" w:cs="Microsoft JhengHei"/>
                <w:spacing w:val="4"/>
                <w:w w:val="101"/>
                <w:sz w:val="21"/>
                <w:szCs w:val="21"/>
              </w:rPr>
              <w:t xml:space="preserve">  </w:t>
            </w:r>
            <w:r>
              <w:rPr>
                <w:rFonts w:ascii="Microsoft JhengHei" w:hAnsi="Microsoft JhengHei" w:eastAsia="Microsoft JhengHei" w:cs="Microsoft JhengHei"/>
                <w:spacing w:val="-8"/>
                <w:sz w:val="21"/>
                <w:szCs w:val="21"/>
              </w:rPr>
              <w:t>指</w:t>
            </w:r>
            <w:r>
              <w:rPr>
                <w:rFonts w:ascii="Microsoft JhengHei" w:hAnsi="Microsoft JhengHei" w:eastAsia="Microsoft JhengHei" w:cs="Microsoft JhengHei"/>
                <w:spacing w:val="2"/>
                <w:w w:val="101"/>
                <w:sz w:val="21"/>
                <w:szCs w:val="21"/>
              </w:rPr>
              <w:t xml:space="preserve">  </w:t>
            </w:r>
            <w:r>
              <w:rPr>
                <w:rFonts w:ascii="Microsoft JhengHei" w:hAnsi="Microsoft JhengHei" w:eastAsia="Microsoft JhengHei" w:cs="Microsoft JhengHei"/>
                <w:spacing w:val="-8"/>
                <w:sz w:val="21"/>
                <w:szCs w:val="21"/>
              </w:rPr>
              <w:t>标</w:t>
            </w:r>
          </w:p>
        </w:tc>
        <w:tc>
          <w:tcPr>
            <w:tcW w:w="3406" w:type="dxa"/>
            <w:tcBorders>
              <w:top w:val="single" w:color="000000" w:sz="6" w:space="0"/>
            </w:tcBorders>
            <w:vAlign w:val="top"/>
          </w:tcPr>
          <w:p>
            <w:pPr>
              <w:spacing w:before="223" w:line="180" w:lineRule="auto"/>
              <w:ind w:firstLine="118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957" w:type="dxa"/>
            <w:tcBorders>
              <w:top w:val="single" w:color="000000" w:sz="6" w:space="0"/>
            </w:tcBorders>
            <w:vAlign w:val="top"/>
          </w:tcPr>
          <w:p>
            <w:pPr>
              <w:spacing w:before="223" w:line="180" w:lineRule="auto"/>
              <w:ind w:firstLine="273"/>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分值</w:t>
            </w:r>
          </w:p>
        </w:tc>
        <w:tc>
          <w:tcPr>
            <w:tcW w:w="747" w:type="dxa"/>
            <w:tcBorders>
              <w:top w:val="single" w:color="000000" w:sz="6" w:space="0"/>
              <w:right w:val="single" w:color="000000" w:sz="6" w:space="0"/>
            </w:tcBorders>
            <w:vAlign w:val="top"/>
          </w:tcPr>
          <w:p>
            <w:pPr>
              <w:spacing w:before="70" w:line="202" w:lineRule="auto"/>
              <w:ind w:firstLine="16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p>
            <w:pPr>
              <w:spacing w:line="204" w:lineRule="auto"/>
              <w:ind w:firstLine="167"/>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restart"/>
            <w:tcBorders>
              <w:left w:val="single" w:color="000000" w:sz="6" w:space="0"/>
              <w:bottom w:val="nil"/>
            </w:tcBorders>
            <w:vAlign w:val="top"/>
          </w:tcPr>
          <w:p>
            <w:pPr>
              <w:spacing w:line="248"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before="75" w:line="301" w:lineRule="auto"/>
              <w:ind w:left="218" w:right="234"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5.教学效果</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（24</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分）</w:t>
            </w:r>
          </w:p>
        </w:tc>
        <w:tc>
          <w:tcPr>
            <w:tcW w:w="2154" w:type="dxa"/>
            <w:vAlign w:val="top"/>
          </w:tcPr>
          <w:p>
            <w:pPr>
              <w:spacing w:before="89"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5.1</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
                <w:sz w:val="21"/>
                <w:szCs w:val="21"/>
              </w:rPr>
              <w:t>招生录取</w:t>
            </w:r>
          </w:p>
        </w:tc>
        <w:tc>
          <w:tcPr>
            <w:tcW w:w="3406" w:type="dxa"/>
            <w:vAlign w:val="top"/>
          </w:tcPr>
          <w:p>
            <w:pPr>
              <w:spacing w:before="8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第一志愿录取率与录取平均分</w:t>
            </w:r>
          </w:p>
        </w:tc>
        <w:tc>
          <w:tcPr>
            <w:tcW w:w="957" w:type="dxa"/>
            <w:vAlign w:val="top"/>
          </w:tcPr>
          <w:p>
            <w:pPr>
              <w:spacing w:before="119"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8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93"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5.2</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2"/>
                <w:sz w:val="21"/>
                <w:szCs w:val="21"/>
              </w:rPr>
              <w:t>学生指导与服务</w:t>
            </w:r>
          </w:p>
        </w:tc>
        <w:tc>
          <w:tcPr>
            <w:tcW w:w="3406" w:type="dxa"/>
            <w:vAlign w:val="top"/>
          </w:tcPr>
          <w:p>
            <w:pPr>
              <w:spacing w:before="88"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学生指导与服务效果</w:t>
            </w:r>
          </w:p>
        </w:tc>
        <w:tc>
          <w:tcPr>
            <w:tcW w:w="957" w:type="dxa"/>
            <w:vAlign w:val="top"/>
          </w:tcPr>
          <w:p>
            <w:pPr>
              <w:spacing w:before="120"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90"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90"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教学满意度</w:t>
            </w:r>
          </w:p>
        </w:tc>
        <w:tc>
          <w:tcPr>
            <w:tcW w:w="957" w:type="dxa"/>
            <w:vAlign w:val="top"/>
          </w:tcPr>
          <w:p>
            <w:pPr>
              <w:spacing w:before="122" w:line="180"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91"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29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
                <w:sz w:val="21"/>
                <w:szCs w:val="21"/>
              </w:rPr>
              <w:t>学风情况</w:t>
            </w:r>
          </w:p>
        </w:tc>
        <w:tc>
          <w:tcPr>
            <w:tcW w:w="3406" w:type="dxa"/>
            <w:vAlign w:val="top"/>
          </w:tcPr>
          <w:p>
            <w:pPr>
              <w:spacing w:before="89"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学生到课率</w:t>
            </w:r>
          </w:p>
        </w:tc>
        <w:tc>
          <w:tcPr>
            <w:tcW w:w="957" w:type="dxa"/>
            <w:vAlign w:val="top"/>
          </w:tcPr>
          <w:p>
            <w:pPr>
              <w:spacing w:before="123" w:line="180"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92"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95"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学生考试违规</w:t>
            </w:r>
          </w:p>
        </w:tc>
        <w:tc>
          <w:tcPr>
            <w:tcW w:w="957" w:type="dxa"/>
            <w:vAlign w:val="top"/>
          </w:tcPr>
          <w:p>
            <w:pPr>
              <w:spacing w:before="124"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94"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line="392" w:lineRule="auto"/>
              <w:rPr>
                <w:rFonts w:ascii="Malgun Gothic"/>
                <w:sz w:val="21"/>
              </w:rPr>
            </w:pPr>
          </w:p>
          <w:p>
            <w:pPr>
              <w:spacing w:before="7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8"/>
                <w:sz w:val="21"/>
                <w:szCs w:val="21"/>
              </w:rPr>
              <w:t>5.4</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5"/>
                <w:w w:val="98"/>
                <w:sz w:val="21"/>
                <w:szCs w:val="21"/>
              </w:rPr>
              <w:t>大学生创新与创业</w:t>
            </w:r>
          </w:p>
        </w:tc>
        <w:tc>
          <w:tcPr>
            <w:tcW w:w="3406" w:type="dxa"/>
            <w:vAlign w:val="top"/>
          </w:tcPr>
          <w:p>
            <w:pPr>
              <w:spacing w:before="94" w:line="251" w:lineRule="auto"/>
              <w:ind w:left="105" w:right="96"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大学生研究性学习和创新性试验计</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
                <w:sz w:val="21"/>
                <w:szCs w:val="21"/>
              </w:rPr>
              <w:t>划项目、创业项目</w:t>
            </w:r>
          </w:p>
        </w:tc>
        <w:tc>
          <w:tcPr>
            <w:tcW w:w="957" w:type="dxa"/>
            <w:vAlign w:val="top"/>
          </w:tcPr>
          <w:p>
            <w:pPr>
              <w:spacing w:before="281"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252"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bottom w:val="nil"/>
            </w:tcBorders>
            <w:vAlign w:val="top"/>
          </w:tcPr>
          <w:p>
            <w:pPr>
              <w:rPr>
                <w:rFonts w:ascii="Malgun Gothic"/>
                <w:sz w:val="21"/>
              </w:rPr>
            </w:pPr>
          </w:p>
        </w:tc>
        <w:tc>
          <w:tcPr>
            <w:tcW w:w="3406" w:type="dxa"/>
            <w:vAlign w:val="top"/>
          </w:tcPr>
          <w:p>
            <w:pPr>
              <w:spacing w:before="94"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学生学术论文与专利</w:t>
            </w:r>
          </w:p>
        </w:tc>
        <w:tc>
          <w:tcPr>
            <w:tcW w:w="957" w:type="dxa"/>
            <w:vAlign w:val="top"/>
          </w:tcPr>
          <w:p>
            <w:pPr>
              <w:spacing w:before="128"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9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95"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学科竞赛获奖</w:t>
            </w:r>
          </w:p>
        </w:tc>
        <w:tc>
          <w:tcPr>
            <w:tcW w:w="957" w:type="dxa"/>
            <w:vAlign w:val="top"/>
          </w:tcPr>
          <w:p>
            <w:pPr>
              <w:spacing w:before="129" w:line="180" w:lineRule="auto"/>
              <w:ind w:firstLine="43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747" w:type="dxa"/>
            <w:tcBorders>
              <w:right w:val="single" w:color="000000" w:sz="6" w:space="0"/>
            </w:tcBorders>
            <w:vAlign w:val="top"/>
          </w:tcPr>
          <w:p>
            <w:pPr>
              <w:spacing w:before="9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Align w:val="top"/>
          </w:tcPr>
          <w:p>
            <w:pPr>
              <w:spacing w:before="253"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5.5</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2"/>
                <w:sz w:val="21"/>
                <w:szCs w:val="21"/>
              </w:rPr>
              <w:t>等级考试</w:t>
            </w:r>
          </w:p>
        </w:tc>
        <w:tc>
          <w:tcPr>
            <w:tcW w:w="3406" w:type="dxa"/>
            <w:vAlign w:val="top"/>
          </w:tcPr>
          <w:p>
            <w:pPr>
              <w:spacing w:before="98" w:line="251" w:lineRule="auto"/>
              <w:ind w:left="105" w:right="96"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应届本科毕业生英语四级考试累计</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2"/>
                <w:sz w:val="21"/>
                <w:szCs w:val="21"/>
              </w:rPr>
              <w:t>通过率</w:t>
            </w:r>
          </w:p>
        </w:tc>
        <w:tc>
          <w:tcPr>
            <w:tcW w:w="957" w:type="dxa"/>
            <w:vAlign w:val="top"/>
          </w:tcPr>
          <w:p>
            <w:pPr>
              <w:spacing w:before="286"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256"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continue"/>
            <w:tcBorders>
              <w:top w:val="nil"/>
              <w:left w:val="single" w:color="000000" w:sz="6" w:space="0"/>
              <w:bottom w:val="nil"/>
            </w:tcBorders>
            <w:vAlign w:val="top"/>
          </w:tcPr>
          <w:p>
            <w:pPr>
              <w:rPr>
                <w:rFonts w:ascii="Malgun Gothic"/>
                <w:sz w:val="21"/>
              </w:rPr>
            </w:pPr>
          </w:p>
        </w:tc>
        <w:tc>
          <w:tcPr>
            <w:tcW w:w="2154" w:type="dxa"/>
            <w:vMerge w:val="restart"/>
            <w:tcBorders>
              <w:bottom w:val="nil"/>
            </w:tcBorders>
            <w:vAlign w:val="top"/>
          </w:tcPr>
          <w:p>
            <w:pPr>
              <w:spacing w:before="305"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5.6</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2"/>
                <w:sz w:val="21"/>
                <w:szCs w:val="21"/>
              </w:rPr>
              <w:t>毕业生就业</w:t>
            </w:r>
          </w:p>
        </w:tc>
        <w:tc>
          <w:tcPr>
            <w:tcW w:w="3406" w:type="dxa"/>
            <w:vAlign w:val="top"/>
          </w:tcPr>
          <w:p>
            <w:pPr>
              <w:spacing w:before="100"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考取研究生占应届本科毕业生的比例</w:t>
            </w:r>
          </w:p>
        </w:tc>
        <w:tc>
          <w:tcPr>
            <w:tcW w:w="957" w:type="dxa"/>
            <w:vAlign w:val="top"/>
          </w:tcPr>
          <w:p>
            <w:pPr>
              <w:spacing w:before="133" w:line="180"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102"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1470" w:type="dxa"/>
            <w:vMerge w:val="continue"/>
            <w:tcBorders>
              <w:top w:val="nil"/>
              <w:left w:val="single" w:color="000000" w:sz="6" w:space="0"/>
            </w:tcBorders>
            <w:vAlign w:val="top"/>
          </w:tcPr>
          <w:p>
            <w:pPr>
              <w:rPr>
                <w:rFonts w:ascii="Malgun Gothic"/>
                <w:sz w:val="21"/>
              </w:rPr>
            </w:pPr>
          </w:p>
        </w:tc>
        <w:tc>
          <w:tcPr>
            <w:tcW w:w="2154" w:type="dxa"/>
            <w:vMerge w:val="continue"/>
            <w:tcBorders>
              <w:top w:val="nil"/>
            </w:tcBorders>
            <w:vAlign w:val="top"/>
          </w:tcPr>
          <w:p>
            <w:pPr>
              <w:rPr>
                <w:rFonts w:ascii="Malgun Gothic"/>
                <w:sz w:val="21"/>
              </w:rPr>
            </w:pPr>
          </w:p>
        </w:tc>
        <w:tc>
          <w:tcPr>
            <w:tcW w:w="3406" w:type="dxa"/>
            <w:vAlign w:val="top"/>
          </w:tcPr>
          <w:p>
            <w:pPr>
              <w:spacing w:before="102" w:line="180"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已就业学生占应届毕业生的比例</w:t>
            </w:r>
          </w:p>
        </w:tc>
        <w:tc>
          <w:tcPr>
            <w:tcW w:w="957" w:type="dxa"/>
            <w:vAlign w:val="top"/>
          </w:tcPr>
          <w:p>
            <w:pPr>
              <w:spacing w:before="134"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747" w:type="dxa"/>
            <w:tcBorders>
              <w:right w:val="single" w:color="000000" w:sz="6" w:space="0"/>
            </w:tcBorders>
            <w:vAlign w:val="top"/>
          </w:tcPr>
          <w:p>
            <w:pPr>
              <w:spacing w:before="104"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470" w:type="dxa"/>
            <w:vMerge w:val="restart"/>
            <w:tcBorders>
              <w:left w:val="single" w:color="000000" w:sz="6" w:space="0"/>
              <w:bottom w:val="nil"/>
            </w:tcBorders>
            <w:vAlign w:val="top"/>
          </w:tcPr>
          <w:p>
            <w:pPr>
              <w:spacing w:line="255" w:lineRule="auto"/>
              <w:rPr>
                <w:rFonts w:ascii="Malgun Gothic"/>
                <w:sz w:val="21"/>
              </w:rPr>
            </w:pPr>
          </w:p>
          <w:p>
            <w:pPr>
              <w:spacing w:before="76" w:line="180" w:lineRule="auto"/>
              <w:ind w:firstLine="2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6.附加项目</w:t>
            </w:r>
          </w:p>
        </w:tc>
        <w:tc>
          <w:tcPr>
            <w:tcW w:w="2154" w:type="dxa"/>
            <w:vAlign w:val="top"/>
          </w:tcPr>
          <w:p>
            <w:pPr>
              <w:spacing w:before="100"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加分项</w:t>
            </w:r>
          </w:p>
        </w:tc>
        <w:tc>
          <w:tcPr>
            <w:tcW w:w="3406" w:type="dxa"/>
            <w:vAlign w:val="top"/>
          </w:tcPr>
          <w:p>
            <w:pPr>
              <w:spacing w:before="100" w:line="180" w:lineRule="auto"/>
              <w:ind w:firstLine="12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国家、省级项目与成果</w:t>
            </w:r>
          </w:p>
        </w:tc>
        <w:tc>
          <w:tcPr>
            <w:tcW w:w="957" w:type="dxa"/>
            <w:vAlign w:val="top"/>
          </w:tcPr>
          <w:p>
            <w:pPr>
              <w:spacing w:before="129" w:line="180" w:lineRule="auto"/>
              <w:ind w:firstLine="43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47" w:type="dxa"/>
            <w:tcBorders>
              <w:right w:val="single" w:color="000000" w:sz="6" w:space="0"/>
            </w:tcBorders>
            <w:vAlign w:val="top"/>
          </w:tcPr>
          <w:p>
            <w:pPr>
              <w:spacing w:before="101"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1470" w:type="dxa"/>
            <w:vMerge w:val="continue"/>
            <w:tcBorders>
              <w:top w:val="nil"/>
              <w:left w:val="single" w:color="000000" w:sz="6" w:space="0"/>
              <w:bottom w:val="single" w:color="000000" w:sz="6" w:space="0"/>
            </w:tcBorders>
            <w:vAlign w:val="top"/>
          </w:tcPr>
          <w:p>
            <w:pPr>
              <w:rPr>
                <w:rFonts w:ascii="Malgun Gothic"/>
                <w:sz w:val="21"/>
              </w:rPr>
            </w:pPr>
          </w:p>
        </w:tc>
        <w:tc>
          <w:tcPr>
            <w:tcW w:w="2154" w:type="dxa"/>
            <w:tcBorders>
              <w:bottom w:val="single" w:color="000000" w:sz="6" w:space="0"/>
            </w:tcBorders>
            <w:vAlign w:val="top"/>
          </w:tcPr>
          <w:p>
            <w:pPr>
              <w:spacing w:before="260"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减分项</w:t>
            </w:r>
          </w:p>
        </w:tc>
        <w:tc>
          <w:tcPr>
            <w:tcW w:w="3406" w:type="dxa"/>
            <w:tcBorders>
              <w:bottom w:val="single" w:color="000000" w:sz="6" w:space="0"/>
            </w:tcBorders>
            <w:vAlign w:val="top"/>
          </w:tcPr>
          <w:p>
            <w:pPr>
              <w:spacing w:before="99" w:line="251" w:lineRule="auto"/>
              <w:ind w:left="106" w:right="9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教学事故、教学通报及未完成专项</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
                <w:sz w:val="21"/>
                <w:szCs w:val="21"/>
              </w:rPr>
              <w:t>教学工作</w:t>
            </w:r>
          </w:p>
        </w:tc>
        <w:tc>
          <w:tcPr>
            <w:tcW w:w="957" w:type="dxa"/>
            <w:tcBorders>
              <w:bottom w:val="single" w:color="000000" w:sz="6" w:space="0"/>
            </w:tcBorders>
            <w:vAlign w:val="top"/>
          </w:tcPr>
          <w:p>
            <w:pPr>
              <w:spacing w:before="287" w:line="180" w:lineRule="auto"/>
              <w:ind w:firstLine="43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747" w:type="dxa"/>
            <w:tcBorders>
              <w:bottom w:val="single" w:color="000000" w:sz="6" w:space="0"/>
              <w:right w:val="single" w:color="000000" w:sz="6" w:space="0"/>
            </w:tcBorders>
            <w:vAlign w:val="top"/>
          </w:tcPr>
          <w:p>
            <w:pPr>
              <w:spacing w:before="259"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定量</w:t>
            </w:r>
          </w:p>
        </w:tc>
      </w:tr>
    </w:tbl>
    <w:p>
      <w:pPr>
        <w:spacing w:before="180" w:line="193" w:lineRule="auto"/>
        <w:ind w:firstLine="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注：一级指标</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2"/>
          <w:sz w:val="21"/>
          <w:szCs w:val="21"/>
        </w:rPr>
        <w:t>6</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项、二级指标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2"/>
          <w:sz w:val="21"/>
          <w:szCs w:val="21"/>
        </w:rPr>
        <w:t>25</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2"/>
          <w:sz w:val="21"/>
          <w:szCs w:val="21"/>
        </w:rPr>
        <w:t>项、主要观测点</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43</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
          <w:sz w:val="21"/>
          <w:szCs w:val="21"/>
        </w:rPr>
        <w:t>个。</w:t>
      </w: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0"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line="251" w:lineRule="auto"/>
        <w:rPr>
          <w:rFonts w:ascii="Malgun Gothic"/>
          <w:sz w:val="21"/>
        </w:rPr>
      </w:pPr>
    </w:p>
    <w:p>
      <w:pPr>
        <w:spacing w:before="61" w:line="180" w:lineRule="auto"/>
        <w:ind w:firstLine="422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311</w:t>
      </w:r>
    </w:p>
    <w:p>
      <w:pPr>
        <w:sectPr>
          <w:footerReference r:id="rId315" w:type="default"/>
          <w:pgSz w:w="11905" w:h="16840"/>
          <w:pgMar w:top="1431" w:right="1577" w:bottom="400" w:left="1578" w:header="0" w:footer="0" w:gutter="0"/>
          <w:cols w:space="720" w:num="1"/>
        </w:sectPr>
      </w:pPr>
    </w:p>
    <w:p>
      <w:pPr>
        <w:spacing w:line="429" w:lineRule="auto"/>
        <w:rPr>
          <w:rFonts w:ascii="Malgun Gothic"/>
          <w:sz w:val="21"/>
        </w:rPr>
      </w:pPr>
    </w:p>
    <w:p>
      <w:pPr>
        <w:spacing w:before="86" w:line="180" w:lineRule="auto"/>
        <w:ind w:firstLine="5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附件2</w:t>
      </w:r>
    </w:p>
    <w:p>
      <w:pPr>
        <w:spacing w:before="148" w:line="166" w:lineRule="auto"/>
        <w:ind w:firstLine="3603"/>
        <w:rPr>
          <w:rFonts w:ascii="Microsoft JhengHei" w:hAnsi="Microsoft JhengHei" w:eastAsia="Microsoft JhengHei" w:cs="Microsoft JhengHei"/>
          <w:sz w:val="28"/>
          <w:szCs w:val="28"/>
        </w:rPr>
      </w:pPr>
      <w:r>
        <w:rPr>
          <w:rFonts w:ascii="Microsoft JhengHei" w:hAnsi="Microsoft JhengHei" w:eastAsia="Microsoft JhengHei" w:cs="Microsoft JhengHei"/>
          <w:spacing w:val="-1"/>
          <w:sz w:val="28"/>
          <w:szCs w:val="28"/>
        </w:rPr>
        <w:t>吉首大学学院本科教学工作年度考核指标与评分标准</w:t>
      </w: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before="1" w:line="199"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before="1" w:line="199"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9"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9"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164" w:type="dxa"/>
            <w:vMerge w:val="restart"/>
            <w:tcBorders>
              <w:left w:val="single" w:color="000000" w:sz="6" w:space="0"/>
              <w:bottom w:val="nil"/>
            </w:tcBorders>
            <w:vAlign w:val="top"/>
          </w:tcPr>
          <w:p>
            <w:pPr>
              <w:spacing w:line="311" w:lineRule="auto"/>
              <w:rPr>
                <w:rFonts w:ascii="Malgun Gothic"/>
                <w:sz w:val="21"/>
              </w:rPr>
            </w:pPr>
          </w:p>
          <w:p>
            <w:pPr>
              <w:spacing w:before="76" w:line="258" w:lineRule="auto"/>
              <w:ind w:left="64" w:right="159" w:firstLine="13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1.教学工</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21"/>
                <w:sz w:val="21"/>
                <w:szCs w:val="21"/>
              </w:rPr>
              <w:t>作思路与</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1"/>
                <w:sz w:val="21"/>
                <w:szCs w:val="21"/>
              </w:rPr>
              <w:t>中心地位</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（10</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分）</w:t>
            </w:r>
          </w:p>
        </w:tc>
        <w:tc>
          <w:tcPr>
            <w:tcW w:w="1076" w:type="dxa"/>
            <w:vMerge w:val="restart"/>
            <w:tcBorders>
              <w:bottom w:val="nil"/>
            </w:tcBorders>
            <w:vAlign w:val="top"/>
          </w:tcPr>
          <w:p>
            <w:pPr>
              <w:spacing w:before="207" w:line="252" w:lineRule="auto"/>
              <w:ind w:left="107" w:right="74" w:firstLine="1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4"/>
                <w:sz w:val="21"/>
                <w:szCs w:val="21"/>
              </w:rPr>
              <w:t>1.1</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5"/>
                <w:w w:val="94"/>
                <w:sz w:val="21"/>
                <w:szCs w:val="21"/>
              </w:rPr>
              <w:t>本科教</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9"/>
                <w:w w:val="93"/>
                <w:sz w:val="21"/>
                <w:szCs w:val="21"/>
              </w:rPr>
              <w:t>学工作思路</w:t>
            </w:r>
          </w:p>
        </w:tc>
        <w:tc>
          <w:tcPr>
            <w:tcW w:w="2021" w:type="dxa"/>
            <w:vAlign w:val="top"/>
          </w:tcPr>
          <w:p>
            <w:pPr>
              <w:spacing w:before="46" w:line="206" w:lineRule="auto"/>
              <w:ind w:left="696" w:right="105" w:hanging="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sz w:val="21"/>
                <w:szCs w:val="21"/>
              </w:rPr>
              <w:t>教学工作思路、</w:t>
            </w:r>
            <w:r>
              <w:rPr>
                <w:rFonts w:ascii="方正书宋简体" w:hAnsi="方正书宋简体" w:eastAsia="方正书宋简体" w:cs="方正书宋简体"/>
                <w:spacing w:val="40"/>
                <w:w w:val="101"/>
                <w:sz w:val="21"/>
                <w:szCs w:val="21"/>
              </w:rPr>
              <w:t xml:space="preserve"> </w:t>
            </w:r>
            <w:r>
              <w:rPr>
                <w:rFonts w:ascii="方正书宋简体" w:hAnsi="方正书宋简体" w:eastAsia="方正书宋简体" w:cs="方正书宋简体"/>
                <w:spacing w:val="-20"/>
                <w:sz w:val="21"/>
                <w:szCs w:val="21"/>
              </w:rPr>
              <w:t>目标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与措施</w:t>
            </w:r>
          </w:p>
        </w:tc>
        <w:tc>
          <w:tcPr>
            <w:tcW w:w="479" w:type="dxa"/>
            <w:vAlign w:val="top"/>
          </w:tcPr>
          <w:p>
            <w:pPr>
              <w:spacing w:before="234"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47" w:line="207"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教学工作思路清晰，</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6"/>
                <w:sz w:val="21"/>
                <w:szCs w:val="21"/>
              </w:rPr>
              <w:t>工作目标明确，</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6"/>
                <w:sz w:val="21"/>
                <w:szCs w:val="21"/>
              </w:rPr>
              <w:t>措施得</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力，教学工作成效明显</w:t>
            </w:r>
          </w:p>
        </w:tc>
        <w:tc>
          <w:tcPr>
            <w:tcW w:w="4030" w:type="dxa"/>
            <w:vAlign w:val="top"/>
          </w:tcPr>
          <w:p>
            <w:pPr>
              <w:spacing w:before="47" w:line="207" w:lineRule="auto"/>
              <w:ind w:left="126" w:right="95" w:hanging="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教学工作思路比较清晰，人才培养目标较</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2"/>
                <w:sz w:val="21"/>
                <w:szCs w:val="21"/>
              </w:rPr>
              <w:t>明确，有实施措施，有一定成效</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50" w:line="180" w:lineRule="auto"/>
              <w:ind w:firstLine="1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办学定位与发展规划</w:t>
            </w:r>
          </w:p>
        </w:tc>
        <w:tc>
          <w:tcPr>
            <w:tcW w:w="479" w:type="dxa"/>
            <w:vAlign w:val="top"/>
          </w:tcPr>
          <w:p>
            <w:pPr>
              <w:spacing w:before="82"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48"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办学定位准确，发展规划内容全面，科学合理</w:t>
            </w:r>
          </w:p>
        </w:tc>
        <w:tc>
          <w:tcPr>
            <w:tcW w:w="4030" w:type="dxa"/>
            <w:vAlign w:val="top"/>
          </w:tcPr>
          <w:p>
            <w:pPr>
              <w:spacing w:before="48"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办学定位基本准确，发展规划全面合理</w:t>
            </w:r>
          </w:p>
        </w:tc>
        <w:tc>
          <w:tcPr>
            <w:tcW w:w="670" w:type="dxa"/>
            <w:tcBorders>
              <w:right w:val="single" w:color="000000" w:sz="6" w:space="0"/>
            </w:tcBorders>
            <w:vAlign w:val="top"/>
          </w:tcPr>
          <w:p>
            <w:pPr>
              <w:spacing w:line="324" w:lineRule="exact"/>
              <w:rPr>
                <w:rFonts w:ascii="Malgun Gothic"/>
                <w:sz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before="370" w:line="251" w:lineRule="auto"/>
              <w:ind w:left="131" w:right="119" w:firstLine="52"/>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1.2</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5"/>
                <w:w w:val="99"/>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中心地位</w:t>
            </w:r>
          </w:p>
        </w:tc>
        <w:tc>
          <w:tcPr>
            <w:tcW w:w="2021" w:type="dxa"/>
            <w:vAlign w:val="top"/>
          </w:tcPr>
          <w:p>
            <w:pPr>
              <w:spacing w:before="54" w:line="205" w:lineRule="auto"/>
              <w:ind w:left="905" w:right="106" w:hanging="7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党政领导重视教学工</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z w:val="21"/>
                <w:szCs w:val="21"/>
              </w:rPr>
              <w:t>作</w:t>
            </w:r>
          </w:p>
        </w:tc>
        <w:tc>
          <w:tcPr>
            <w:tcW w:w="479" w:type="dxa"/>
            <w:vAlign w:val="top"/>
          </w:tcPr>
          <w:p>
            <w:pPr>
              <w:spacing w:before="239"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50" w:line="207" w:lineRule="auto"/>
              <w:ind w:left="106"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学院领导班子重视本科教学，</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9"/>
                <w:sz w:val="21"/>
                <w:szCs w:val="21"/>
              </w:rPr>
              <w:t>班子专题研究</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9"/>
                <w:sz w:val="21"/>
                <w:szCs w:val="21"/>
              </w:rPr>
              <w:t>教学会议</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9"/>
                <w:sz w:val="21"/>
                <w:szCs w:val="21"/>
              </w:rPr>
              <w:t>4</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9"/>
                <w:sz w:val="21"/>
                <w:szCs w:val="21"/>
              </w:rPr>
              <w:t>次以上，</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9"/>
                <w:sz w:val="21"/>
                <w:szCs w:val="21"/>
              </w:rPr>
              <w:t>会议记录内容具体详实</w:t>
            </w:r>
          </w:p>
        </w:tc>
        <w:tc>
          <w:tcPr>
            <w:tcW w:w="4030" w:type="dxa"/>
            <w:vAlign w:val="top"/>
          </w:tcPr>
          <w:p>
            <w:pPr>
              <w:spacing w:before="50" w:line="207" w:lineRule="auto"/>
              <w:ind w:left="108" w:right="95"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学院领导班子重视本科教学，班子专题研</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究教学会议</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2</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次以上，有会议记录</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54" w:line="206" w:lineRule="auto"/>
              <w:ind w:left="480" w:right="169" w:hanging="3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教学管理制度与管</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理队伍建设</w:t>
            </w:r>
          </w:p>
        </w:tc>
        <w:tc>
          <w:tcPr>
            <w:tcW w:w="479" w:type="dxa"/>
            <w:vAlign w:val="top"/>
          </w:tcPr>
          <w:p>
            <w:pPr>
              <w:spacing w:before="242"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2" w:line="207" w:lineRule="auto"/>
              <w:ind w:left="104" w:right="100"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教学管理制度健全，</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8"/>
                <w:sz w:val="21"/>
                <w:szCs w:val="21"/>
              </w:rPr>
              <w:t>教学管理队伍配备齐全</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合理</w:t>
            </w:r>
          </w:p>
        </w:tc>
        <w:tc>
          <w:tcPr>
            <w:tcW w:w="4030" w:type="dxa"/>
            <w:vAlign w:val="top"/>
          </w:tcPr>
          <w:p>
            <w:pPr>
              <w:spacing w:before="51" w:line="207" w:lineRule="auto"/>
              <w:ind w:left="108" w:right="95"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教学管理制度较完善，教学管理队伍配备</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1"/>
                <w:sz w:val="21"/>
                <w:szCs w:val="21"/>
              </w:rPr>
              <w:t>基本到位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164" w:type="dxa"/>
            <w:vMerge w:val="restart"/>
            <w:tcBorders>
              <w:left w:val="single" w:color="000000" w:sz="6" w:space="0"/>
              <w:bottom w:val="nil"/>
            </w:tcBorders>
            <w:vAlign w:val="top"/>
          </w:tcPr>
          <w:p>
            <w:pPr>
              <w:spacing w:line="266" w:lineRule="auto"/>
              <w:rPr>
                <w:rFonts w:ascii="Malgun Gothic"/>
                <w:sz w:val="21"/>
              </w:rPr>
            </w:pPr>
          </w:p>
          <w:p>
            <w:pPr>
              <w:spacing w:line="266" w:lineRule="auto"/>
              <w:rPr>
                <w:rFonts w:ascii="Malgun Gothic"/>
                <w:sz w:val="21"/>
              </w:rPr>
            </w:pPr>
          </w:p>
          <w:p>
            <w:pPr>
              <w:spacing w:line="267" w:lineRule="auto"/>
              <w:rPr>
                <w:rFonts w:ascii="Malgun Gothic"/>
                <w:sz w:val="21"/>
              </w:rPr>
            </w:pPr>
          </w:p>
          <w:p>
            <w:pPr>
              <w:spacing w:line="267" w:lineRule="auto"/>
              <w:rPr>
                <w:rFonts w:ascii="Malgun Gothic"/>
                <w:sz w:val="21"/>
              </w:rPr>
            </w:pPr>
          </w:p>
          <w:p>
            <w:pPr>
              <w:spacing w:line="267" w:lineRule="auto"/>
              <w:rPr>
                <w:rFonts w:ascii="Malgun Gothic"/>
                <w:sz w:val="21"/>
              </w:rPr>
            </w:pPr>
          </w:p>
          <w:p>
            <w:pPr>
              <w:spacing w:before="75" w:line="265" w:lineRule="auto"/>
              <w:ind w:left="103" w:firstLine="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2.教学建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9"/>
                <w:sz w:val="21"/>
                <w:szCs w:val="21"/>
              </w:rPr>
              <w:t>设（25</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0"/>
                <w:w w:val="99"/>
                <w:sz w:val="21"/>
                <w:szCs w:val="21"/>
              </w:rPr>
              <w:t>分）</w:t>
            </w:r>
          </w:p>
        </w:tc>
        <w:tc>
          <w:tcPr>
            <w:tcW w:w="1076" w:type="dxa"/>
            <w:vMerge w:val="restart"/>
            <w:tcBorders>
              <w:bottom w:val="nil"/>
            </w:tcBorders>
            <w:vAlign w:val="top"/>
          </w:tcPr>
          <w:p>
            <w:pPr>
              <w:spacing w:line="267" w:lineRule="auto"/>
              <w:rPr>
                <w:rFonts w:ascii="Malgun Gothic"/>
                <w:sz w:val="21"/>
              </w:rPr>
            </w:pPr>
          </w:p>
          <w:p>
            <w:pPr>
              <w:spacing w:line="267" w:lineRule="auto"/>
              <w:rPr>
                <w:rFonts w:ascii="Malgun Gothic"/>
                <w:sz w:val="21"/>
              </w:rPr>
            </w:pPr>
          </w:p>
          <w:p>
            <w:pPr>
              <w:spacing w:line="267" w:lineRule="auto"/>
              <w:rPr>
                <w:rFonts w:ascii="Malgun Gothic"/>
                <w:sz w:val="21"/>
              </w:rPr>
            </w:pPr>
          </w:p>
          <w:p>
            <w:pPr>
              <w:spacing w:line="267" w:lineRule="auto"/>
              <w:rPr>
                <w:rFonts w:ascii="Malgun Gothic"/>
                <w:sz w:val="21"/>
              </w:rPr>
            </w:pPr>
          </w:p>
          <w:p>
            <w:pPr>
              <w:spacing w:line="267" w:lineRule="auto"/>
              <w:rPr>
                <w:rFonts w:ascii="Malgun Gothic"/>
                <w:sz w:val="21"/>
              </w:rPr>
            </w:pPr>
          </w:p>
          <w:p>
            <w:pPr>
              <w:spacing w:before="76" w:line="250" w:lineRule="auto"/>
              <w:ind w:left="337" w:right="172" w:hanging="17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2.1</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师资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队伍</w:t>
            </w:r>
          </w:p>
        </w:tc>
        <w:tc>
          <w:tcPr>
            <w:tcW w:w="2021" w:type="dxa"/>
            <w:vAlign w:val="top"/>
          </w:tcPr>
          <w:p>
            <w:pPr>
              <w:spacing w:before="371" w:line="180" w:lineRule="auto"/>
              <w:ind w:firstLine="6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生师比</w:t>
            </w:r>
          </w:p>
        </w:tc>
        <w:tc>
          <w:tcPr>
            <w:tcW w:w="479" w:type="dxa"/>
            <w:vAlign w:val="top"/>
          </w:tcPr>
          <w:p>
            <w:pPr>
              <w:spacing w:before="400"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4" w:line="221" w:lineRule="auto"/>
              <w:ind w:left="106" w:right="99"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生师比符合国家标准要求，</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9"/>
                <w:sz w:val="21"/>
                <w:szCs w:val="21"/>
              </w:rPr>
              <w:t>专任教师中具有</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硕士学位、博士学位的比例，</w:t>
            </w:r>
            <w:r>
              <w:rPr>
                <w:rFonts w:ascii="方正书宋简体" w:hAnsi="方正书宋简体" w:eastAsia="方正书宋简体" w:cs="方正书宋简体"/>
                <w:spacing w:val="26"/>
                <w:sz w:val="21"/>
                <w:szCs w:val="21"/>
              </w:rPr>
              <w:t xml:space="preserve">  </w:t>
            </w:r>
            <w:r>
              <w:rPr>
                <w:rFonts w:ascii="方正书宋简体" w:hAnsi="方正书宋简体" w:eastAsia="方正书宋简体" w:cs="方正书宋简体"/>
                <w:spacing w:val="-10"/>
                <w:sz w:val="21"/>
                <w:szCs w:val="21"/>
              </w:rPr>
              <w:t>副教授、教授</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的比例较高</w:t>
            </w:r>
          </w:p>
        </w:tc>
        <w:tc>
          <w:tcPr>
            <w:tcW w:w="4030" w:type="dxa"/>
            <w:vAlign w:val="top"/>
          </w:tcPr>
          <w:p>
            <w:pPr>
              <w:spacing w:before="54" w:line="221" w:lineRule="auto"/>
              <w:ind w:left="109" w:right="95"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生师比达到学校平均水平，专任教师中具</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z w:val="21"/>
                <w:szCs w:val="21"/>
              </w:rPr>
              <w:t>有硕士学位、博士学位的比例，副教授、</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
                <w:sz w:val="21"/>
                <w:szCs w:val="21"/>
              </w:rPr>
              <w:t>教授的比例合理</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4"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vMerge w:val="continue"/>
            <w:tcBorders>
              <w:top w:val="nil"/>
              <w:bottom w:val="single" w:color="000000" w:sz="6" w:space="0"/>
            </w:tcBorders>
            <w:vAlign w:val="top"/>
          </w:tcPr>
          <w:p>
            <w:pPr>
              <w:rPr>
                <w:rFonts w:ascii="Malgun Gothic"/>
                <w:sz w:val="21"/>
              </w:rPr>
            </w:pPr>
          </w:p>
        </w:tc>
        <w:tc>
          <w:tcPr>
            <w:tcW w:w="2021" w:type="dxa"/>
            <w:tcBorders>
              <w:bottom w:val="single" w:color="000000" w:sz="6" w:space="0"/>
            </w:tcBorders>
            <w:vAlign w:val="top"/>
          </w:tcPr>
          <w:p>
            <w:pPr>
              <w:spacing w:line="282"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line="282" w:lineRule="auto"/>
              <w:rPr>
                <w:rFonts w:ascii="Malgun Gothic"/>
                <w:sz w:val="21"/>
              </w:rPr>
            </w:pPr>
          </w:p>
          <w:p>
            <w:pPr>
              <w:spacing w:before="75" w:line="180" w:lineRule="auto"/>
              <w:ind w:firstLine="5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教师水平</w:t>
            </w:r>
          </w:p>
        </w:tc>
        <w:tc>
          <w:tcPr>
            <w:tcW w:w="479" w:type="dxa"/>
            <w:tcBorders>
              <w:bottom w:val="single" w:color="000000" w:sz="6" w:space="0"/>
            </w:tcBorders>
            <w:vAlign w:val="top"/>
          </w:tcPr>
          <w:p>
            <w:pPr>
              <w:spacing w:line="287" w:lineRule="auto"/>
              <w:rPr>
                <w:rFonts w:ascii="Malgun Gothic"/>
                <w:sz w:val="21"/>
              </w:rPr>
            </w:pPr>
          </w:p>
          <w:p>
            <w:pPr>
              <w:spacing w:line="287" w:lineRule="auto"/>
              <w:rPr>
                <w:rFonts w:ascii="Malgun Gothic"/>
                <w:sz w:val="21"/>
              </w:rPr>
            </w:pPr>
          </w:p>
          <w:p>
            <w:pPr>
              <w:spacing w:line="287" w:lineRule="auto"/>
              <w:rPr>
                <w:rFonts w:ascii="Malgun Gothic"/>
                <w:sz w:val="21"/>
              </w:rPr>
            </w:pPr>
          </w:p>
          <w:p>
            <w:pPr>
              <w:spacing w:line="287"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tcBorders>
              <w:bottom w:val="single" w:color="000000" w:sz="6" w:space="0"/>
            </w:tcBorders>
            <w:vAlign w:val="top"/>
          </w:tcPr>
          <w:p>
            <w:pPr>
              <w:spacing w:before="55" w:line="246" w:lineRule="auto"/>
              <w:ind w:left="104" w:right="88"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有高水平教师（院士、教育部“长江学者奖励</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3"/>
                <w:sz w:val="21"/>
                <w:szCs w:val="21"/>
              </w:rPr>
              <w:t>支持计划”人选、国家杰出青年基金获得者、</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0"/>
                <w:w w:val="99"/>
                <w:sz w:val="21"/>
                <w:szCs w:val="21"/>
              </w:rPr>
              <w:t>国务院及省级学科评议组成员、973（863）首</w:t>
            </w:r>
            <w:r>
              <w:rPr>
                <w:rFonts w:ascii="方正书宋简体" w:hAnsi="方正书宋简体" w:eastAsia="方正书宋简体" w:cs="方正书宋简体"/>
                <w:spacing w:val="34"/>
                <w:sz w:val="21"/>
                <w:szCs w:val="21"/>
              </w:rPr>
              <w:t xml:space="preserve"> </w:t>
            </w:r>
            <w:r>
              <w:rPr>
                <w:rFonts w:ascii="方正书宋简体" w:hAnsi="方正书宋简体" w:eastAsia="方正书宋简体" w:cs="方正书宋简体"/>
                <w:spacing w:val="-12"/>
                <w:sz w:val="21"/>
                <w:szCs w:val="21"/>
              </w:rPr>
              <w:t>席科学家、海外高层次人才引进计划（千人计</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0"/>
                <w:w w:val="98"/>
                <w:sz w:val="21"/>
                <w:szCs w:val="21"/>
              </w:rPr>
              <w:t>划）、</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20"/>
                <w:w w:val="98"/>
                <w:sz w:val="21"/>
                <w:szCs w:val="21"/>
              </w:rPr>
              <w:t>新世纪百千万人才工程国家级人选、教育</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2"/>
                <w:sz w:val="21"/>
                <w:szCs w:val="21"/>
              </w:rPr>
              <w:t>部新世纪优秀人才支持计划人选、中科院“百</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2"/>
                <w:sz w:val="21"/>
                <w:szCs w:val="21"/>
              </w:rPr>
              <w:t>人计划”人选、国家及省级教学名师、国家及</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2"/>
                <w:sz w:val="21"/>
                <w:szCs w:val="21"/>
              </w:rPr>
              <w:t>省优秀教师、国务院政府特殊津贴获得者、芙</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3"/>
                <w:sz w:val="21"/>
                <w:szCs w:val="21"/>
              </w:rPr>
              <w:t>蓉学者、省学科带头人、省优秀专家等国家、</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2"/>
                <w:sz w:val="21"/>
                <w:szCs w:val="21"/>
              </w:rPr>
              <w:t>湖南省政府部门行文公布确定的人才计划与教</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4"/>
                <w:sz w:val="21"/>
                <w:szCs w:val="21"/>
              </w:rPr>
              <w:t>师荣誉</w:t>
            </w:r>
            <w:r>
              <w:rPr>
                <w:rFonts w:ascii="方正书宋简体" w:hAnsi="方正书宋简体" w:eastAsia="方正书宋简体" w:cs="方正书宋简体"/>
                <w:spacing w:val="-88"/>
                <w:sz w:val="21"/>
                <w:szCs w:val="21"/>
              </w:rPr>
              <w:t>）；</w:t>
            </w:r>
            <w:r>
              <w:rPr>
                <w:rFonts w:ascii="方正书宋简体" w:hAnsi="方正书宋简体" w:eastAsia="方正书宋简体" w:cs="方正书宋简体"/>
                <w:spacing w:val="-14"/>
                <w:sz w:val="21"/>
                <w:szCs w:val="21"/>
              </w:rPr>
              <w:t>获国家级科研课题和省级以上科研奖</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2"/>
                <w:sz w:val="21"/>
                <w:szCs w:val="21"/>
              </w:rPr>
              <w:t>励；专任教师中具有行业背景教师所占比例高</w:t>
            </w:r>
          </w:p>
        </w:tc>
        <w:tc>
          <w:tcPr>
            <w:tcW w:w="4030" w:type="dxa"/>
            <w:tcBorders>
              <w:bottom w:val="single" w:color="000000" w:sz="6" w:space="0"/>
            </w:tcBorders>
            <w:vAlign w:val="top"/>
          </w:tcPr>
          <w:p>
            <w:pPr>
              <w:spacing w:line="306" w:lineRule="auto"/>
              <w:rPr>
                <w:rFonts w:ascii="Malgun Gothic"/>
                <w:sz w:val="21"/>
              </w:rPr>
            </w:pPr>
          </w:p>
          <w:p>
            <w:pPr>
              <w:spacing w:line="307" w:lineRule="auto"/>
              <w:rPr>
                <w:rFonts w:ascii="Malgun Gothic"/>
                <w:sz w:val="21"/>
              </w:rPr>
            </w:pPr>
          </w:p>
          <w:p>
            <w:pPr>
              <w:spacing w:line="307" w:lineRule="auto"/>
              <w:rPr>
                <w:rFonts w:ascii="Malgun Gothic"/>
                <w:sz w:val="21"/>
              </w:rPr>
            </w:pPr>
          </w:p>
          <w:p>
            <w:pPr>
              <w:spacing w:before="76" w:line="246" w:lineRule="auto"/>
              <w:ind w:left="108" w:right="94"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教师承担省级以上科研课题和地市级以上</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2"/>
                <w:sz w:val="21"/>
                <w:szCs w:val="21"/>
              </w:rPr>
              <w:t>科研奖励；专任教师中有行业背景教师所</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占比例合理</w:t>
            </w:r>
          </w:p>
        </w:tc>
        <w:tc>
          <w:tcPr>
            <w:tcW w:w="670" w:type="dxa"/>
            <w:tcBorders>
              <w:bottom w:val="single" w:color="000000" w:sz="6" w:space="0"/>
              <w:right w:val="single" w:color="000000" w:sz="6" w:space="0"/>
            </w:tcBorders>
            <w:vAlign w:val="top"/>
          </w:tcPr>
          <w:p>
            <w:pPr>
              <w:rPr>
                <w:rFonts w:ascii="Malgun Gothic"/>
                <w:sz w:val="21"/>
              </w:rPr>
            </w:pPr>
          </w:p>
        </w:tc>
      </w:tr>
    </w:tbl>
    <w:p>
      <w:pPr>
        <w:spacing w:before="280"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312</w:t>
      </w:r>
    </w:p>
    <w:p>
      <w:pPr>
        <w:sectPr>
          <w:footerReference r:id="rId316" w:type="default"/>
          <w:pgSz w:w="16840" w:h="11905"/>
          <w:pgMar w:top="1011" w:right="1664" w:bottom="400" w:left="1547" w:header="0" w:footer="0" w:gutter="0"/>
          <w:cols w:space="720" w:num="1"/>
        </w:sectPr>
      </w:pPr>
    </w:p>
    <w:p/>
    <w:p/>
    <w:p>
      <w:pPr>
        <w:spacing w:line="92" w:lineRule="exact"/>
      </w:pP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0"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0"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8"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8"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64" w:type="dxa"/>
            <w:vMerge w:val="restart"/>
            <w:tcBorders>
              <w:left w:val="single" w:color="000000" w:sz="6" w:space="0"/>
              <w:bottom w:val="nil"/>
            </w:tcBorders>
            <w:vAlign w:val="top"/>
          </w:tcPr>
          <w:p>
            <w:pPr>
              <w:spacing w:line="258"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line="258" w:lineRule="auto"/>
              <w:rPr>
                <w:rFonts w:ascii="Malgun Gothic"/>
                <w:sz w:val="21"/>
              </w:rPr>
            </w:pPr>
          </w:p>
          <w:p>
            <w:pPr>
              <w:spacing w:line="259" w:lineRule="auto"/>
              <w:rPr>
                <w:rFonts w:ascii="Malgun Gothic"/>
                <w:sz w:val="21"/>
              </w:rPr>
            </w:pPr>
          </w:p>
          <w:p>
            <w:pPr>
              <w:spacing w:line="259" w:lineRule="auto"/>
              <w:rPr>
                <w:rFonts w:ascii="Malgun Gothic"/>
                <w:sz w:val="21"/>
              </w:rPr>
            </w:pPr>
          </w:p>
          <w:p>
            <w:pPr>
              <w:spacing w:line="259" w:lineRule="auto"/>
              <w:rPr>
                <w:rFonts w:ascii="Malgun Gothic"/>
                <w:sz w:val="21"/>
              </w:rPr>
            </w:pPr>
          </w:p>
          <w:p>
            <w:pPr>
              <w:spacing w:line="259" w:lineRule="auto"/>
              <w:rPr>
                <w:rFonts w:ascii="Malgun Gothic"/>
                <w:sz w:val="21"/>
              </w:rPr>
            </w:pPr>
          </w:p>
          <w:p>
            <w:pPr>
              <w:spacing w:before="75" w:line="265" w:lineRule="auto"/>
              <w:ind w:left="103" w:firstLine="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2.教学建</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9"/>
                <w:sz w:val="21"/>
                <w:szCs w:val="21"/>
              </w:rPr>
              <w:t>设（25</w:t>
            </w:r>
            <w:r>
              <w:rPr>
                <w:rFonts w:ascii="方正书宋简体" w:hAnsi="方正书宋简体" w:eastAsia="方正书宋简体" w:cs="方正书宋简体"/>
                <w:spacing w:val="18"/>
                <w:sz w:val="21"/>
                <w:szCs w:val="21"/>
              </w:rPr>
              <w:t xml:space="preserve"> </w:t>
            </w:r>
            <w:r>
              <w:rPr>
                <w:rFonts w:ascii="方正书宋简体" w:hAnsi="方正书宋简体" w:eastAsia="方正书宋简体" w:cs="方正书宋简体"/>
                <w:spacing w:val="-10"/>
                <w:w w:val="99"/>
                <w:sz w:val="21"/>
                <w:szCs w:val="21"/>
              </w:rPr>
              <w:t>分）</w:t>
            </w:r>
          </w:p>
        </w:tc>
        <w:tc>
          <w:tcPr>
            <w:tcW w:w="1076" w:type="dxa"/>
            <w:vMerge w:val="restart"/>
            <w:tcBorders>
              <w:bottom w:val="nil"/>
            </w:tcBorders>
            <w:vAlign w:val="top"/>
          </w:tcPr>
          <w:p>
            <w:pPr>
              <w:spacing w:line="280" w:lineRule="auto"/>
              <w:rPr>
                <w:rFonts w:ascii="Malgun Gothic"/>
                <w:sz w:val="21"/>
              </w:rPr>
            </w:pPr>
          </w:p>
          <w:p>
            <w:pPr>
              <w:spacing w:before="75" w:line="248" w:lineRule="auto"/>
              <w:ind w:left="320" w:right="172" w:hanging="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专业</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建设</w:t>
            </w:r>
          </w:p>
        </w:tc>
        <w:tc>
          <w:tcPr>
            <w:tcW w:w="2021" w:type="dxa"/>
            <w:vAlign w:val="top"/>
          </w:tcPr>
          <w:p>
            <w:pPr>
              <w:spacing w:before="268" w:line="180" w:lineRule="auto"/>
              <w:ind w:firstLine="3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专业综合改革</w:t>
            </w:r>
          </w:p>
        </w:tc>
        <w:tc>
          <w:tcPr>
            <w:tcW w:w="479" w:type="dxa"/>
            <w:vAlign w:val="top"/>
          </w:tcPr>
          <w:p>
            <w:pPr>
              <w:spacing w:before="302"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13" w:line="251" w:lineRule="auto"/>
              <w:ind w:left="104" w:right="100"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获得省级及以上专业综合改革项目，</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9"/>
                <w:sz w:val="21"/>
                <w:szCs w:val="21"/>
              </w:rPr>
              <w:t>专业综</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合改革规划、措施落实，成效明显</w:t>
            </w:r>
          </w:p>
        </w:tc>
        <w:tc>
          <w:tcPr>
            <w:tcW w:w="4030" w:type="dxa"/>
            <w:vAlign w:val="top"/>
          </w:tcPr>
          <w:p>
            <w:pPr>
              <w:spacing w:before="112" w:line="252" w:lineRule="auto"/>
              <w:ind w:left="108" w:right="95"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积极推进专业综合改革，有改革方案和措</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
                <w:sz w:val="21"/>
                <w:szCs w:val="21"/>
              </w:rPr>
              <w:t>施，有一定成效</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270" w:line="180" w:lineRule="auto"/>
              <w:ind w:firstLine="16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专业人才培养方案</w:t>
            </w:r>
          </w:p>
        </w:tc>
        <w:tc>
          <w:tcPr>
            <w:tcW w:w="479" w:type="dxa"/>
            <w:vAlign w:val="top"/>
          </w:tcPr>
          <w:p>
            <w:pPr>
              <w:spacing w:before="304"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15" w:line="250"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专业人才培养目标与定位明确，</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9"/>
                <w:sz w:val="21"/>
                <w:szCs w:val="21"/>
              </w:rPr>
              <w:t>培养要求具</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体，人才培养模式构建与实施效果明显</w:t>
            </w:r>
          </w:p>
        </w:tc>
        <w:tc>
          <w:tcPr>
            <w:tcW w:w="4030" w:type="dxa"/>
            <w:vAlign w:val="top"/>
          </w:tcPr>
          <w:p>
            <w:pPr>
              <w:spacing w:before="115" w:line="250" w:lineRule="auto"/>
              <w:ind w:left="109"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专业人才培养目标与定位明确，培养要求</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较具体，有人才培养模式改革措施</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285" w:lineRule="auto"/>
              <w:rPr>
                <w:rFonts w:ascii="Malgun Gothic"/>
                <w:sz w:val="21"/>
              </w:rPr>
            </w:pPr>
          </w:p>
          <w:p>
            <w:pPr>
              <w:spacing w:before="75" w:line="248" w:lineRule="auto"/>
              <w:ind w:left="320" w:right="172" w:hanging="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课程</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建设</w:t>
            </w:r>
          </w:p>
        </w:tc>
        <w:tc>
          <w:tcPr>
            <w:tcW w:w="2021" w:type="dxa"/>
            <w:vAlign w:val="top"/>
          </w:tcPr>
          <w:p>
            <w:pPr>
              <w:spacing w:before="116" w:line="252" w:lineRule="auto"/>
              <w:ind w:left="898" w:right="169" w:hanging="7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课程建设规划与执</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z w:val="21"/>
                <w:szCs w:val="21"/>
              </w:rPr>
              <w:t>行</w:t>
            </w:r>
          </w:p>
        </w:tc>
        <w:tc>
          <w:tcPr>
            <w:tcW w:w="479" w:type="dxa"/>
            <w:vAlign w:val="top"/>
          </w:tcPr>
          <w:p>
            <w:pPr>
              <w:spacing w:before="306"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16" w:line="252" w:lineRule="auto"/>
              <w:ind w:left="105" w:right="100"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课程建设规划与执行情况良好，</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8"/>
                <w:sz w:val="21"/>
                <w:szCs w:val="21"/>
              </w:rPr>
              <w:t>课程建设成</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效显著，网络教学、双语教学推进有力</w:t>
            </w:r>
          </w:p>
        </w:tc>
        <w:tc>
          <w:tcPr>
            <w:tcW w:w="4030" w:type="dxa"/>
            <w:vAlign w:val="top"/>
          </w:tcPr>
          <w:p>
            <w:pPr>
              <w:spacing w:before="272"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有课程建设规划和措施，课程建设有成效</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275" w:line="180" w:lineRule="auto"/>
              <w:ind w:firstLine="16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优质课程资源建设</w:t>
            </w:r>
          </w:p>
        </w:tc>
        <w:tc>
          <w:tcPr>
            <w:tcW w:w="479" w:type="dxa"/>
            <w:vAlign w:val="top"/>
          </w:tcPr>
          <w:p>
            <w:pPr>
              <w:spacing w:before="309"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19" w:line="251"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有省级及以上优质课程立项，</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9"/>
                <w:sz w:val="21"/>
                <w:szCs w:val="21"/>
              </w:rPr>
              <w:t>年度已建课程</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建设项目成效显著</w:t>
            </w:r>
          </w:p>
        </w:tc>
        <w:tc>
          <w:tcPr>
            <w:tcW w:w="4030" w:type="dxa"/>
            <w:vAlign w:val="top"/>
          </w:tcPr>
          <w:p>
            <w:pPr>
              <w:spacing w:before="118" w:line="251" w:lineRule="auto"/>
              <w:ind w:left="109"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有校级及以上优质课程立项，年度已建课</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程建设项目成效较好</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3"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Align w:val="top"/>
          </w:tcPr>
          <w:p>
            <w:pPr>
              <w:spacing w:line="338" w:lineRule="auto"/>
              <w:rPr>
                <w:rFonts w:ascii="Malgun Gothic"/>
                <w:sz w:val="21"/>
              </w:rPr>
            </w:pPr>
          </w:p>
          <w:p>
            <w:pPr>
              <w:spacing w:before="75" w:line="237" w:lineRule="auto"/>
              <w:ind w:left="320" w:right="172" w:hanging="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2.4</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教材</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建设</w:t>
            </w:r>
          </w:p>
        </w:tc>
        <w:tc>
          <w:tcPr>
            <w:tcW w:w="2021" w:type="dxa"/>
            <w:vAlign w:val="top"/>
          </w:tcPr>
          <w:p>
            <w:pPr>
              <w:spacing w:line="442" w:lineRule="auto"/>
              <w:rPr>
                <w:rFonts w:ascii="Malgun Gothic"/>
                <w:sz w:val="21"/>
              </w:rPr>
            </w:pPr>
          </w:p>
          <w:p>
            <w:pPr>
              <w:spacing w:before="75" w:line="193" w:lineRule="auto"/>
              <w:ind w:firstLine="2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教材选用与建设</w:t>
            </w:r>
          </w:p>
        </w:tc>
        <w:tc>
          <w:tcPr>
            <w:tcW w:w="479" w:type="dxa"/>
            <w:vAlign w:val="top"/>
          </w:tcPr>
          <w:p>
            <w:pPr>
              <w:spacing w:line="467"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21" w:line="252" w:lineRule="auto"/>
              <w:ind w:left="103" w:right="15" w:firstLine="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80%以上的主干课程选用省部级以上规划教</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9"/>
                <w:sz w:val="21"/>
                <w:szCs w:val="21"/>
              </w:rPr>
              <w:t>材、统编教材以及优秀获奖教材；</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9"/>
                <w:sz w:val="21"/>
                <w:szCs w:val="21"/>
              </w:rPr>
              <w:t>近3年有1</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本及以上教材获省部级及以上奖励，</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8"/>
                <w:sz w:val="21"/>
                <w:szCs w:val="21"/>
              </w:rPr>
              <w:t>或当年</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获校级及以上教材立项1项及以上，</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9"/>
                <w:sz w:val="21"/>
                <w:szCs w:val="21"/>
              </w:rPr>
              <w:t>或主编、</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公开出版教材1部及以上</w:t>
            </w:r>
          </w:p>
        </w:tc>
        <w:tc>
          <w:tcPr>
            <w:tcW w:w="4030" w:type="dxa"/>
            <w:vAlign w:val="top"/>
          </w:tcPr>
          <w:p>
            <w:pPr>
              <w:spacing w:before="430" w:line="251" w:lineRule="auto"/>
              <w:ind w:left="107" w:right="96"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50%～60%的主干课程省部级以上规划教</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z w:val="21"/>
                <w:szCs w:val="21"/>
              </w:rPr>
              <w:t>材、统编教材以及优秀获奖教材；参编、</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
                <w:sz w:val="21"/>
                <w:szCs w:val="21"/>
              </w:rPr>
              <w:t>公开出版教材1部以上</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312" w:lineRule="auto"/>
              <w:rPr>
                <w:rFonts w:ascii="Malgun Gothic"/>
                <w:sz w:val="21"/>
              </w:rPr>
            </w:pPr>
          </w:p>
          <w:p>
            <w:pPr>
              <w:spacing w:line="312" w:lineRule="auto"/>
              <w:rPr>
                <w:rFonts w:ascii="Malgun Gothic"/>
                <w:sz w:val="21"/>
              </w:rPr>
            </w:pPr>
          </w:p>
          <w:p>
            <w:pPr>
              <w:spacing w:before="76" w:line="250" w:lineRule="auto"/>
              <w:ind w:left="109" w:right="118" w:firstLine="5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2.5</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实验</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室与实践</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
                <w:sz w:val="21"/>
                <w:szCs w:val="21"/>
              </w:rPr>
              <w:t>基地建设</w:t>
            </w:r>
          </w:p>
        </w:tc>
        <w:tc>
          <w:tcPr>
            <w:tcW w:w="2021" w:type="dxa"/>
            <w:vAlign w:val="top"/>
          </w:tcPr>
          <w:p>
            <w:pPr>
              <w:spacing w:line="366" w:lineRule="auto"/>
              <w:rPr>
                <w:rFonts w:ascii="Malgun Gothic"/>
                <w:sz w:val="21"/>
              </w:rPr>
            </w:pPr>
          </w:p>
          <w:p>
            <w:pPr>
              <w:spacing w:before="75" w:line="180" w:lineRule="auto"/>
              <w:ind w:firstLine="1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实验室建设与管理</w:t>
            </w:r>
          </w:p>
        </w:tc>
        <w:tc>
          <w:tcPr>
            <w:tcW w:w="479" w:type="dxa"/>
            <w:vAlign w:val="top"/>
          </w:tcPr>
          <w:p>
            <w:pPr>
              <w:spacing w:line="388" w:lineRule="auto"/>
              <w:rPr>
                <w:rFonts w:ascii="Malgun Gothic"/>
                <w:sz w:val="21"/>
              </w:rPr>
            </w:pPr>
          </w:p>
          <w:p>
            <w:pPr>
              <w:spacing w:before="75"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55" w:line="232" w:lineRule="auto"/>
              <w:ind w:left="104"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有实验室建设规划，</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6"/>
                <w:sz w:val="21"/>
                <w:szCs w:val="21"/>
              </w:rPr>
              <w:t>规划科学合理；</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6"/>
                <w:sz w:val="21"/>
                <w:szCs w:val="21"/>
              </w:rPr>
              <w:t>实验室</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管理队伍齐全、职责到位，</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9"/>
                <w:sz w:val="21"/>
                <w:szCs w:val="21"/>
              </w:rPr>
              <w:t>实验室各类制度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6"/>
                <w:sz w:val="21"/>
                <w:szCs w:val="21"/>
              </w:rPr>
              <w:t>健全，</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6"/>
                <w:sz w:val="21"/>
                <w:szCs w:val="21"/>
              </w:rPr>
              <w:t>完成年度实验室建设任务；</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16"/>
                <w:sz w:val="21"/>
                <w:szCs w:val="21"/>
              </w:rPr>
              <w:t>实验设备</w:t>
            </w:r>
          </w:p>
          <w:p>
            <w:pPr>
              <w:spacing w:before="76" w:line="180" w:lineRule="auto"/>
              <w:ind w:firstLine="15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日志齐全、实验记录本等资料规范完整</w:t>
            </w:r>
          </w:p>
        </w:tc>
        <w:tc>
          <w:tcPr>
            <w:tcW w:w="4030" w:type="dxa"/>
            <w:vAlign w:val="top"/>
          </w:tcPr>
          <w:p>
            <w:pPr>
              <w:spacing w:before="122" w:line="256" w:lineRule="auto"/>
              <w:ind w:left="109"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有实验室建设规划；实验室管理队伍、职</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责、制度基本到位，基本完成年度实验室</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7"/>
                <w:sz w:val="21"/>
                <w:szCs w:val="21"/>
              </w:rPr>
              <w:t>建设任务；</w:t>
            </w:r>
          </w:p>
          <w:p>
            <w:pPr>
              <w:spacing w:before="56"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有实验设备日志、实验记录本等资料</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vMerge w:val="continue"/>
            <w:tcBorders>
              <w:top w:val="nil"/>
              <w:bottom w:val="single" w:color="000000" w:sz="6" w:space="0"/>
            </w:tcBorders>
            <w:vAlign w:val="top"/>
          </w:tcPr>
          <w:p>
            <w:pPr>
              <w:rPr>
                <w:rFonts w:ascii="Malgun Gothic"/>
                <w:sz w:val="21"/>
              </w:rPr>
            </w:pPr>
          </w:p>
        </w:tc>
        <w:tc>
          <w:tcPr>
            <w:tcW w:w="2021" w:type="dxa"/>
            <w:tcBorders>
              <w:bottom w:val="single" w:color="000000" w:sz="6" w:space="0"/>
            </w:tcBorders>
            <w:vAlign w:val="top"/>
          </w:tcPr>
          <w:p>
            <w:pPr>
              <w:spacing w:line="343" w:lineRule="auto"/>
              <w:rPr>
                <w:rFonts w:ascii="Malgun Gothic"/>
                <w:sz w:val="21"/>
              </w:rPr>
            </w:pPr>
          </w:p>
          <w:p>
            <w:pPr>
              <w:spacing w:before="76" w:line="180" w:lineRule="auto"/>
              <w:ind w:firstLine="1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实践教学基地建设</w:t>
            </w:r>
          </w:p>
        </w:tc>
        <w:tc>
          <w:tcPr>
            <w:tcW w:w="479" w:type="dxa"/>
            <w:tcBorders>
              <w:bottom w:val="single" w:color="000000" w:sz="6" w:space="0"/>
            </w:tcBorders>
            <w:vAlign w:val="top"/>
          </w:tcPr>
          <w:p>
            <w:pPr>
              <w:spacing w:line="366" w:lineRule="auto"/>
              <w:rPr>
                <w:rFonts w:ascii="Malgun Gothic"/>
                <w:sz w:val="21"/>
              </w:rPr>
            </w:pPr>
          </w:p>
          <w:p>
            <w:pPr>
              <w:spacing w:before="75"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tcBorders>
              <w:bottom w:val="single" w:color="000000" w:sz="6" w:space="0"/>
            </w:tcBorders>
            <w:vAlign w:val="top"/>
          </w:tcPr>
          <w:p>
            <w:pPr>
              <w:spacing w:before="129" w:line="248" w:lineRule="auto"/>
              <w:ind w:left="104" w:right="100"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每个专业有</w:t>
            </w:r>
            <w:r>
              <w:rPr>
                <w:rFonts w:ascii="方正书宋简体" w:hAnsi="方正书宋简体" w:eastAsia="方正书宋简体" w:cs="方正书宋简体"/>
                <w:spacing w:val="10"/>
                <w:sz w:val="21"/>
                <w:szCs w:val="21"/>
              </w:rPr>
              <w:t xml:space="preserve"> </w:t>
            </w:r>
            <w:r>
              <w:rPr>
                <w:rFonts w:ascii="方正书宋简体" w:hAnsi="方正书宋简体" w:eastAsia="方正书宋简体" w:cs="方正书宋简体"/>
                <w:spacing w:val="-3"/>
                <w:sz w:val="21"/>
                <w:szCs w:val="21"/>
              </w:rPr>
              <w:t>2</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3"/>
                <w:sz w:val="21"/>
                <w:szCs w:val="21"/>
              </w:rPr>
              <w:t>个以上相对稳定的实习基地，</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且本年度实习基地运行良好；</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8"/>
                <w:sz w:val="21"/>
                <w:szCs w:val="21"/>
              </w:rPr>
              <w:t>有省级及以上</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实践教学基地立项，</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8"/>
                <w:sz w:val="21"/>
                <w:szCs w:val="21"/>
              </w:rPr>
              <w:t>年度已建实践基地项目</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成效显著</w:t>
            </w:r>
          </w:p>
        </w:tc>
        <w:tc>
          <w:tcPr>
            <w:tcW w:w="4030" w:type="dxa"/>
            <w:tcBorders>
              <w:bottom w:val="single" w:color="000000" w:sz="6" w:space="0"/>
            </w:tcBorders>
            <w:vAlign w:val="top"/>
          </w:tcPr>
          <w:p>
            <w:pPr>
              <w:rPr>
                <w:rFonts w:ascii="Malgun Gothic"/>
                <w:sz w:val="21"/>
              </w:rPr>
            </w:pPr>
          </w:p>
          <w:p>
            <w:pPr>
              <w:spacing w:before="75" w:line="252" w:lineRule="auto"/>
              <w:ind w:left="110" w:right="96"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每个专业有</w:t>
            </w:r>
            <w:r>
              <w:rPr>
                <w:rFonts w:ascii="方正书宋简体" w:hAnsi="方正书宋简体" w:eastAsia="方正书宋简体" w:cs="方正书宋简体"/>
                <w:spacing w:val="27"/>
                <w:w w:val="101"/>
                <w:sz w:val="21"/>
                <w:szCs w:val="21"/>
              </w:rPr>
              <w:t xml:space="preserve"> </w:t>
            </w:r>
            <w:r>
              <w:rPr>
                <w:rFonts w:ascii="方正书宋简体" w:hAnsi="方正书宋简体" w:eastAsia="方正书宋简体" w:cs="方正书宋简体"/>
                <w:spacing w:val="-1"/>
                <w:sz w:val="21"/>
                <w:szCs w:val="21"/>
              </w:rPr>
              <w:t>2</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
                <w:sz w:val="21"/>
                <w:szCs w:val="21"/>
              </w:rPr>
              <w:t>个相对稳定的实习基地，且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运行良好</w:t>
            </w:r>
          </w:p>
        </w:tc>
        <w:tc>
          <w:tcPr>
            <w:tcW w:w="670" w:type="dxa"/>
            <w:tcBorders>
              <w:bottom w:val="single" w:color="000000" w:sz="6" w:space="0"/>
              <w:right w:val="single" w:color="000000" w:sz="6" w:space="0"/>
            </w:tcBorders>
            <w:vAlign w:val="top"/>
          </w:tcPr>
          <w:p>
            <w:pPr>
              <w:rPr>
                <w:rFonts w:ascii="Malgun Gothic"/>
                <w:sz w:val="21"/>
              </w:rPr>
            </w:pPr>
          </w:p>
        </w:tc>
      </w:tr>
    </w:tbl>
    <w:p>
      <w:pPr>
        <w:spacing w:line="255" w:lineRule="auto"/>
        <w:rPr>
          <w:rFonts w:ascii="Malgun Gothic"/>
          <w:sz w:val="21"/>
        </w:rPr>
      </w:pPr>
    </w:p>
    <w:p>
      <w:pPr>
        <w:spacing w:before="61"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313</w:t>
      </w:r>
    </w:p>
    <w:p>
      <w:pPr>
        <w:sectPr>
          <w:footerReference r:id="rId317" w:type="default"/>
          <w:pgSz w:w="16840" w:h="11905"/>
          <w:pgMar w:top="1011" w:right="1664" w:bottom="400" w:left="1547" w:header="0" w:footer="0" w:gutter="0"/>
          <w:cols w:space="720" w:num="1"/>
        </w:sectPr>
      </w:pPr>
    </w:p>
    <w:p/>
    <w:p/>
    <w:p>
      <w:pPr>
        <w:spacing w:line="92" w:lineRule="exact"/>
      </w:pP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1"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1"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8"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8"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164" w:type="dxa"/>
            <w:vMerge w:val="restart"/>
            <w:tcBorders>
              <w:left w:val="single" w:color="000000" w:sz="6" w:space="0"/>
              <w:bottom w:val="nil"/>
            </w:tcBorders>
            <w:vAlign w:val="top"/>
          </w:tcPr>
          <w:p>
            <w:pPr>
              <w:spacing w:line="277" w:lineRule="auto"/>
              <w:rPr>
                <w:rFonts w:ascii="Malgun Gothic"/>
                <w:sz w:val="21"/>
              </w:rPr>
            </w:pPr>
          </w:p>
          <w:p>
            <w:pPr>
              <w:spacing w:line="278" w:lineRule="auto"/>
              <w:rPr>
                <w:rFonts w:ascii="Malgun Gothic"/>
                <w:sz w:val="21"/>
              </w:rPr>
            </w:pPr>
          </w:p>
          <w:p>
            <w:pPr>
              <w:spacing w:line="278" w:lineRule="auto"/>
              <w:rPr>
                <w:rFonts w:ascii="Malgun Gothic"/>
                <w:sz w:val="21"/>
              </w:rPr>
            </w:pPr>
          </w:p>
          <w:p>
            <w:pPr>
              <w:spacing w:line="278" w:lineRule="auto"/>
              <w:rPr>
                <w:rFonts w:ascii="Malgun Gothic"/>
                <w:sz w:val="21"/>
              </w:rPr>
            </w:pPr>
          </w:p>
          <w:p>
            <w:pPr>
              <w:spacing w:before="75" w:line="263" w:lineRule="auto"/>
              <w:ind w:left="106" w:firstLine="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3.教学改</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0"/>
                <w:w w:val="99"/>
                <w:sz w:val="21"/>
                <w:szCs w:val="21"/>
              </w:rPr>
              <w:t>革（10</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0"/>
                <w:w w:val="99"/>
                <w:sz w:val="21"/>
                <w:szCs w:val="21"/>
              </w:rPr>
              <w:t>分）</w:t>
            </w:r>
          </w:p>
        </w:tc>
        <w:tc>
          <w:tcPr>
            <w:tcW w:w="1076" w:type="dxa"/>
            <w:vAlign w:val="top"/>
          </w:tcPr>
          <w:p>
            <w:pPr>
              <w:spacing w:before="272" w:line="251" w:lineRule="auto"/>
              <w:ind w:left="111" w:right="119"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3.1</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教研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教改活动</w:t>
            </w:r>
          </w:p>
        </w:tc>
        <w:tc>
          <w:tcPr>
            <w:tcW w:w="2021" w:type="dxa"/>
            <w:vAlign w:val="top"/>
          </w:tcPr>
          <w:p>
            <w:pPr>
              <w:spacing w:before="267" w:line="251" w:lineRule="auto"/>
              <w:ind w:left="588" w:right="169" w:hanging="42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专题教研教改活动</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开展情况</w:t>
            </w:r>
          </w:p>
        </w:tc>
        <w:tc>
          <w:tcPr>
            <w:tcW w:w="479" w:type="dxa"/>
            <w:vAlign w:val="top"/>
          </w:tcPr>
          <w:p>
            <w:pPr>
              <w:spacing w:line="253" w:lineRule="auto"/>
              <w:rPr>
                <w:rFonts w:ascii="Malgun Gothic"/>
                <w:sz w:val="21"/>
              </w:rPr>
            </w:pPr>
          </w:p>
          <w:p>
            <w:pPr>
              <w:spacing w:before="7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08" w:line="248" w:lineRule="auto"/>
              <w:ind w:left="105" w:right="99"/>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8"/>
                <w:sz w:val="21"/>
                <w:szCs w:val="21"/>
              </w:rPr>
              <w:t>有教研活动计划，</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20"/>
                <w:w w:val="98"/>
                <w:sz w:val="21"/>
                <w:szCs w:val="21"/>
              </w:rPr>
              <w:t>思路清晰，</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20"/>
                <w:w w:val="98"/>
                <w:sz w:val="21"/>
                <w:szCs w:val="21"/>
              </w:rPr>
              <w:t>目标明确；</w:t>
            </w:r>
            <w:r>
              <w:rPr>
                <w:rFonts w:ascii="方正书宋简体" w:hAnsi="方正书宋简体" w:eastAsia="方正书宋简体" w:cs="方正书宋简体"/>
                <w:spacing w:val="46"/>
                <w:w w:val="101"/>
                <w:sz w:val="21"/>
                <w:szCs w:val="21"/>
              </w:rPr>
              <w:t xml:space="preserve"> </w:t>
            </w:r>
            <w:r>
              <w:rPr>
                <w:rFonts w:ascii="方正书宋简体" w:hAnsi="方正书宋简体" w:eastAsia="方正书宋简体" w:cs="方正书宋简体"/>
                <w:spacing w:val="-20"/>
                <w:w w:val="98"/>
                <w:sz w:val="21"/>
                <w:szCs w:val="21"/>
              </w:rPr>
              <w:t>本</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年度每个教研室累积开展教研活动</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2"/>
                <w:sz w:val="21"/>
                <w:szCs w:val="21"/>
              </w:rPr>
              <w:t>8</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
                <w:sz w:val="21"/>
                <w:szCs w:val="21"/>
              </w:rPr>
              <w:t>次以</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上，且特色鲜明、扎实有效</w:t>
            </w:r>
          </w:p>
        </w:tc>
        <w:tc>
          <w:tcPr>
            <w:tcW w:w="4030" w:type="dxa"/>
            <w:vAlign w:val="top"/>
          </w:tcPr>
          <w:p>
            <w:pPr>
              <w:spacing w:before="264"/>
              <w:ind w:left="112" w:right="92"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有教研活动计划；本年度每个教研室累积</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开展教研活动</w:t>
            </w:r>
            <w:r>
              <w:rPr>
                <w:rFonts w:ascii="方正书宋简体" w:hAnsi="方正书宋简体" w:eastAsia="方正书宋简体" w:cs="方正书宋简体"/>
                <w:spacing w:val="21"/>
                <w:w w:val="101"/>
                <w:sz w:val="21"/>
                <w:szCs w:val="21"/>
              </w:rPr>
              <w:t xml:space="preserve"> </w:t>
            </w:r>
            <w:r>
              <w:rPr>
                <w:rFonts w:ascii="方正书宋简体" w:hAnsi="方正书宋简体" w:eastAsia="方正书宋简体" w:cs="方正书宋简体"/>
                <w:spacing w:val="-2"/>
                <w:sz w:val="21"/>
                <w:szCs w:val="21"/>
              </w:rPr>
              <w:t>5～6</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
                <w:sz w:val="21"/>
                <w:szCs w:val="21"/>
              </w:rPr>
              <w:t>次以上，效果较好</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Align w:val="top"/>
          </w:tcPr>
          <w:p>
            <w:pPr>
              <w:spacing w:before="431" w:line="251" w:lineRule="auto"/>
              <w:ind w:left="111" w:right="119"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3.2</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教研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教改课题</w:t>
            </w:r>
          </w:p>
        </w:tc>
        <w:tc>
          <w:tcPr>
            <w:tcW w:w="2021" w:type="dxa"/>
            <w:vAlign w:val="top"/>
          </w:tcPr>
          <w:p>
            <w:pPr>
              <w:spacing w:before="430" w:line="251" w:lineRule="auto"/>
              <w:ind w:left="478" w:right="169" w:hanging="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教研教改课题立项</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及完成情况</w:t>
            </w:r>
          </w:p>
        </w:tc>
        <w:tc>
          <w:tcPr>
            <w:tcW w:w="479" w:type="dxa"/>
            <w:vAlign w:val="top"/>
          </w:tcPr>
          <w:p>
            <w:pPr>
              <w:spacing w:line="358"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15" w:line="248" w:lineRule="auto"/>
              <w:ind w:left="104"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本院教师有主持省级及以上教研教改课题</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9"/>
                <w:sz w:val="21"/>
                <w:szCs w:val="21"/>
              </w:rPr>
              <w:t>或教育科学规划课题；</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9"/>
                <w:sz w:val="21"/>
                <w:szCs w:val="21"/>
              </w:rPr>
              <w:t>已立项的教研教改课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题或教育科学规划课题研究进展顺利，</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8"/>
                <w:sz w:val="21"/>
                <w:szCs w:val="21"/>
              </w:rPr>
              <w:t>按时</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通过中期检查或结题验收</w:t>
            </w:r>
          </w:p>
        </w:tc>
        <w:tc>
          <w:tcPr>
            <w:tcW w:w="4030" w:type="dxa"/>
            <w:vAlign w:val="top"/>
          </w:tcPr>
          <w:p>
            <w:pPr>
              <w:spacing w:before="115" w:line="248" w:lineRule="auto"/>
              <w:ind w:left="106" w:right="95"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本院教师有主持校级及以上教研教改课题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或教育科学规划课题；已立项的教研教改</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z w:val="21"/>
                <w:szCs w:val="21"/>
              </w:rPr>
              <w:t>课题或教育科学规划课题研究进展较好，</w:t>
            </w:r>
            <w:r>
              <w:rPr>
                <w:rFonts w:ascii="方正书宋简体" w:hAnsi="方正书宋简体" w:eastAsia="方正书宋简体" w:cs="方正书宋简体"/>
                <w:w w:val="103"/>
                <w:sz w:val="21"/>
                <w:szCs w:val="21"/>
              </w:rPr>
              <w:t xml:space="preserve">  </w:t>
            </w:r>
            <w:r>
              <w:rPr>
                <w:rFonts w:ascii="方正书宋简体" w:hAnsi="方正书宋简体" w:eastAsia="方正书宋简体" w:cs="方正书宋简体"/>
                <w:spacing w:val="-1"/>
                <w:sz w:val="21"/>
                <w:szCs w:val="21"/>
              </w:rPr>
              <w:t>80%及以上按时通过中期检查或结题验收</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Align w:val="top"/>
          </w:tcPr>
          <w:p>
            <w:pPr>
              <w:spacing w:before="120" w:line="251" w:lineRule="auto"/>
              <w:ind w:left="108" w:right="119" w:firstLine="6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3.3</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研究论文</w:t>
            </w:r>
          </w:p>
        </w:tc>
        <w:tc>
          <w:tcPr>
            <w:tcW w:w="2021" w:type="dxa"/>
            <w:vAlign w:val="top"/>
          </w:tcPr>
          <w:p>
            <w:pPr>
              <w:spacing w:before="119" w:line="251" w:lineRule="auto"/>
              <w:ind w:left="792" w:right="169" w:hanging="6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教学研究论文发表</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情况</w:t>
            </w:r>
          </w:p>
        </w:tc>
        <w:tc>
          <w:tcPr>
            <w:tcW w:w="479" w:type="dxa"/>
            <w:vAlign w:val="top"/>
          </w:tcPr>
          <w:p>
            <w:pPr>
              <w:spacing w:before="30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17" w:line="252" w:lineRule="auto"/>
              <w:ind w:left="104"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人均以第一作者公开发表的教改论文数量</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0"/>
                <w:sz w:val="21"/>
                <w:szCs w:val="21"/>
              </w:rPr>
              <w:t>列全校前</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0"/>
                <w:sz w:val="21"/>
                <w:szCs w:val="21"/>
              </w:rPr>
              <w:t>3</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10"/>
                <w:sz w:val="21"/>
                <w:szCs w:val="21"/>
              </w:rPr>
              <w:t>名，</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0"/>
                <w:sz w:val="21"/>
                <w:szCs w:val="21"/>
              </w:rPr>
              <w:t>且至少有</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10"/>
                <w:sz w:val="21"/>
                <w:szCs w:val="21"/>
              </w:rPr>
              <w:t>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sz w:val="21"/>
                <w:szCs w:val="21"/>
              </w:rPr>
              <w:t>篇发于核心刊物</w:t>
            </w:r>
          </w:p>
        </w:tc>
        <w:tc>
          <w:tcPr>
            <w:tcW w:w="4030" w:type="dxa"/>
            <w:vAlign w:val="top"/>
          </w:tcPr>
          <w:p>
            <w:pPr>
              <w:spacing w:before="117" w:line="251" w:lineRule="auto"/>
              <w:ind w:left="109" w:right="95"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人均以第一作者公开发表教改论文数量列</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全校</w:t>
            </w:r>
            <w:r>
              <w:rPr>
                <w:rFonts w:ascii="方正书宋简体" w:hAnsi="方正书宋简体" w:eastAsia="方正书宋简体" w:cs="方正书宋简体"/>
                <w:spacing w:val="29"/>
                <w:sz w:val="21"/>
                <w:szCs w:val="21"/>
              </w:rPr>
              <w:t xml:space="preserve"> </w:t>
            </w:r>
            <w:r>
              <w:rPr>
                <w:rFonts w:ascii="方正书宋简体" w:hAnsi="方正书宋简体" w:eastAsia="方正书宋简体" w:cs="方正书宋简体"/>
                <w:spacing w:val="-4"/>
                <w:sz w:val="21"/>
                <w:szCs w:val="21"/>
              </w:rPr>
              <w:t>10～14</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rPr>
              <w:t>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1164" w:type="dxa"/>
            <w:vMerge w:val="continue"/>
            <w:tcBorders>
              <w:top w:val="nil"/>
              <w:left w:val="single" w:color="000000" w:sz="6" w:space="0"/>
            </w:tcBorders>
            <w:vAlign w:val="top"/>
          </w:tcPr>
          <w:p>
            <w:pPr>
              <w:rPr>
                <w:rFonts w:ascii="Malgun Gothic"/>
                <w:sz w:val="21"/>
              </w:rPr>
            </w:pPr>
          </w:p>
        </w:tc>
        <w:tc>
          <w:tcPr>
            <w:tcW w:w="1076" w:type="dxa"/>
            <w:vAlign w:val="top"/>
          </w:tcPr>
          <w:p>
            <w:pPr>
              <w:spacing w:before="122" w:line="252" w:lineRule="auto"/>
              <w:ind w:left="111" w:right="119" w:firstLine="5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3.4</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3"/>
                <w:sz w:val="21"/>
                <w:szCs w:val="21"/>
              </w:rPr>
              <w:t>教研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教改成果</w:t>
            </w:r>
          </w:p>
        </w:tc>
        <w:tc>
          <w:tcPr>
            <w:tcW w:w="2021" w:type="dxa"/>
            <w:vAlign w:val="top"/>
          </w:tcPr>
          <w:p>
            <w:pPr>
              <w:spacing w:before="278" w:line="180" w:lineRule="auto"/>
              <w:ind w:firstLine="3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教学成果获奖</w:t>
            </w:r>
          </w:p>
        </w:tc>
        <w:tc>
          <w:tcPr>
            <w:tcW w:w="479" w:type="dxa"/>
            <w:vAlign w:val="top"/>
          </w:tcPr>
          <w:p>
            <w:pPr>
              <w:spacing w:before="307"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21" w:line="249" w:lineRule="auto"/>
              <w:ind w:left="105" w:right="97"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获省级及以上教学成果奖1项及以上，或获</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得校级教学成果一等奖1项及以上</w:t>
            </w:r>
          </w:p>
        </w:tc>
        <w:tc>
          <w:tcPr>
            <w:tcW w:w="4030" w:type="dxa"/>
            <w:vAlign w:val="top"/>
          </w:tcPr>
          <w:p>
            <w:pPr>
              <w:spacing w:before="119" w:line="250" w:lineRule="auto"/>
              <w:ind w:left="109" w:right="93"/>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组织申报校级教学成果奖，</w:t>
            </w:r>
            <w:r>
              <w:rPr>
                <w:rFonts w:ascii="方正书宋简体" w:hAnsi="方正书宋简体" w:eastAsia="方正书宋简体" w:cs="方正书宋简体"/>
                <w:spacing w:val="32"/>
                <w:sz w:val="21"/>
                <w:szCs w:val="21"/>
              </w:rPr>
              <w:t xml:space="preserve"> </w:t>
            </w:r>
            <w:r>
              <w:rPr>
                <w:rFonts w:ascii="方正书宋简体" w:hAnsi="方正书宋简体" w:eastAsia="方正书宋简体" w:cs="方正书宋简体"/>
                <w:spacing w:val="-8"/>
                <w:sz w:val="21"/>
                <w:szCs w:val="21"/>
              </w:rPr>
              <w:t>并获得三等奖1</w:t>
            </w:r>
            <w:r>
              <w:rPr>
                <w:rFonts w:ascii="方正书宋简体" w:hAnsi="方正书宋简体" w:eastAsia="方正书宋简体" w:cs="方正书宋简体"/>
                <w:sz w:val="21"/>
                <w:szCs w:val="21"/>
              </w:rPr>
              <w:t xml:space="preserve"> 项</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2" w:hRule="atLeast"/>
        </w:trPr>
        <w:tc>
          <w:tcPr>
            <w:tcW w:w="1164" w:type="dxa"/>
            <w:vMerge w:val="restart"/>
            <w:tcBorders>
              <w:left w:val="single" w:color="000000" w:sz="6" w:space="0"/>
              <w:bottom w:val="nil"/>
            </w:tcBorders>
            <w:vAlign w:val="top"/>
          </w:tcPr>
          <w:p>
            <w:pPr>
              <w:spacing w:line="303" w:lineRule="auto"/>
              <w:rPr>
                <w:rFonts w:ascii="Malgun Gothic"/>
                <w:sz w:val="21"/>
              </w:rPr>
            </w:pPr>
          </w:p>
          <w:p>
            <w:pPr>
              <w:spacing w:line="303" w:lineRule="auto"/>
              <w:rPr>
                <w:rFonts w:ascii="Malgun Gothic"/>
                <w:sz w:val="21"/>
              </w:rPr>
            </w:pPr>
          </w:p>
          <w:p>
            <w:pPr>
              <w:spacing w:line="303" w:lineRule="auto"/>
              <w:rPr>
                <w:rFonts w:ascii="Malgun Gothic"/>
                <w:sz w:val="21"/>
              </w:rPr>
            </w:pPr>
          </w:p>
          <w:p>
            <w:pPr>
              <w:spacing w:before="75" w:line="263" w:lineRule="auto"/>
              <w:ind w:left="105" w:firstLine="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4.教学运</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0"/>
                <w:w w:val="97"/>
                <w:sz w:val="21"/>
                <w:szCs w:val="21"/>
              </w:rPr>
              <w:t>行（31</w:t>
            </w:r>
            <w:r>
              <w:rPr>
                <w:rFonts w:ascii="方正书宋简体" w:hAnsi="方正书宋简体" w:eastAsia="方正书宋简体" w:cs="方正书宋简体"/>
                <w:spacing w:val="36"/>
                <w:w w:val="101"/>
                <w:sz w:val="21"/>
                <w:szCs w:val="21"/>
              </w:rPr>
              <w:t xml:space="preserve"> </w:t>
            </w:r>
            <w:r>
              <w:rPr>
                <w:rFonts w:ascii="方正书宋简体" w:hAnsi="方正书宋简体" w:eastAsia="方正书宋简体" w:cs="方正书宋简体"/>
                <w:spacing w:val="-10"/>
                <w:w w:val="97"/>
                <w:sz w:val="21"/>
                <w:szCs w:val="21"/>
              </w:rPr>
              <w:t>分）</w:t>
            </w:r>
          </w:p>
        </w:tc>
        <w:tc>
          <w:tcPr>
            <w:tcW w:w="1076" w:type="dxa"/>
            <w:vMerge w:val="restart"/>
            <w:tcBorders>
              <w:bottom w:val="nil"/>
            </w:tcBorders>
            <w:vAlign w:val="top"/>
          </w:tcPr>
          <w:p>
            <w:pPr>
              <w:spacing w:line="389" w:lineRule="auto"/>
              <w:rPr>
                <w:rFonts w:ascii="Malgun Gothic"/>
                <w:sz w:val="21"/>
              </w:rPr>
            </w:pPr>
          </w:p>
          <w:p>
            <w:pPr>
              <w:spacing w:before="75" w:line="251" w:lineRule="auto"/>
              <w:ind w:left="321" w:right="172" w:hanging="1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4.1</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教师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教学</w:t>
            </w:r>
          </w:p>
        </w:tc>
        <w:tc>
          <w:tcPr>
            <w:tcW w:w="2021" w:type="dxa"/>
            <w:vAlign w:val="top"/>
          </w:tcPr>
          <w:p>
            <w:pPr>
              <w:spacing w:before="278"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教授、副教授授课</w:t>
            </w:r>
          </w:p>
        </w:tc>
        <w:tc>
          <w:tcPr>
            <w:tcW w:w="479" w:type="dxa"/>
            <w:vAlign w:val="top"/>
          </w:tcPr>
          <w:p>
            <w:pPr>
              <w:spacing w:before="309"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15" w:line="234" w:lineRule="auto"/>
              <w:ind w:left="111" w:right="91" w:hanging="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教授、副教授均为本科生讲授课程；教授、</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副教授承担本科课程加权比例排名前3</w:t>
            </w:r>
          </w:p>
        </w:tc>
        <w:tc>
          <w:tcPr>
            <w:tcW w:w="4030" w:type="dxa"/>
            <w:vAlign w:val="top"/>
          </w:tcPr>
          <w:p>
            <w:pPr>
              <w:spacing w:before="118" w:line="255" w:lineRule="auto"/>
              <w:ind w:left="110" w:right="96"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80%～90%的教授、副教授为本科生讲授课</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z w:val="21"/>
                <w:szCs w:val="21"/>
              </w:rPr>
              <w:t>程</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434"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教师教学竞赛获奖</w:t>
            </w:r>
          </w:p>
        </w:tc>
        <w:tc>
          <w:tcPr>
            <w:tcW w:w="479" w:type="dxa"/>
            <w:vAlign w:val="top"/>
          </w:tcPr>
          <w:p>
            <w:pPr>
              <w:spacing w:line="260" w:lineRule="auto"/>
              <w:rPr>
                <w:rFonts w:ascii="Malgun Gothic"/>
                <w:sz w:val="21"/>
              </w:rPr>
            </w:pPr>
          </w:p>
          <w:p>
            <w:pPr>
              <w:spacing w:before="75" w:line="180" w:lineRule="auto"/>
              <w:ind w:firstLine="18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122" w:line="246"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组织教师参与教学竞赛，</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8"/>
                <w:sz w:val="21"/>
                <w:szCs w:val="21"/>
              </w:rPr>
              <w:t>教师获省级及以上</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教学竞赛奖励；</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8"/>
                <w:sz w:val="21"/>
                <w:szCs w:val="21"/>
              </w:rPr>
              <w:t>或获校级教学竞赛一等奖及</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以上奖励</w:t>
            </w:r>
          </w:p>
        </w:tc>
        <w:tc>
          <w:tcPr>
            <w:tcW w:w="4030" w:type="dxa"/>
            <w:vAlign w:val="top"/>
          </w:tcPr>
          <w:p>
            <w:pPr>
              <w:spacing w:before="278" w:line="251" w:lineRule="auto"/>
              <w:ind w:left="107" w:right="95"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组织教师参与教学竞赛，教师校级教学竞</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赛三等奖及以上</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290" w:lineRule="auto"/>
              <w:rPr>
                <w:rFonts w:ascii="Malgun Gothic"/>
                <w:sz w:val="21"/>
              </w:rPr>
            </w:pPr>
          </w:p>
          <w:p>
            <w:pPr>
              <w:spacing w:before="75" w:line="251" w:lineRule="auto"/>
              <w:ind w:left="321" w:right="172" w:hanging="1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4.2</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秩序</w:t>
            </w:r>
          </w:p>
        </w:tc>
        <w:tc>
          <w:tcPr>
            <w:tcW w:w="2021" w:type="dxa"/>
            <w:vAlign w:val="top"/>
          </w:tcPr>
          <w:p>
            <w:pPr>
              <w:spacing w:before="282" w:line="180" w:lineRule="auto"/>
              <w:ind w:firstLine="3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教学计划执行</w:t>
            </w:r>
          </w:p>
        </w:tc>
        <w:tc>
          <w:tcPr>
            <w:tcW w:w="479" w:type="dxa"/>
            <w:vAlign w:val="top"/>
          </w:tcPr>
          <w:p>
            <w:pPr>
              <w:spacing w:before="314"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12" w:line="255" w:lineRule="auto"/>
              <w:ind w:left="105"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教学计划执行情况良好，</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9"/>
                <w:sz w:val="21"/>
                <w:szCs w:val="21"/>
              </w:rPr>
              <w:t>课程安排、教学任</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务无调整变更</w:t>
            </w:r>
          </w:p>
        </w:tc>
        <w:tc>
          <w:tcPr>
            <w:tcW w:w="4030" w:type="dxa"/>
            <w:vAlign w:val="top"/>
          </w:tcPr>
          <w:p>
            <w:pPr>
              <w:spacing w:before="269"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课程安排、教学任务变更</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2"/>
                <w:sz w:val="21"/>
                <w:szCs w:val="21"/>
              </w:rPr>
              <w:t>4</w:t>
            </w:r>
            <w:r>
              <w:rPr>
                <w:rFonts w:ascii="方正书宋简体" w:hAnsi="方正书宋简体" w:eastAsia="方正书宋简体" w:cs="方正书宋简体"/>
                <w:spacing w:val="24"/>
                <w:sz w:val="21"/>
                <w:szCs w:val="21"/>
              </w:rPr>
              <w:t xml:space="preserve"> </w:t>
            </w:r>
            <w:r>
              <w:rPr>
                <w:rFonts w:ascii="方正书宋简体" w:hAnsi="方正书宋简体" w:eastAsia="方正书宋简体" w:cs="方正书宋简体"/>
                <w:spacing w:val="-2"/>
                <w:sz w:val="21"/>
                <w:szCs w:val="21"/>
              </w:rPr>
              <w:t>门次以上</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vMerge w:val="continue"/>
            <w:tcBorders>
              <w:top w:val="nil"/>
              <w:bottom w:val="single" w:color="000000" w:sz="6" w:space="0"/>
            </w:tcBorders>
            <w:vAlign w:val="top"/>
          </w:tcPr>
          <w:p>
            <w:pPr>
              <w:rPr>
                <w:rFonts w:ascii="Malgun Gothic"/>
                <w:sz w:val="21"/>
              </w:rPr>
            </w:pPr>
          </w:p>
        </w:tc>
        <w:tc>
          <w:tcPr>
            <w:tcW w:w="2021" w:type="dxa"/>
            <w:tcBorders>
              <w:bottom w:val="single" w:color="000000" w:sz="6" w:space="0"/>
            </w:tcBorders>
            <w:vAlign w:val="top"/>
          </w:tcPr>
          <w:p>
            <w:pPr>
              <w:spacing w:before="283" w:line="180" w:lineRule="auto"/>
              <w:ind w:firstLine="6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停调课</w:t>
            </w:r>
          </w:p>
        </w:tc>
        <w:tc>
          <w:tcPr>
            <w:tcW w:w="479" w:type="dxa"/>
            <w:tcBorders>
              <w:bottom w:val="single" w:color="000000" w:sz="6" w:space="0"/>
            </w:tcBorders>
            <w:vAlign w:val="top"/>
          </w:tcPr>
          <w:p>
            <w:pPr>
              <w:spacing w:before="31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tcBorders>
              <w:bottom w:val="single" w:color="000000" w:sz="6" w:space="0"/>
            </w:tcBorders>
            <w:vAlign w:val="top"/>
          </w:tcPr>
          <w:p>
            <w:pPr>
              <w:spacing w:before="128" w:line="250" w:lineRule="auto"/>
              <w:ind w:left="106" w:right="99"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14"/>
                <w:sz w:val="21"/>
                <w:szCs w:val="21"/>
              </w:rPr>
              <w:t>严格履行调停课手续，</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4"/>
                <w:sz w:val="21"/>
                <w:szCs w:val="21"/>
              </w:rPr>
              <w:t>累积年度调（停）</w:t>
            </w:r>
            <w:r>
              <w:rPr>
                <w:rFonts w:ascii="方正书宋简体" w:hAnsi="方正书宋简体" w:eastAsia="方正书宋简体" w:cs="方正书宋简体"/>
                <w:spacing w:val="33"/>
                <w:w w:val="101"/>
                <w:sz w:val="21"/>
                <w:szCs w:val="21"/>
              </w:rPr>
              <w:t xml:space="preserve"> </w:t>
            </w:r>
            <w:r>
              <w:rPr>
                <w:rFonts w:ascii="方正书宋简体" w:hAnsi="方正书宋简体" w:eastAsia="方正书宋简体" w:cs="方正书宋简体"/>
                <w:spacing w:val="-14"/>
                <w:sz w:val="21"/>
                <w:szCs w:val="21"/>
              </w:rPr>
              <w:t>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学时比例列全校倒数</w:t>
            </w:r>
            <w:r>
              <w:rPr>
                <w:rFonts w:ascii="方正书宋简体" w:hAnsi="方正书宋简体" w:eastAsia="方正书宋简体" w:cs="方正书宋简体"/>
                <w:spacing w:val="34"/>
                <w:w w:val="101"/>
                <w:sz w:val="21"/>
                <w:szCs w:val="21"/>
              </w:rPr>
              <w:t xml:space="preserve"> </w:t>
            </w:r>
            <w:r>
              <w:rPr>
                <w:rFonts w:ascii="方正书宋简体" w:hAnsi="方正书宋简体" w:eastAsia="方正书宋简体" w:cs="方正书宋简体"/>
                <w:spacing w:val="-3"/>
                <w:sz w:val="21"/>
                <w:szCs w:val="21"/>
              </w:rPr>
              <w:t>1～3</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3"/>
                <w:sz w:val="21"/>
                <w:szCs w:val="21"/>
              </w:rPr>
              <w:t>位</w:t>
            </w:r>
          </w:p>
        </w:tc>
        <w:tc>
          <w:tcPr>
            <w:tcW w:w="4030" w:type="dxa"/>
            <w:tcBorders>
              <w:bottom w:val="single" w:color="000000" w:sz="6" w:space="0"/>
            </w:tcBorders>
            <w:vAlign w:val="top"/>
          </w:tcPr>
          <w:p>
            <w:pPr>
              <w:spacing w:before="128" w:line="250" w:lineRule="auto"/>
              <w:ind w:left="110" w:right="95"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无随意调停课现象，累积年度调（停）</w:t>
            </w:r>
            <w:r>
              <w:rPr>
                <w:rFonts w:ascii="方正书宋简体" w:hAnsi="方正书宋简体" w:eastAsia="方正书宋简体" w:cs="方正书宋简体"/>
                <w:spacing w:val="57"/>
                <w:sz w:val="21"/>
                <w:szCs w:val="21"/>
              </w:rPr>
              <w:t xml:space="preserve"> </w:t>
            </w:r>
            <w:r>
              <w:rPr>
                <w:rFonts w:ascii="方正书宋简体" w:hAnsi="方正书宋简体" w:eastAsia="方正书宋简体" w:cs="方正书宋简体"/>
                <w:spacing w:val="-4"/>
                <w:sz w:val="21"/>
                <w:szCs w:val="21"/>
              </w:rPr>
              <w:t>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学时比例列全校倒数</w:t>
            </w:r>
            <w:r>
              <w:rPr>
                <w:rFonts w:ascii="方正书宋简体" w:hAnsi="方正书宋简体" w:eastAsia="方正书宋简体" w:cs="方正书宋简体"/>
                <w:spacing w:val="38"/>
                <w:w w:val="101"/>
                <w:sz w:val="21"/>
                <w:szCs w:val="21"/>
              </w:rPr>
              <w:t xml:space="preserve"> </w:t>
            </w:r>
            <w:r>
              <w:rPr>
                <w:rFonts w:ascii="方正书宋简体" w:hAnsi="方正书宋简体" w:eastAsia="方正书宋简体" w:cs="方正书宋简体"/>
                <w:spacing w:val="-3"/>
                <w:sz w:val="21"/>
                <w:szCs w:val="21"/>
              </w:rPr>
              <w:t>10～14</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3"/>
                <w:sz w:val="21"/>
                <w:szCs w:val="21"/>
              </w:rPr>
              <w:t>位</w:t>
            </w:r>
          </w:p>
        </w:tc>
        <w:tc>
          <w:tcPr>
            <w:tcW w:w="670" w:type="dxa"/>
            <w:tcBorders>
              <w:bottom w:val="single" w:color="000000" w:sz="6" w:space="0"/>
              <w:right w:val="single" w:color="000000" w:sz="6" w:space="0"/>
            </w:tcBorders>
            <w:vAlign w:val="top"/>
          </w:tcPr>
          <w:p>
            <w:pPr>
              <w:rPr>
                <w:rFonts w:ascii="Malgun Gothic"/>
                <w:sz w:val="21"/>
              </w:rPr>
            </w:pPr>
          </w:p>
        </w:tc>
      </w:tr>
    </w:tbl>
    <w:p>
      <w:pPr>
        <w:spacing w:line="405" w:lineRule="auto"/>
        <w:rPr>
          <w:rFonts w:ascii="Malgun Gothic"/>
          <w:sz w:val="21"/>
        </w:rPr>
      </w:pPr>
    </w:p>
    <w:p>
      <w:pPr>
        <w:spacing w:before="60"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314</w:t>
      </w:r>
    </w:p>
    <w:p>
      <w:pPr>
        <w:sectPr>
          <w:footerReference r:id="rId318" w:type="default"/>
          <w:pgSz w:w="16840" w:h="11905"/>
          <w:pgMar w:top="1011" w:right="1664" w:bottom="400" w:left="1547" w:header="0" w:footer="0" w:gutter="0"/>
          <w:cols w:space="720" w:num="1"/>
        </w:sectPr>
      </w:pPr>
    </w:p>
    <w:p/>
    <w:p/>
    <w:p>
      <w:pPr>
        <w:spacing w:line="92" w:lineRule="exact"/>
      </w:pP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1"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1"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8"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8"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trPr>
        <w:tc>
          <w:tcPr>
            <w:tcW w:w="1164" w:type="dxa"/>
            <w:vMerge w:val="restart"/>
            <w:tcBorders>
              <w:left w:val="single" w:color="000000" w:sz="6" w:space="0"/>
              <w:bottom w:val="nil"/>
            </w:tcBorders>
            <w:vAlign w:val="top"/>
          </w:tcPr>
          <w:p>
            <w:pPr>
              <w:spacing w:line="256" w:lineRule="auto"/>
              <w:rPr>
                <w:rFonts w:ascii="Malgun Gothic"/>
                <w:sz w:val="21"/>
              </w:rPr>
            </w:pPr>
          </w:p>
          <w:p>
            <w:pPr>
              <w:spacing w:line="256" w:lineRule="auto"/>
              <w:rPr>
                <w:rFonts w:ascii="Malgun Gothic"/>
                <w:sz w:val="21"/>
              </w:rPr>
            </w:pPr>
          </w:p>
          <w:p>
            <w:pPr>
              <w:spacing w:line="256" w:lineRule="auto"/>
              <w:rPr>
                <w:rFonts w:ascii="Malgun Gothic"/>
                <w:sz w:val="21"/>
              </w:rPr>
            </w:pPr>
          </w:p>
          <w:p>
            <w:pPr>
              <w:spacing w:line="256" w:lineRule="auto"/>
              <w:rPr>
                <w:rFonts w:ascii="Malgun Gothic"/>
                <w:sz w:val="21"/>
              </w:rPr>
            </w:pPr>
          </w:p>
          <w:p>
            <w:pPr>
              <w:spacing w:line="256" w:lineRule="auto"/>
              <w:rPr>
                <w:rFonts w:ascii="Malgun Gothic"/>
                <w:sz w:val="21"/>
              </w:rPr>
            </w:pPr>
          </w:p>
          <w:p>
            <w:pPr>
              <w:spacing w:line="257" w:lineRule="auto"/>
              <w:rPr>
                <w:rFonts w:ascii="Malgun Gothic"/>
                <w:sz w:val="21"/>
              </w:rPr>
            </w:pPr>
          </w:p>
          <w:p>
            <w:pPr>
              <w:spacing w:line="257" w:lineRule="auto"/>
              <w:rPr>
                <w:rFonts w:ascii="Malgun Gothic"/>
                <w:sz w:val="21"/>
              </w:rPr>
            </w:pPr>
          </w:p>
          <w:p>
            <w:pPr>
              <w:spacing w:line="257" w:lineRule="auto"/>
              <w:rPr>
                <w:rFonts w:ascii="Malgun Gothic"/>
                <w:sz w:val="21"/>
              </w:rPr>
            </w:pPr>
          </w:p>
          <w:p>
            <w:pPr>
              <w:spacing w:line="257" w:lineRule="auto"/>
              <w:rPr>
                <w:rFonts w:ascii="Malgun Gothic"/>
                <w:sz w:val="21"/>
              </w:rPr>
            </w:pPr>
          </w:p>
          <w:p>
            <w:pPr>
              <w:spacing w:before="75" w:line="264" w:lineRule="auto"/>
              <w:ind w:left="105" w:firstLine="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4.教学运</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0"/>
                <w:w w:val="97"/>
                <w:sz w:val="21"/>
                <w:szCs w:val="21"/>
              </w:rPr>
              <w:t>行（31</w:t>
            </w:r>
            <w:r>
              <w:rPr>
                <w:rFonts w:ascii="方正书宋简体" w:hAnsi="方正书宋简体" w:eastAsia="方正书宋简体" w:cs="方正书宋简体"/>
                <w:spacing w:val="36"/>
                <w:w w:val="101"/>
                <w:sz w:val="21"/>
                <w:szCs w:val="21"/>
              </w:rPr>
              <w:t xml:space="preserve"> </w:t>
            </w:r>
            <w:r>
              <w:rPr>
                <w:rFonts w:ascii="方正书宋简体" w:hAnsi="方正书宋简体" w:eastAsia="方正书宋简体" w:cs="方正书宋简体"/>
                <w:spacing w:val="-10"/>
                <w:w w:val="97"/>
                <w:sz w:val="21"/>
                <w:szCs w:val="21"/>
              </w:rPr>
              <w:t>分）</w:t>
            </w:r>
          </w:p>
        </w:tc>
        <w:tc>
          <w:tcPr>
            <w:tcW w:w="1076" w:type="dxa"/>
            <w:vMerge w:val="restart"/>
            <w:tcBorders>
              <w:bottom w:val="nil"/>
            </w:tcBorders>
            <w:vAlign w:val="top"/>
          </w:tcPr>
          <w:p>
            <w:pPr>
              <w:spacing w:line="398" w:lineRule="auto"/>
              <w:rPr>
                <w:rFonts w:ascii="Malgun Gothic"/>
                <w:sz w:val="21"/>
              </w:rPr>
            </w:pPr>
          </w:p>
          <w:p>
            <w:pPr>
              <w:spacing w:before="76" w:line="252" w:lineRule="auto"/>
              <w:ind w:left="110" w:right="119" w:firstLine="5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4.3</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专项检查</w:t>
            </w:r>
          </w:p>
        </w:tc>
        <w:tc>
          <w:tcPr>
            <w:tcW w:w="2021" w:type="dxa"/>
            <w:vAlign w:val="top"/>
          </w:tcPr>
          <w:p>
            <w:pPr>
              <w:spacing w:before="359" w:line="180" w:lineRule="auto"/>
              <w:ind w:firstLine="3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试卷检查情况</w:t>
            </w:r>
          </w:p>
        </w:tc>
        <w:tc>
          <w:tcPr>
            <w:tcW w:w="479" w:type="dxa"/>
            <w:vAlign w:val="top"/>
          </w:tcPr>
          <w:p>
            <w:pPr>
              <w:spacing w:before="390"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32" w:line="225" w:lineRule="auto"/>
              <w:ind w:left="103" w:right="77" w:firstLine="6"/>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sz w:val="21"/>
                <w:szCs w:val="21"/>
              </w:rPr>
              <w:t>每学期自行开展试卷质量检查工作，有安排、有</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1"/>
                <w:sz w:val="21"/>
                <w:szCs w:val="21"/>
              </w:rPr>
              <w:t>措施、有总结；学校试卷抽检情况良好，且在考</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21"/>
                <w:w w:val="99"/>
                <w:sz w:val="21"/>
                <w:szCs w:val="21"/>
              </w:rPr>
              <w:t>试命题、阅卷、成绩登记、归档等未发现问题</w:t>
            </w:r>
          </w:p>
        </w:tc>
        <w:tc>
          <w:tcPr>
            <w:tcW w:w="4030" w:type="dxa"/>
            <w:vAlign w:val="top"/>
          </w:tcPr>
          <w:p>
            <w:pPr>
              <w:spacing w:before="201" w:line="251" w:lineRule="auto"/>
              <w:ind w:left="107" w:right="95" w:firstLine="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每学期自行开展试卷质量检查工作，学校</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0"/>
                <w:sz w:val="21"/>
                <w:szCs w:val="21"/>
              </w:rPr>
              <w:t>试卷抽检“基本通过”</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203" w:line="251" w:lineRule="auto"/>
              <w:ind w:left="373" w:right="106" w:hanging="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毕业论文（设计）与</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综合训练检查</w:t>
            </w:r>
          </w:p>
        </w:tc>
        <w:tc>
          <w:tcPr>
            <w:tcW w:w="479" w:type="dxa"/>
            <w:vAlign w:val="top"/>
          </w:tcPr>
          <w:p>
            <w:pPr>
              <w:spacing w:before="392"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36" w:line="224" w:lineRule="auto"/>
              <w:ind w:left="103" w:right="83"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质量标准和规范健全，安排合理、保障措施有</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5"/>
                <w:sz w:val="21"/>
                <w:szCs w:val="21"/>
              </w:rPr>
              <w:t>力，毕业论文</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5"/>
                <w:sz w:val="21"/>
                <w:szCs w:val="21"/>
              </w:rPr>
              <w:t>（设计）选题、开题、指导、答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5"/>
                <w:sz w:val="21"/>
                <w:szCs w:val="21"/>
              </w:rPr>
              <w:t>辩、成绩评定等工作检查评比效果好、质量高</w:t>
            </w:r>
          </w:p>
        </w:tc>
        <w:tc>
          <w:tcPr>
            <w:tcW w:w="4030" w:type="dxa"/>
            <w:vAlign w:val="top"/>
          </w:tcPr>
          <w:p>
            <w:pPr>
              <w:spacing w:before="33" w:line="225" w:lineRule="auto"/>
              <w:ind w:left="108" w:right="86"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8"/>
                <w:sz w:val="21"/>
                <w:szCs w:val="21"/>
              </w:rPr>
              <w:t>有质量规范、有安排、有措施，</w:t>
            </w:r>
            <w:r>
              <w:rPr>
                <w:rFonts w:ascii="方正书宋简体" w:hAnsi="方正书宋简体" w:eastAsia="方正书宋简体" w:cs="方正书宋简体"/>
                <w:spacing w:val="51"/>
                <w:sz w:val="21"/>
                <w:szCs w:val="21"/>
              </w:rPr>
              <w:t xml:space="preserve"> </w:t>
            </w:r>
            <w:r>
              <w:rPr>
                <w:rFonts w:ascii="方正书宋简体" w:hAnsi="方正书宋简体" w:eastAsia="方正书宋简体" w:cs="方正书宋简体"/>
                <w:spacing w:val="-20"/>
                <w:w w:val="98"/>
                <w:sz w:val="21"/>
                <w:szCs w:val="21"/>
              </w:rPr>
              <w:t>毕业论文（设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计）</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选题、开题、指导、答辩、成绩评定</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等工作检查评比质量符合学校基本要求</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355" w:lineRule="auto"/>
              <w:rPr>
                <w:rFonts w:ascii="Malgun Gothic"/>
                <w:sz w:val="21"/>
              </w:rPr>
            </w:pPr>
          </w:p>
          <w:p>
            <w:pPr>
              <w:spacing w:line="356" w:lineRule="auto"/>
              <w:rPr>
                <w:rFonts w:ascii="Malgun Gothic"/>
                <w:sz w:val="21"/>
              </w:rPr>
            </w:pPr>
          </w:p>
          <w:p>
            <w:pPr>
              <w:spacing w:before="76" w:line="252" w:lineRule="auto"/>
              <w:ind w:left="321" w:right="172" w:hanging="15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4.4</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实践</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教学</w:t>
            </w:r>
          </w:p>
        </w:tc>
        <w:tc>
          <w:tcPr>
            <w:tcW w:w="2021" w:type="dxa"/>
            <w:vAlign w:val="top"/>
          </w:tcPr>
          <w:p>
            <w:pPr>
              <w:spacing w:line="399" w:lineRule="auto"/>
              <w:rPr>
                <w:rFonts w:ascii="Malgun Gothic"/>
                <w:sz w:val="21"/>
              </w:rPr>
            </w:pPr>
          </w:p>
          <w:p>
            <w:pPr>
              <w:spacing w:before="75" w:line="180" w:lineRule="auto"/>
              <w:ind w:firstLine="5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实验教学</w:t>
            </w:r>
          </w:p>
        </w:tc>
        <w:tc>
          <w:tcPr>
            <w:tcW w:w="479" w:type="dxa"/>
            <w:vAlign w:val="top"/>
          </w:tcPr>
          <w:p>
            <w:pPr>
              <w:spacing w:line="418"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44" w:line="234" w:lineRule="auto"/>
              <w:ind w:left="104" w:right="100"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实验大纲规定的必开实验开出率达</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3"/>
                <w:sz w:val="21"/>
                <w:szCs w:val="21"/>
              </w:rPr>
              <w:t>100%；</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有综合性、设计性实验的课程占实验课程的</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比例≥85％；实验指导书、实验大纲齐全，</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6"/>
                <w:sz w:val="21"/>
                <w:szCs w:val="21"/>
              </w:rPr>
              <w:t>并与现行实验教材配套；</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16"/>
                <w:sz w:val="21"/>
                <w:szCs w:val="21"/>
              </w:rPr>
              <w:t>实验教案规范，</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6"/>
                <w:sz w:val="21"/>
                <w:szCs w:val="21"/>
              </w:rPr>
              <w:t>实</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验报告存档齐全、批改规范</w:t>
            </w:r>
          </w:p>
        </w:tc>
        <w:tc>
          <w:tcPr>
            <w:tcW w:w="4030" w:type="dxa"/>
            <w:vAlign w:val="top"/>
          </w:tcPr>
          <w:p>
            <w:pPr>
              <w:spacing w:before="41" w:line="246" w:lineRule="auto"/>
              <w:ind w:left="111" w:right="11"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实验大纲规定的必开实验开出率</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5"/>
                <w:sz w:val="21"/>
                <w:szCs w:val="21"/>
              </w:rPr>
              <w:t>85%～</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90%；有综合性、设计性实验的课程占有</w:t>
            </w:r>
            <w:r>
              <w:rPr>
                <w:rFonts w:ascii="方正书宋简体" w:hAnsi="方正书宋简体" w:eastAsia="方正书宋简体" w:cs="方正书宋简体"/>
                <w:spacing w:val="6"/>
                <w:w w:val="103"/>
                <w:sz w:val="21"/>
                <w:szCs w:val="21"/>
              </w:rPr>
              <w:t xml:space="preserve">  </w:t>
            </w:r>
            <w:r>
              <w:rPr>
                <w:rFonts w:ascii="方正书宋简体" w:hAnsi="方正书宋简体" w:eastAsia="方正书宋简体" w:cs="方正书宋简体"/>
                <w:spacing w:val="-9"/>
                <w:sz w:val="21"/>
                <w:szCs w:val="21"/>
              </w:rPr>
              <w:t>实验课程的比例</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9"/>
                <w:sz w:val="21"/>
                <w:szCs w:val="21"/>
              </w:rPr>
              <w:t>60%～70%；</w:t>
            </w:r>
            <w:r>
              <w:rPr>
                <w:rFonts w:ascii="方正书宋简体" w:hAnsi="方正书宋简体" w:eastAsia="方正书宋简体" w:cs="方正书宋简体"/>
                <w:spacing w:val="51"/>
                <w:sz w:val="21"/>
                <w:szCs w:val="21"/>
              </w:rPr>
              <w:t xml:space="preserve"> </w:t>
            </w:r>
            <w:r>
              <w:rPr>
                <w:rFonts w:ascii="方正书宋简体" w:hAnsi="方正书宋简体" w:eastAsia="方正书宋简体" w:cs="方正书宋简体"/>
                <w:spacing w:val="-9"/>
                <w:sz w:val="21"/>
                <w:szCs w:val="21"/>
              </w:rPr>
              <w:t>实验指导书、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实验大纲齐全；有实验教案，实验报告存</w:t>
            </w:r>
            <w:r>
              <w:rPr>
                <w:rFonts w:ascii="方正书宋简体" w:hAnsi="方正书宋简体" w:eastAsia="方正书宋简体" w:cs="方正书宋简体"/>
                <w:spacing w:val="7"/>
                <w:w w:val="103"/>
                <w:sz w:val="21"/>
                <w:szCs w:val="21"/>
              </w:rPr>
              <w:t xml:space="preserve">  </w:t>
            </w:r>
            <w:r>
              <w:rPr>
                <w:rFonts w:ascii="方正书宋简体" w:hAnsi="方正书宋简体" w:eastAsia="方正书宋简体" w:cs="方正书宋简体"/>
                <w:spacing w:val="-2"/>
                <w:sz w:val="21"/>
                <w:szCs w:val="21"/>
              </w:rPr>
              <w:t>档齐全</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line="291" w:lineRule="auto"/>
              <w:rPr>
                <w:rFonts w:ascii="Malgun Gothic"/>
                <w:sz w:val="21"/>
              </w:rPr>
            </w:pPr>
          </w:p>
          <w:p>
            <w:pPr>
              <w:spacing w:before="75" w:line="193"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实（见）习执行情况</w:t>
            </w:r>
          </w:p>
        </w:tc>
        <w:tc>
          <w:tcPr>
            <w:tcW w:w="479" w:type="dxa"/>
            <w:vAlign w:val="top"/>
          </w:tcPr>
          <w:p>
            <w:pPr>
              <w:spacing w:line="316" w:lineRule="auto"/>
              <w:rPr>
                <w:rFonts w:ascii="Malgun Gothic"/>
                <w:sz w:val="21"/>
              </w:rPr>
            </w:pPr>
          </w:p>
          <w:p>
            <w:pPr>
              <w:spacing w:before="75"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37" w:line="232" w:lineRule="auto"/>
              <w:ind w:left="104" w:right="83"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实习教学大纲齐全，有实习计划安排、实习经</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2"/>
                <w:sz w:val="21"/>
                <w:szCs w:val="21"/>
              </w:rPr>
              <w:t>费预算，且合理可行；除师范、医学外学生集</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20"/>
                <w:sz w:val="21"/>
                <w:szCs w:val="21"/>
              </w:rPr>
              <w:t>中实习人数达</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0"/>
                <w:sz w:val="21"/>
                <w:szCs w:val="21"/>
              </w:rPr>
              <w:t>2/3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20"/>
                <w:sz w:val="21"/>
                <w:szCs w:val="21"/>
              </w:rPr>
              <w:t>以上；</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20"/>
                <w:sz w:val="21"/>
                <w:szCs w:val="21"/>
              </w:rPr>
              <w:t>有一定的实习质量保证</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8"/>
                <w:sz w:val="21"/>
                <w:szCs w:val="21"/>
              </w:rPr>
              <w:t>措施，实习结束后有总结，</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pacing w:val="-20"/>
                <w:w w:val="98"/>
                <w:sz w:val="21"/>
                <w:szCs w:val="21"/>
              </w:rPr>
              <w:t>效果良好</w:t>
            </w:r>
          </w:p>
        </w:tc>
        <w:tc>
          <w:tcPr>
            <w:tcW w:w="4030" w:type="dxa"/>
            <w:vAlign w:val="top"/>
          </w:tcPr>
          <w:p>
            <w:pPr>
              <w:spacing w:before="365" w:line="251" w:lineRule="auto"/>
              <w:ind w:left="109"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有实习教学大纲和管理规范，实（见）</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5"/>
                <w:sz w:val="21"/>
                <w:szCs w:val="21"/>
              </w:rPr>
              <w:t>习</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执行情况正常</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Align w:val="top"/>
          </w:tcPr>
          <w:p>
            <w:pPr>
              <w:spacing w:before="51" w:line="206" w:lineRule="auto"/>
              <w:ind w:left="317" w:right="172" w:hanging="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4.5</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第二</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课堂</w:t>
            </w:r>
          </w:p>
        </w:tc>
        <w:tc>
          <w:tcPr>
            <w:tcW w:w="2021" w:type="dxa"/>
            <w:vAlign w:val="top"/>
          </w:tcPr>
          <w:p>
            <w:pPr>
              <w:spacing w:before="54" w:line="205" w:lineRule="auto"/>
              <w:ind w:left="587" w:right="105" w:hanging="4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校园文化、科技活动</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开展情况</w:t>
            </w:r>
          </w:p>
        </w:tc>
        <w:tc>
          <w:tcPr>
            <w:tcW w:w="479" w:type="dxa"/>
            <w:vAlign w:val="top"/>
          </w:tcPr>
          <w:p>
            <w:pPr>
              <w:spacing w:before="242"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5" w:line="206" w:lineRule="auto"/>
              <w:ind w:left="106" w:right="100"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年度开展校园文化、课外科技活动</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
                <w:sz w:val="21"/>
                <w:szCs w:val="21"/>
              </w:rPr>
              <w:t>10</w:t>
            </w:r>
            <w:r>
              <w:rPr>
                <w:rFonts w:ascii="方正书宋简体" w:hAnsi="方正书宋简体" w:eastAsia="方正书宋简体" w:cs="方正书宋简体"/>
                <w:spacing w:val="45"/>
                <w:sz w:val="21"/>
                <w:szCs w:val="21"/>
              </w:rPr>
              <w:t xml:space="preserve"> </w:t>
            </w:r>
            <w:r>
              <w:rPr>
                <w:rFonts w:ascii="方正书宋简体" w:hAnsi="方正书宋简体" w:eastAsia="方正书宋简体" w:cs="方正书宋简体"/>
                <w:spacing w:val="-2"/>
                <w:sz w:val="21"/>
                <w:szCs w:val="21"/>
              </w:rPr>
              <w:t>次以</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上，活动成效和成果显著</w:t>
            </w:r>
          </w:p>
        </w:tc>
        <w:tc>
          <w:tcPr>
            <w:tcW w:w="4030" w:type="dxa"/>
            <w:vAlign w:val="top"/>
          </w:tcPr>
          <w:p>
            <w:pPr>
              <w:spacing w:before="55" w:line="206" w:lineRule="auto"/>
              <w:ind w:left="110" w:right="96"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年度开展校园文化、课外科技活动</w:t>
            </w:r>
            <w:r>
              <w:rPr>
                <w:rFonts w:ascii="方正书宋简体" w:hAnsi="方正书宋简体" w:eastAsia="方正书宋简体" w:cs="方正书宋简体"/>
                <w:spacing w:val="43"/>
                <w:sz w:val="21"/>
                <w:szCs w:val="21"/>
              </w:rPr>
              <w:t xml:space="preserve"> </w:t>
            </w:r>
            <w:r>
              <w:rPr>
                <w:rFonts w:ascii="方正书宋简体" w:hAnsi="方正书宋简体" w:eastAsia="方正书宋简体" w:cs="方正书宋简体"/>
                <w:spacing w:val="-2"/>
                <w:sz w:val="21"/>
                <w:szCs w:val="21"/>
              </w:rPr>
              <w:t>5</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pacing w:val="-2"/>
                <w:sz w:val="21"/>
                <w:szCs w:val="21"/>
              </w:rPr>
              <w:t>次以</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上，有一定成效</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258" w:lineRule="auto"/>
              <w:rPr>
                <w:rFonts w:ascii="Malgun Gothic"/>
                <w:sz w:val="21"/>
              </w:rPr>
            </w:pPr>
          </w:p>
          <w:p>
            <w:pPr>
              <w:spacing w:line="258" w:lineRule="auto"/>
              <w:rPr>
                <w:rFonts w:ascii="Malgun Gothic"/>
                <w:sz w:val="21"/>
              </w:rPr>
            </w:pPr>
          </w:p>
          <w:p>
            <w:pPr>
              <w:spacing w:before="75" w:line="252" w:lineRule="auto"/>
              <w:ind w:left="111" w:right="119" w:firstLine="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4.6</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质量监控</w:t>
            </w:r>
          </w:p>
        </w:tc>
        <w:tc>
          <w:tcPr>
            <w:tcW w:w="2021" w:type="dxa"/>
            <w:vAlign w:val="top"/>
          </w:tcPr>
          <w:p>
            <w:pPr>
              <w:spacing w:before="209"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教学质量保障体系</w:t>
            </w:r>
          </w:p>
        </w:tc>
        <w:tc>
          <w:tcPr>
            <w:tcW w:w="479" w:type="dxa"/>
            <w:vAlign w:val="top"/>
          </w:tcPr>
          <w:p>
            <w:pPr>
              <w:spacing w:before="244"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3" w:line="208" w:lineRule="auto"/>
              <w:ind w:left="105" w:right="100"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学院教学质量保障体系完备，</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9"/>
                <w:sz w:val="21"/>
                <w:szCs w:val="21"/>
              </w:rPr>
              <w:t>质量标准、制</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度与机制完善</w:t>
            </w:r>
          </w:p>
        </w:tc>
        <w:tc>
          <w:tcPr>
            <w:tcW w:w="4030" w:type="dxa"/>
            <w:vAlign w:val="top"/>
          </w:tcPr>
          <w:p>
            <w:pPr>
              <w:spacing w:before="54" w:line="208" w:lineRule="auto"/>
              <w:ind w:left="111"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学院有教学质量保障机构、标准、制度与</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机制，且运行正常</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bottom w:val="nil"/>
            </w:tcBorders>
            <w:vAlign w:val="top"/>
          </w:tcPr>
          <w:p>
            <w:pPr>
              <w:rPr>
                <w:rFonts w:ascii="Malgun Gothic"/>
                <w:sz w:val="21"/>
              </w:rPr>
            </w:pPr>
          </w:p>
        </w:tc>
        <w:tc>
          <w:tcPr>
            <w:tcW w:w="2021" w:type="dxa"/>
            <w:vAlign w:val="top"/>
          </w:tcPr>
          <w:p>
            <w:pPr>
              <w:spacing w:before="215" w:line="180" w:lineRule="auto"/>
              <w:ind w:firstLine="2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领导干部听评课</w:t>
            </w:r>
          </w:p>
        </w:tc>
        <w:tc>
          <w:tcPr>
            <w:tcW w:w="479" w:type="dxa"/>
            <w:vAlign w:val="top"/>
          </w:tcPr>
          <w:p>
            <w:pPr>
              <w:spacing w:before="247"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7" w:line="207" w:lineRule="auto"/>
              <w:ind w:left="104" w:right="100"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学院党政干部全部完成听课任务，</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9"/>
                <w:sz w:val="21"/>
                <w:szCs w:val="21"/>
              </w:rPr>
              <w:t>听课记录</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详实，有改进措施建议</w:t>
            </w:r>
          </w:p>
        </w:tc>
        <w:tc>
          <w:tcPr>
            <w:tcW w:w="4030" w:type="dxa"/>
            <w:vAlign w:val="top"/>
          </w:tcPr>
          <w:p>
            <w:pPr>
              <w:spacing w:before="54" w:line="208" w:lineRule="auto"/>
              <w:ind w:left="106" w:right="96"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学院70%～85%党政干部完成了规定的听</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
                <w:sz w:val="21"/>
                <w:szCs w:val="21"/>
              </w:rPr>
              <w:t>课任务</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vMerge w:val="continue"/>
            <w:tcBorders>
              <w:top w:val="nil"/>
              <w:bottom w:val="single" w:color="000000" w:sz="6" w:space="0"/>
            </w:tcBorders>
            <w:vAlign w:val="top"/>
          </w:tcPr>
          <w:p>
            <w:pPr>
              <w:rPr>
                <w:rFonts w:ascii="Malgun Gothic"/>
                <w:sz w:val="21"/>
              </w:rPr>
            </w:pPr>
          </w:p>
        </w:tc>
        <w:tc>
          <w:tcPr>
            <w:tcW w:w="2021" w:type="dxa"/>
            <w:tcBorders>
              <w:bottom w:val="single" w:color="000000" w:sz="6" w:space="0"/>
            </w:tcBorders>
            <w:vAlign w:val="top"/>
          </w:tcPr>
          <w:p>
            <w:pPr>
              <w:spacing w:before="213" w:line="252" w:lineRule="auto"/>
              <w:ind w:left="690" w:right="105" w:hanging="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教学督导、学生信息</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2"/>
                <w:sz w:val="21"/>
                <w:szCs w:val="21"/>
              </w:rPr>
              <w:t>员工作</w:t>
            </w:r>
          </w:p>
        </w:tc>
        <w:tc>
          <w:tcPr>
            <w:tcW w:w="479" w:type="dxa"/>
            <w:tcBorders>
              <w:bottom w:val="single" w:color="000000" w:sz="6" w:space="0"/>
            </w:tcBorders>
            <w:vAlign w:val="top"/>
          </w:tcPr>
          <w:p>
            <w:pPr>
              <w:spacing w:before="40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tcBorders>
              <w:bottom w:val="single" w:color="000000" w:sz="6" w:space="0"/>
            </w:tcBorders>
            <w:vAlign w:val="top"/>
          </w:tcPr>
          <w:p>
            <w:pPr>
              <w:spacing w:before="57" w:line="222" w:lineRule="auto"/>
              <w:ind w:left="105" w:right="29"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学院（部）</w:t>
            </w:r>
            <w:r>
              <w:rPr>
                <w:rFonts w:ascii="方正书宋简体" w:hAnsi="方正书宋简体" w:eastAsia="方正书宋简体" w:cs="方正书宋简体"/>
                <w:spacing w:val="45"/>
                <w:w w:val="101"/>
                <w:sz w:val="21"/>
                <w:szCs w:val="21"/>
              </w:rPr>
              <w:t xml:space="preserve"> </w:t>
            </w:r>
            <w:r>
              <w:rPr>
                <w:rFonts w:ascii="方正书宋简体" w:hAnsi="方正书宋简体" w:eastAsia="方正书宋简体" w:cs="方正书宋简体"/>
                <w:spacing w:val="-7"/>
                <w:sz w:val="21"/>
                <w:szCs w:val="21"/>
              </w:rPr>
              <w:t>成立有教学督导组、学生信息员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sz w:val="21"/>
                <w:szCs w:val="21"/>
              </w:rPr>
              <w:t>组织，</w:t>
            </w:r>
            <w:r>
              <w:rPr>
                <w:rFonts w:ascii="方正书宋简体" w:hAnsi="方正书宋简体" w:eastAsia="方正书宋简体" w:cs="方正书宋简体"/>
                <w:spacing w:val="35"/>
                <w:sz w:val="21"/>
                <w:szCs w:val="21"/>
              </w:rPr>
              <w:t xml:space="preserve"> </w:t>
            </w:r>
            <w:r>
              <w:rPr>
                <w:rFonts w:ascii="方正书宋简体" w:hAnsi="方正书宋简体" w:eastAsia="方正书宋简体" w:cs="方正书宋简体"/>
                <w:spacing w:val="-13"/>
                <w:sz w:val="21"/>
                <w:szCs w:val="21"/>
              </w:rPr>
              <w:t>定期开展教学督导、学生信息员工作；</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建立了学院（部）</w:t>
            </w:r>
            <w:r>
              <w:rPr>
                <w:rFonts w:ascii="方正书宋简体" w:hAnsi="方正书宋简体" w:eastAsia="方正书宋简体" w:cs="方正书宋简体"/>
                <w:spacing w:val="47"/>
                <w:sz w:val="21"/>
                <w:szCs w:val="21"/>
              </w:rPr>
              <w:t xml:space="preserve"> </w:t>
            </w:r>
            <w:r>
              <w:rPr>
                <w:rFonts w:ascii="方正书宋简体" w:hAnsi="方正书宋简体" w:eastAsia="方正书宋简体" w:cs="方正书宋简体"/>
                <w:spacing w:val="-7"/>
                <w:sz w:val="21"/>
                <w:szCs w:val="21"/>
              </w:rPr>
              <w:t>教学质量监控的长效机制</w:t>
            </w:r>
          </w:p>
        </w:tc>
        <w:tc>
          <w:tcPr>
            <w:tcW w:w="4030" w:type="dxa"/>
            <w:tcBorders>
              <w:bottom w:val="single" w:color="000000" w:sz="6" w:space="0"/>
            </w:tcBorders>
            <w:vAlign w:val="top"/>
          </w:tcPr>
          <w:p>
            <w:pPr>
              <w:spacing w:before="214" w:line="252" w:lineRule="auto"/>
              <w:ind w:left="114"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能根据需要临时成立专家组开展教学检查</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2"/>
                <w:sz w:val="21"/>
                <w:szCs w:val="21"/>
              </w:rPr>
              <w:t>与督导工作</w:t>
            </w:r>
          </w:p>
        </w:tc>
        <w:tc>
          <w:tcPr>
            <w:tcW w:w="670" w:type="dxa"/>
            <w:tcBorders>
              <w:bottom w:val="single" w:color="000000" w:sz="6" w:space="0"/>
              <w:right w:val="single" w:color="000000" w:sz="6" w:space="0"/>
            </w:tcBorders>
            <w:vAlign w:val="top"/>
          </w:tcPr>
          <w:p>
            <w:pPr>
              <w:rPr>
                <w:rFonts w:ascii="Malgun Gothic"/>
                <w:sz w:val="21"/>
              </w:rPr>
            </w:pPr>
          </w:p>
        </w:tc>
      </w:tr>
    </w:tbl>
    <w:p>
      <w:pPr>
        <w:spacing w:line="296" w:lineRule="auto"/>
        <w:rPr>
          <w:rFonts w:ascii="Malgun Gothic"/>
          <w:sz w:val="21"/>
        </w:rPr>
      </w:pPr>
    </w:p>
    <w:p>
      <w:pPr>
        <w:spacing w:before="60"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315</w:t>
      </w:r>
    </w:p>
    <w:p>
      <w:pPr>
        <w:sectPr>
          <w:footerReference r:id="rId319" w:type="default"/>
          <w:pgSz w:w="16840" w:h="11905"/>
          <w:pgMar w:top="1011" w:right="1664" w:bottom="400" w:left="1547" w:header="0" w:footer="0" w:gutter="0"/>
          <w:cols w:space="720" w:num="1"/>
        </w:sectPr>
      </w:pPr>
    </w:p>
    <w:p/>
    <w:p/>
    <w:p>
      <w:pPr>
        <w:spacing w:line="92" w:lineRule="exact"/>
      </w:pP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1"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1"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8"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8"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1164" w:type="dxa"/>
            <w:tcBorders>
              <w:left w:val="single" w:color="000000" w:sz="6" w:space="0"/>
            </w:tcBorders>
            <w:vAlign w:val="top"/>
          </w:tcPr>
          <w:p>
            <w:pPr>
              <w:spacing w:before="203" w:line="264" w:lineRule="auto"/>
              <w:ind w:left="105" w:firstLine="7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4.教学运</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0"/>
                <w:w w:val="97"/>
                <w:sz w:val="21"/>
                <w:szCs w:val="21"/>
              </w:rPr>
              <w:t>行（31</w:t>
            </w:r>
            <w:r>
              <w:rPr>
                <w:rFonts w:ascii="方正书宋简体" w:hAnsi="方正书宋简体" w:eastAsia="方正书宋简体" w:cs="方正书宋简体"/>
                <w:spacing w:val="36"/>
                <w:w w:val="101"/>
                <w:sz w:val="21"/>
                <w:szCs w:val="21"/>
              </w:rPr>
              <w:t xml:space="preserve"> </w:t>
            </w:r>
            <w:r>
              <w:rPr>
                <w:rFonts w:ascii="方正书宋简体" w:hAnsi="方正书宋简体" w:eastAsia="方正书宋简体" w:cs="方正书宋简体"/>
                <w:spacing w:val="-10"/>
                <w:w w:val="97"/>
                <w:sz w:val="21"/>
                <w:szCs w:val="21"/>
              </w:rPr>
              <w:t>分）</w:t>
            </w:r>
          </w:p>
        </w:tc>
        <w:tc>
          <w:tcPr>
            <w:tcW w:w="1076" w:type="dxa"/>
            <w:vAlign w:val="top"/>
          </w:tcPr>
          <w:p>
            <w:pPr>
              <w:spacing w:before="203" w:line="252" w:lineRule="auto"/>
              <w:ind w:left="111" w:right="119" w:firstLine="5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4.6</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2"/>
                <w:sz w:val="21"/>
                <w:szCs w:val="21"/>
              </w:rPr>
              <w:t>教学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质量监控</w:t>
            </w:r>
          </w:p>
        </w:tc>
        <w:tc>
          <w:tcPr>
            <w:tcW w:w="2021" w:type="dxa"/>
            <w:vAlign w:val="top"/>
          </w:tcPr>
          <w:p>
            <w:pPr>
              <w:spacing w:before="361" w:line="180" w:lineRule="auto"/>
              <w:ind w:firstLine="5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学生评教</w:t>
            </w:r>
          </w:p>
        </w:tc>
        <w:tc>
          <w:tcPr>
            <w:tcW w:w="479" w:type="dxa"/>
            <w:vAlign w:val="top"/>
          </w:tcPr>
          <w:p>
            <w:pPr>
              <w:spacing w:before="390"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32" w:line="234" w:lineRule="auto"/>
              <w:ind w:left="104" w:right="83"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学生对本学院教师网上评教的加权平均分排名</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10"/>
                <w:w w:val="97"/>
                <w:sz w:val="21"/>
                <w:szCs w:val="21"/>
              </w:rPr>
              <w:t>前</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0"/>
                <w:w w:val="97"/>
                <w:sz w:val="21"/>
                <w:szCs w:val="21"/>
              </w:rPr>
              <w:t>3</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0"/>
                <w:w w:val="97"/>
                <w:sz w:val="21"/>
                <w:szCs w:val="21"/>
              </w:rPr>
              <w:t>名。加权平均分=学院实际平均分×参评率</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1"/>
                <w:w w:val="97"/>
                <w:sz w:val="21"/>
                <w:szCs w:val="21"/>
              </w:rPr>
              <w:t>+全校平均分的</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1"/>
                <w:w w:val="97"/>
                <w:sz w:val="21"/>
                <w:szCs w:val="21"/>
              </w:rPr>
              <w:t>90%×（1-参评率）。</w:t>
            </w:r>
          </w:p>
        </w:tc>
        <w:tc>
          <w:tcPr>
            <w:tcW w:w="4030" w:type="dxa"/>
            <w:vAlign w:val="top"/>
          </w:tcPr>
          <w:p>
            <w:pPr>
              <w:spacing w:before="201" w:line="245" w:lineRule="auto"/>
              <w:ind w:left="109" w:right="95"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学生对本学院教师网上评教的加权平均分</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4"/>
                <w:sz w:val="21"/>
                <w:szCs w:val="21"/>
              </w:rPr>
              <w:t>排名</w:t>
            </w:r>
            <w:r>
              <w:rPr>
                <w:rFonts w:ascii="方正书宋简体" w:hAnsi="方正书宋简体" w:eastAsia="方正书宋简体" w:cs="方正书宋简体"/>
                <w:spacing w:val="29"/>
                <w:w w:val="101"/>
                <w:sz w:val="21"/>
                <w:szCs w:val="21"/>
              </w:rPr>
              <w:t xml:space="preserve"> </w:t>
            </w:r>
            <w:r>
              <w:rPr>
                <w:rFonts w:ascii="方正书宋简体" w:hAnsi="方正书宋简体" w:eastAsia="方正书宋简体" w:cs="方正书宋简体"/>
                <w:spacing w:val="-4"/>
                <w:sz w:val="21"/>
                <w:szCs w:val="21"/>
              </w:rPr>
              <w:t>10～14</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rPr>
              <w:t>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1164" w:type="dxa"/>
            <w:vMerge w:val="restart"/>
            <w:tcBorders>
              <w:left w:val="single" w:color="000000" w:sz="6" w:space="0"/>
              <w:bottom w:val="nil"/>
            </w:tcBorders>
            <w:vAlign w:val="top"/>
          </w:tcPr>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2"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before="75" w:line="263" w:lineRule="auto"/>
              <w:ind w:left="105" w:firstLine="7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5.教学效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9"/>
                <w:sz w:val="21"/>
                <w:szCs w:val="21"/>
              </w:rPr>
              <w:t>果（24</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0"/>
                <w:w w:val="99"/>
                <w:sz w:val="21"/>
                <w:szCs w:val="21"/>
              </w:rPr>
              <w:t>分）</w:t>
            </w:r>
          </w:p>
        </w:tc>
        <w:tc>
          <w:tcPr>
            <w:tcW w:w="1076" w:type="dxa"/>
            <w:vAlign w:val="top"/>
          </w:tcPr>
          <w:p>
            <w:pPr>
              <w:spacing w:before="228" w:line="251" w:lineRule="auto"/>
              <w:ind w:left="330" w:right="172" w:hanging="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5.1</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招生</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录取</w:t>
            </w:r>
          </w:p>
        </w:tc>
        <w:tc>
          <w:tcPr>
            <w:tcW w:w="2021" w:type="dxa"/>
            <w:vAlign w:val="top"/>
          </w:tcPr>
          <w:p>
            <w:pPr>
              <w:spacing w:before="222" w:line="252" w:lineRule="auto"/>
              <w:ind w:left="490" w:right="169" w:hanging="3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第一志愿录取率与</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3"/>
                <w:sz w:val="21"/>
                <w:szCs w:val="21"/>
              </w:rPr>
              <w:t>录取平均分</w:t>
            </w:r>
          </w:p>
        </w:tc>
        <w:tc>
          <w:tcPr>
            <w:tcW w:w="479" w:type="dxa"/>
            <w:vAlign w:val="top"/>
          </w:tcPr>
          <w:p>
            <w:pPr>
              <w:spacing w:before="412"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65" w:line="221" w:lineRule="auto"/>
              <w:ind w:left="104"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各专业湖南省考生第一志愿录取率和录取</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9"/>
                <w:sz w:val="21"/>
                <w:szCs w:val="21"/>
              </w:rPr>
              <w:t>平均分高于控制线的加权平均值排名全校</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5"/>
                <w:sz w:val="21"/>
                <w:szCs w:val="21"/>
              </w:rPr>
              <w:t>前</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5"/>
                <w:sz w:val="21"/>
                <w:szCs w:val="21"/>
              </w:rPr>
              <w:t>3</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5"/>
                <w:sz w:val="21"/>
                <w:szCs w:val="21"/>
              </w:rPr>
              <w:t>名</w:t>
            </w:r>
          </w:p>
        </w:tc>
        <w:tc>
          <w:tcPr>
            <w:tcW w:w="4030" w:type="dxa"/>
            <w:vAlign w:val="top"/>
          </w:tcPr>
          <w:p>
            <w:pPr>
              <w:spacing w:before="64" w:line="221" w:lineRule="auto"/>
              <w:ind w:left="108" w:right="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各专业湖南省考生第一志愿录取率和录取</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4"/>
                <w:sz w:val="21"/>
                <w:szCs w:val="21"/>
              </w:rPr>
              <w:t>平均分高于控制线的加权平均值排名第</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10～14</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
                <w:sz w:val="21"/>
                <w:szCs w:val="21"/>
              </w:rPr>
              <w:t>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324" w:lineRule="auto"/>
              <w:rPr>
                <w:rFonts w:ascii="Malgun Gothic"/>
                <w:sz w:val="21"/>
              </w:rPr>
            </w:pPr>
          </w:p>
          <w:p>
            <w:pPr>
              <w:spacing w:before="75" w:line="180" w:lineRule="auto"/>
              <w:ind w:firstLine="16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5.2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学生</w:t>
            </w:r>
          </w:p>
          <w:p>
            <w:pPr>
              <w:spacing w:before="86"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指导与服</w:t>
            </w:r>
          </w:p>
          <w:p>
            <w:pPr>
              <w:spacing w:before="89" w:line="180" w:lineRule="auto"/>
              <w:ind w:firstLine="42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务</w:t>
            </w:r>
          </w:p>
        </w:tc>
        <w:tc>
          <w:tcPr>
            <w:tcW w:w="2021" w:type="dxa"/>
            <w:vAlign w:val="top"/>
          </w:tcPr>
          <w:p>
            <w:pPr>
              <w:spacing w:line="306" w:lineRule="auto"/>
              <w:rPr>
                <w:rFonts w:ascii="Malgun Gothic"/>
                <w:sz w:val="21"/>
              </w:rPr>
            </w:pPr>
          </w:p>
          <w:p>
            <w:pPr>
              <w:spacing w:before="75" w:line="251" w:lineRule="auto"/>
              <w:ind w:left="899" w:right="169" w:hanging="7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学生指导与服务效</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z w:val="21"/>
                <w:szCs w:val="21"/>
              </w:rPr>
              <w:t>果</w:t>
            </w:r>
          </w:p>
        </w:tc>
        <w:tc>
          <w:tcPr>
            <w:tcW w:w="479" w:type="dxa"/>
            <w:vAlign w:val="top"/>
          </w:tcPr>
          <w:p>
            <w:pPr>
              <w:spacing w:line="431" w:lineRule="auto"/>
              <w:rPr>
                <w:rFonts w:ascii="Malgun Gothic"/>
                <w:sz w:val="21"/>
              </w:rPr>
            </w:pPr>
          </w:p>
          <w:p>
            <w:pPr>
              <w:spacing w:before="7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70" w:line="233" w:lineRule="auto"/>
              <w:ind w:left="108" w:right="100"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学院重视学生指导与服务，</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8"/>
                <w:sz w:val="21"/>
                <w:szCs w:val="21"/>
              </w:rPr>
              <w:t>按规定配备导师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9"/>
                <w:sz w:val="21"/>
                <w:szCs w:val="21"/>
              </w:rPr>
              <w:t>和班级指导教师，</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9"/>
                <w:sz w:val="21"/>
                <w:szCs w:val="21"/>
              </w:rPr>
              <w:t>采取有效措施鼓励广大教</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师积极参与学生指导，</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9"/>
                <w:sz w:val="21"/>
                <w:szCs w:val="21"/>
              </w:rPr>
              <w:t>学生服务评价满意度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7"/>
                <w:sz w:val="21"/>
                <w:szCs w:val="21"/>
              </w:rPr>
              <w:t>高；</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0"/>
                <w:w w:val="97"/>
                <w:sz w:val="21"/>
                <w:szCs w:val="21"/>
              </w:rPr>
              <w:t>每学期召开学生座谈会</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w w:val="97"/>
                <w:sz w:val="21"/>
                <w:szCs w:val="21"/>
              </w:rPr>
              <w:t>2</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0"/>
                <w:w w:val="97"/>
                <w:sz w:val="21"/>
                <w:szCs w:val="21"/>
              </w:rPr>
              <w:t>次以上，</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0"/>
                <w:w w:val="97"/>
                <w:sz w:val="21"/>
                <w:szCs w:val="21"/>
              </w:rPr>
              <w:t>学生</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3"/>
                <w:sz w:val="21"/>
                <w:szCs w:val="21"/>
              </w:rPr>
              <w:t>意见和建议得到有效落实。</w:t>
            </w:r>
          </w:p>
        </w:tc>
        <w:tc>
          <w:tcPr>
            <w:tcW w:w="4030" w:type="dxa"/>
            <w:vAlign w:val="top"/>
          </w:tcPr>
          <w:p>
            <w:pPr>
              <w:spacing w:before="221" w:line="248" w:lineRule="auto"/>
              <w:ind w:left="110"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学院重视学生指导与服务，按规定配备导</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师或班级指导教师，学生服务评价满意度</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1"/>
                <w:sz w:val="21"/>
                <w:szCs w:val="21"/>
              </w:rPr>
              <w:t>较高；每学期召开学生座谈会，落实学生</w:t>
            </w:r>
            <w:r>
              <w:rPr>
                <w:rFonts w:ascii="方正书宋简体" w:hAnsi="方正书宋简体" w:eastAsia="方正书宋简体" w:cs="方正书宋简体"/>
                <w:spacing w:val="16"/>
                <w:w w:val="101"/>
                <w:sz w:val="21"/>
                <w:szCs w:val="21"/>
              </w:rPr>
              <w:t xml:space="preserve"> </w:t>
            </w:r>
            <w:r>
              <w:rPr>
                <w:rFonts w:ascii="方正书宋简体" w:hAnsi="方正书宋简体" w:eastAsia="方正书宋简体" w:cs="方正书宋简体"/>
                <w:spacing w:val="-5"/>
                <w:sz w:val="21"/>
                <w:szCs w:val="21"/>
              </w:rPr>
              <w:t>意见和建议。</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72" w:line="180" w:lineRule="auto"/>
              <w:ind w:firstLine="48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教学满意度</w:t>
            </w:r>
          </w:p>
        </w:tc>
        <w:tc>
          <w:tcPr>
            <w:tcW w:w="479" w:type="dxa"/>
            <w:vAlign w:val="top"/>
          </w:tcPr>
          <w:p>
            <w:pPr>
              <w:spacing w:before="104"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59" w:line="180" w:lineRule="auto"/>
              <w:ind w:firstLine="10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学生对教学满意度测评排名全校前</w:t>
            </w:r>
            <w:r>
              <w:rPr>
                <w:rFonts w:ascii="方正书宋简体" w:hAnsi="方正书宋简体" w:eastAsia="方正书宋简体" w:cs="方正书宋简体"/>
                <w:spacing w:val="12"/>
                <w:w w:val="101"/>
                <w:sz w:val="21"/>
                <w:szCs w:val="21"/>
              </w:rPr>
              <w:t xml:space="preserve"> </w:t>
            </w:r>
            <w:r>
              <w:rPr>
                <w:rFonts w:ascii="方正书宋简体" w:hAnsi="方正书宋简体" w:eastAsia="方正书宋简体" w:cs="方正书宋简体"/>
                <w:spacing w:val="-1"/>
                <w:sz w:val="21"/>
                <w:szCs w:val="21"/>
              </w:rPr>
              <w:t>3</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名</w:t>
            </w:r>
          </w:p>
        </w:tc>
        <w:tc>
          <w:tcPr>
            <w:tcW w:w="4030" w:type="dxa"/>
            <w:vAlign w:val="top"/>
          </w:tcPr>
          <w:p>
            <w:pPr>
              <w:spacing w:before="58"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1"/>
                <w:sz w:val="21"/>
                <w:szCs w:val="21"/>
              </w:rPr>
              <w:t>学生对教学满意度测评排名全校前第</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1"/>
                <w:sz w:val="21"/>
                <w:szCs w:val="21"/>
              </w:rPr>
              <w:t>10～14</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21"/>
                <w:sz w:val="21"/>
                <w:szCs w:val="21"/>
              </w:rPr>
              <w:t>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before="284" w:line="252" w:lineRule="auto"/>
              <w:ind w:left="318" w:right="172" w:hanging="15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5.3</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学风</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情况</w:t>
            </w:r>
          </w:p>
        </w:tc>
        <w:tc>
          <w:tcPr>
            <w:tcW w:w="2021" w:type="dxa"/>
            <w:vAlign w:val="top"/>
          </w:tcPr>
          <w:p>
            <w:pPr>
              <w:spacing w:before="100" w:line="180" w:lineRule="auto"/>
              <w:ind w:firstLine="48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学生到课率</w:t>
            </w:r>
          </w:p>
        </w:tc>
        <w:tc>
          <w:tcPr>
            <w:tcW w:w="479" w:type="dxa"/>
            <w:vAlign w:val="top"/>
          </w:tcPr>
          <w:p>
            <w:pPr>
              <w:spacing w:before="134"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100"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学校课堂抽查平均到课率≥90%</w:t>
            </w:r>
          </w:p>
        </w:tc>
        <w:tc>
          <w:tcPr>
            <w:tcW w:w="4030" w:type="dxa"/>
            <w:vAlign w:val="top"/>
          </w:tcPr>
          <w:p>
            <w:pPr>
              <w:spacing w:before="100"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学校课堂抽查平均到课率80—85%</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234" w:line="180" w:lineRule="auto"/>
              <w:ind w:firstLine="3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学生考试违规</w:t>
            </w:r>
          </w:p>
        </w:tc>
        <w:tc>
          <w:tcPr>
            <w:tcW w:w="479" w:type="dxa"/>
            <w:vAlign w:val="top"/>
          </w:tcPr>
          <w:p>
            <w:pPr>
              <w:spacing w:before="264"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232"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无学生作弊或违纪现象发生</w:t>
            </w:r>
          </w:p>
        </w:tc>
        <w:tc>
          <w:tcPr>
            <w:tcW w:w="4030" w:type="dxa"/>
            <w:vAlign w:val="top"/>
          </w:tcPr>
          <w:p>
            <w:pPr>
              <w:spacing w:before="75" w:line="206" w:lineRule="auto"/>
              <w:ind w:left="110" w:right="96"/>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考试违规学生比例在</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7"/>
                <w:sz w:val="21"/>
                <w:szCs w:val="21"/>
              </w:rPr>
              <w:t>0.5～1%，</w:t>
            </w:r>
            <w:r>
              <w:rPr>
                <w:rFonts w:ascii="方正书宋简体" w:hAnsi="方正书宋简体" w:eastAsia="方正书宋简体" w:cs="方正书宋简体"/>
                <w:spacing w:val="21"/>
                <w:sz w:val="21"/>
                <w:szCs w:val="21"/>
              </w:rPr>
              <w:t xml:space="preserve">  </w:t>
            </w:r>
            <w:r>
              <w:rPr>
                <w:rFonts w:ascii="方正书宋简体" w:hAnsi="方正书宋简体" w:eastAsia="方正书宋简体" w:cs="方正书宋简体"/>
                <w:spacing w:val="-7"/>
                <w:sz w:val="21"/>
                <w:szCs w:val="21"/>
              </w:rPr>
              <w:t>且无重大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考试违规现象</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line="278" w:lineRule="auto"/>
              <w:rPr>
                <w:rFonts w:ascii="Malgun Gothic"/>
                <w:sz w:val="21"/>
              </w:rPr>
            </w:pPr>
          </w:p>
          <w:p>
            <w:pPr>
              <w:spacing w:line="279" w:lineRule="auto"/>
              <w:rPr>
                <w:rFonts w:ascii="Malgun Gothic"/>
                <w:sz w:val="21"/>
              </w:rPr>
            </w:pPr>
          </w:p>
          <w:p>
            <w:pPr>
              <w:spacing w:before="75" w:line="180" w:lineRule="auto"/>
              <w:ind w:firstLine="16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5.4</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大学</w:t>
            </w:r>
          </w:p>
          <w:p>
            <w:pPr>
              <w:spacing w:before="87" w:line="180" w:lineRule="auto"/>
              <w:ind w:firstLine="11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生创新与</w:t>
            </w:r>
          </w:p>
          <w:p>
            <w:pPr>
              <w:spacing w:before="88" w:line="180" w:lineRule="auto"/>
              <w:ind w:firstLine="3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创业</w:t>
            </w:r>
          </w:p>
        </w:tc>
        <w:tc>
          <w:tcPr>
            <w:tcW w:w="2021" w:type="dxa"/>
            <w:vAlign w:val="top"/>
          </w:tcPr>
          <w:p>
            <w:pPr>
              <w:spacing w:before="79" w:line="180" w:lineRule="auto"/>
              <w:ind w:firstLine="1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大学生研究性学习</w:t>
            </w:r>
          </w:p>
          <w:p>
            <w:pPr>
              <w:spacing w:before="87" w:line="180" w:lineRule="auto"/>
              <w:ind w:firstLine="17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和创新性试验计划</w:t>
            </w:r>
          </w:p>
          <w:p>
            <w:pPr>
              <w:spacing w:before="88"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项目、创业项目</w:t>
            </w:r>
          </w:p>
        </w:tc>
        <w:tc>
          <w:tcPr>
            <w:tcW w:w="479" w:type="dxa"/>
            <w:vAlign w:val="top"/>
          </w:tcPr>
          <w:p>
            <w:pPr>
              <w:spacing w:before="422"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vAlign w:val="top"/>
          </w:tcPr>
          <w:p>
            <w:pPr>
              <w:spacing w:before="79" w:line="220" w:lineRule="auto"/>
              <w:ind w:left="103" w:right="100"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有省级及以上大学生研究性学习和创新性</w:t>
            </w:r>
            <w:r>
              <w:rPr>
                <w:rFonts w:ascii="方正书宋简体" w:hAnsi="方正书宋简体" w:eastAsia="方正书宋简体" w:cs="方正书宋简体"/>
                <w:spacing w:val="13"/>
                <w:w w:val="101"/>
                <w:sz w:val="21"/>
                <w:szCs w:val="21"/>
              </w:rPr>
              <w:t xml:space="preserve"> </w:t>
            </w:r>
            <w:r>
              <w:rPr>
                <w:rFonts w:ascii="方正书宋简体" w:hAnsi="方正书宋简体" w:eastAsia="方正书宋简体" w:cs="方正书宋简体"/>
                <w:spacing w:val="-8"/>
                <w:sz w:val="21"/>
                <w:szCs w:val="21"/>
              </w:rPr>
              <w:t>试验计划项目或大学生创业项目，</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8"/>
                <w:sz w:val="21"/>
                <w:szCs w:val="21"/>
              </w:rPr>
              <w:t>且项目按</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时结题</w:t>
            </w:r>
          </w:p>
        </w:tc>
        <w:tc>
          <w:tcPr>
            <w:tcW w:w="4030" w:type="dxa"/>
            <w:vAlign w:val="top"/>
          </w:tcPr>
          <w:p>
            <w:pPr>
              <w:spacing w:before="78" w:line="220" w:lineRule="auto"/>
              <w:ind w:left="109" w:right="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有校级大学生研究性学习和创新性试验计</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3"/>
                <w:sz w:val="21"/>
                <w:szCs w:val="21"/>
              </w:rPr>
              <w:t>划项目或大学生创业项目，且80%项目按</w:t>
            </w:r>
            <w:r>
              <w:rPr>
                <w:rFonts w:ascii="方正书宋简体" w:hAnsi="方正书宋简体" w:eastAsia="方正书宋简体" w:cs="方正书宋简体"/>
                <w:spacing w:val="15"/>
                <w:sz w:val="21"/>
                <w:szCs w:val="21"/>
              </w:rPr>
              <w:t xml:space="preserve"> </w:t>
            </w:r>
            <w:r>
              <w:rPr>
                <w:rFonts w:ascii="方正书宋简体" w:hAnsi="方正书宋简体" w:eastAsia="方正书宋简体" w:cs="方正书宋简体"/>
                <w:spacing w:val="-1"/>
                <w:sz w:val="21"/>
                <w:szCs w:val="21"/>
              </w:rPr>
              <w:t>时结题</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continue"/>
            <w:tcBorders>
              <w:top w:val="nil"/>
              <w:bottom w:val="nil"/>
            </w:tcBorders>
            <w:vAlign w:val="top"/>
          </w:tcPr>
          <w:p>
            <w:pPr>
              <w:rPr>
                <w:rFonts w:ascii="Malgun Gothic"/>
                <w:sz w:val="21"/>
              </w:rPr>
            </w:pPr>
          </w:p>
        </w:tc>
        <w:tc>
          <w:tcPr>
            <w:tcW w:w="2021" w:type="dxa"/>
            <w:vAlign w:val="top"/>
          </w:tcPr>
          <w:p>
            <w:pPr>
              <w:spacing w:before="78" w:line="206" w:lineRule="auto"/>
              <w:ind w:left="900" w:right="169" w:hanging="7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学生学术论文与专</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z w:val="21"/>
                <w:szCs w:val="21"/>
              </w:rPr>
              <w:t>利</w:t>
            </w:r>
          </w:p>
        </w:tc>
        <w:tc>
          <w:tcPr>
            <w:tcW w:w="479" w:type="dxa"/>
            <w:vAlign w:val="top"/>
          </w:tcPr>
          <w:p>
            <w:pPr>
              <w:spacing w:before="268"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77" w:line="207" w:lineRule="auto"/>
              <w:ind w:left="106" w:right="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在校学生第一作者公开发表学术论文和专</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1"/>
                <w:sz w:val="21"/>
                <w:szCs w:val="21"/>
              </w:rPr>
              <w:t>利作品数占学生总数的比例≥1%</w:t>
            </w:r>
          </w:p>
        </w:tc>
        <w:tc>
          <w:tcPr>
            <w:tcW w:w="4030" w:type="dxa"/>
            <w:vAlign w:val="top"/>
          </w:tcPr>
          <w:p>
            <w:pPr>
              <w:spacing w:before="79" w:line="207" w:lineRule="auto"/>
              <w:ind w:left="109" w:right="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有在校学生第一作者公开发表学术论文和</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1"/>
                <w:sz w:val="21"/>
                <w:szCs w:val="21"/>
              </w:rPr>
              <w:t>专利作品2篇</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7"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vMerge w:val="continue"/>
            <w:tcBorders>
              <w:top w:val="nil"/>
              <w:bottom w:val="single" w:color="000000" w:sz="6" w:space="0"/>
            </w:tcBorders>
            <w:vAlign w:val="top"/>
          </w:tcPr>
          <w:p>
            <w:pPr>
              <w:rPr>
                <w:rFonts w:ascii="Malgun Gothic"/>
                <w:sz w:val="21"/>
              </w:rPr>
            </w:pPr>
          </w:p>
        </w:tc>
        <w:tc>
          <w:tcPr>
            <w:tcW w:w="2021" w:type="dxa"/>
            <w:tcBorders>
              <w:bottom w:val="single" w:color="000000" w:sz="6" w:space="0"/>
            </w:tcBorders>
            <w:vAlign w:val="top"/>
          </w:tcPr>
          <w:p>
            <w:pPr>
              <w:spacing w:before="392" w:line="180" w:lineRule="auto"/>
              <w:ind w:firstLine="3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学科竞赛获奖</w:t>
            </w:r>
          </w:p>
        </w:tc>
        <w:tc>
          <w:tcPr>
            <w:tcW w:w="479" w:type="dxa"/>
            <w:tcBorders>
              <w:bottom w:val="single" w:color="000000" w:sz="6" w:space="0"/>
            </w:tcBorders>
            <w:vAlign w:val="top"/>
          </w:tcPr>
          <w:p>
            <w:pPr>
              <w:spacing w:before="427"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4172" w:type="dxa"/>
            <w:tcBorders>
              <w:bottom w:val="single" w:color="000000" w:sz="6" w:space="0"/>
            </w:tcBorders>
            <w:vAlign w:val="top"/>
          </w:tcPr>
          <w:p>
            <w:pPr>
              <w:spacing w:before="79" w:line="222" w:lineRule="auto"/>
              <w:ind w:left="104" w:right="100" w:firstLine="4"/>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获得学校规定学科竞赛省级一等奖及以上</w:t>
            </w:r>
            <w:r>
              <w:rPr>
                <w:rFonts w:ascii="方正书宋简体" w:hAnsi="方正书宋简体" w:eastAsia="方正书宋简体" w:cs="方正书宋简体"/>
                <w:spacing w:val="10"/>
                <w:w w:val="101"/>
                <w:sz w:val="21"/>
                <w:szCs w:val="21"/>
              </w:rPr>
              <w:t xml:space="preserve"> </w:t>
            </w:r>
            <w:r>
              <w:rPr>
                <w:rFonts w:ascii="方正书宋简体" w:hAnsi="方正书宋简体" w:eastAsia="方正书宋简体" w:cs="方正书宋简体"/>
                <w:spacing w:val="-9"/>
                <w:sz w:val="21"/>
                <w:szCs w:val="21"/>
              </w:rPr>
              <w:t>奖励，</w:t>
            </w:r>
            <w:r>
              <w:rPr>
                <w:rFonts w:ascii="方正书宋简体" w:hAnsi="方正书宋简体" w:eastAsia="方正书宋简体" w:cs="方正书宋简体"/>
                <w:spacing w:val="17"/>
                <w:w w:val="101"/>
                <w:sz w:val="21"/>
                <w:szCs w:val="21"/>
              </w:rPr>
              <w:t xml:space="preserve">  </w:t>
            </w:r>
            <w:r>
              <w:rPr>
                <w:rFonts w:ascii="方正书宋简体" w:hAnsi="方正书宋简体" w:eastAsia="方正书宋简体" w:cs="方正书宋简体"/>
                <w:spacing w:val="-9"/>
                <w:sz w:val="21"/>
                <w:szCs w:val="21"/>
              </w:rPr>
              <w:t>获省级及其以上各类学科竞赛、课外</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科技作品竞赛奖数量排名列全校前</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3</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名</w:t>
            </w:r>
          </w:p>
        </w:tc>
        <w:tc>
          <w:tcPr>
            <w:tcW w:w="4030" w:type="dxa"/>
            <w:tcBorders>
              <w:bottom w:val="single" w:color="000000" w:sz="6" w:space="0"/>
            </w:tcBorders>
            <w:vAlign w:val="top"/>
          </w:tcPr>
          <w:p>
            <w:pPr>
              <w:spacing w:before="234" w:line="247" w:lineRule="auto"/>
              <w:ind w:left="108" w:right="94" w:firstLine="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获省级及其以上各类学科竞赛、课外科技</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2"/>
                <w:sz w:val="21"/>
                <w:szCs w:val="21"/>
              </w:rPr>
              <w:t>作品竞赛奖的数量排名列全校</w:t>
            </w:r>
            <w:r>
              <w:rPr>
                <w:rFonts w:ascii="方正书宋简体" w:hAnsi="方正书宋简体" w:eastAsia="方正书宋简体" w:cs="方正书宋简体"/>
                <w:spacing w:val="33"/>
                <w:w w:val="101"/>
                <w:sz w:val="21"/>
                <w:szCs w:val="21"/>
              </w:rPr>
              <w:t xml:space="preserve"> </w:t>
            </w:r>
            <w:r>
              <w:rPr>
                <w:rFonts w:ascii="方正书宋简体" w:hAnsi="方正书宋简体" w:eastAsia="方正书宋简体" w:cs="方正书宋简体"/>
                <w:spacing w:val="-2"/>
                <w:sz w:val="21"/>
                <w:szCs w:val="21"/>
              </w:rPr>
              <w:t>10～14</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2"/>
                <w:sz w:val="21"/>
                <w:szCs w:val="21"/>
              </w:rPr>
              <w:t>名</w:t>
            </w:r>
          </w:p>
        </w:tc>
        <w:tc>
          <w:tcPr>
            <w:tcW w:w="670" w:type="dxa"/>
            <w:tcBorders>
              <w:bottom w:val="single" w:color="000000" w:sz="6" w:space="0"/>
              <w:right w:val="single" w:color="000000" w:sz="6" w:space="0"/>
            </w:tcBorders>
            <w:vAlign w:val="top"/>
          </w:tcPr>
          <w:p>
            <w:pPr>
              <w:rPr>
                <w:rFonts w:ascii="Malgun Gothic"/>
                <w:sz w:val="21"/>
              </w:rPr>
            </w:pPr>
          </w:p>
        </w:tc>
      </w:tr>
    </w:tbl>
    <w:p>
      <w:pPr>
        <w:spacing w:before="421"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316</w:t>
      </w:r>
    </w:p>
    <w:p>
      <w:pPr>
        <w:sectPr>
          <w:footerReference r:id="rId320" w:type="default"/>
          <w:pgSz w:w="16840" w:h="11905"/>
          <w:pgMar w:top="1011" w:right="1664" w:bottom="400" w:left="1547" w:header="0" w:footer="0" w:gutter="0"/>
          <w:cols w:space="720" w:num="1"/>
        </w:sectPr>
      </w:pPr>
    </w:p>
    <w:p/>
    <w:p/>
    <w:p>
      <w:pPr>
        <w:spacing w:line="92" w:lineRule="exact"/>
      </w:pPr>
    </w:p>
    <w:tbl>
      <w:tblPr>
        <w:tblStyle w:val="4"/>
        <w:tblW w:w="1361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76"/>
        <w:gridCol w:w="2021"/>
        <w:gridCol w:w="479"/>
        <w:gridCol w:w="4172"/>
        <w:gridCol w:w="4030"/>
        <w:gridCol w:w="6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164" w:type="dxa"/>
            <w:vMerge w:val="restart"/>
            <w:tcBorders>
              <w:top w:val="single" w:color="000000" w:sz="6" w:space="0"/>
              <w:left w:val="single" w:color="000000" w:sz="6" w:space="0"/>
              <w:bottom w:val="nil"/>
            </w:tcBorders>
            <w:vAlign w:val="top"/>
          </w:tcPr>
          <w:p>
            <w:pPr>
              <w:spacing w:before="43" w:line="203" w:lineRule="auto"/>
              <w:ind w:firstLine="375"/>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一级</w:t>
            </w:r>
          </w:p>
          <w:p>
            <w:pPr>
              <w:spacing w:line="200" w:lineRule="auto"/>
              <w:ind w:firstLine="36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1076" w:type="dxa"/>
            <w:vMerge w:val="restart"/>
            <w:tcBorders>
              <w:top w:val="single" w:color="000000" w:sz="6" w:space="0"/>
              <w:bottom w:val="nil"/>
            </w:tcBorders>
            <w:vAlign w:val="top"/>
          </w:tcPr>
          <w:p>
            <w:pPr>
              <w:spacing w:before="43" w:line="203" w:lineRule="auto"/>
              <w:ind w:firstLine="328"/>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二级</w:t>
            </w:r>
          </w:p>
          <w:p>
            <w:pPr>
              <w:spacing w:line="200" w:lineRule="auto"/>
              <w:ind w:firstLine="32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指标</w:t>
            </w:r>
          </w:p>
        </w:tc>
        <w:tc>
          <w:tcPr>
            <w:tcW w:w="2021" w:type="dxa"/>
            <w:vMerge w:val="restart"/>
            <w:tcBorders>
              <w:top w:val="single" w:color="000000" w:sz="6" w:space="0"/>
              <w:bottom w:val="nil"/>
            </w:tcBorders>
            <w:vAlign w:val="top"/>
          </w:tcPr>
          <w:p>
            <w:pPr>
              <w:spacing w:before="198" w:line="180" w:lineRule="auto"/>
              <w:ind w:firstLine="48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主要观测点</w:t>
            </w:r>
          </w:p>
        </w:tc>
        <w:tc>
          <w:tcPr>
            <w:tcW w:w="479" w:type="dxa"/>
            <w:vMerge w:val="restart"/>
            <w:tcBorders>
              <w:top w:val="single" w:color="000000" w:sz="6" w:space="0"/>
              <w:bottom w:val="nil"/>
            </w:tcBorders>
            <w:textDirection w:val="tbRlV"/>
            <w:vAlign w:val="top"/>
          </w:tcPr>
          <w:p>
            <w:pPr>
              <w:spacing w:before="131" w:line="180" w:lineRule="auto"/>
              <w:ind w:firstLine="43"/>
              <w:rPr>
                <w:rFonts w:ascii="Microsoft JhengHei" w:hAnsi="Microsoft JhengHei" w:eastAsia="Microsoft JhengHei" w:cs="Microsoft JhengHei"/>
                <w:sz w:val="21"/>
                <w:szCs w:val="21"/>
              </w:rPr>
            </w:pPr>
            <w:r>
              <w:rPr>
                <w:rFonts w:ascii="Microsoft JhengHei" w:hAnsi="Microsoft JhengHei" w:eastAsia="Microsoft JhengHei" w:cs="Microsoft JhengHei"/>
                <w:spacing w:val="22"/>
                <w:w w:val="102"/>
                <w:sz w:val="21"/>
                <w:szCs w:val="21"/>
              </w:rPr>
              <w:t>分</w:t>
            </w:r>
            <w:r>
              <w:rPr>
                <w:rFonts w:ascii="Microsoft JhengHei" w:hAnsi="Microsoft JhengHei" w:eastAsia="Microsoft JhengHei" w:cs="Microsoft JhengHei"/>
                <w:spacing w:val="18"/>
                <w:w w:val="101"/>
                <w:sz w:val="21"/>
                <w:szCs w:val="21"/>
              </w:rPr>
              <w:t xml:space="preserve"> </w:t>
            </w:r>
            <w:r>
              <w:rPr>
                <w:rFonts w:ascii="Microsoft JhengHei" w:hAnsi="Microsoft JhengHei" w:eastAsia="Microsoft JhengHei" w:cs="Microsoft JhengHei"/>
                <w:spacing w:val="22"/>
                <w:w w:val="102"/>
                <w:sz w:val="21"/>
                <w:szCs w:val="21"/>
              </w:rPr>
              <w:t>值</w:t>
            </w:r>
          </w:p>
        </w:tc>
        <w:tc>
          <w:tcPr>
            <w:tcW w:w="8202" w:type="dxa"/>
            <w:gridSpan w:val="2"/>
            <w:tcBorders>
              <w:top w:val="single" w:color="000000" w:sz="6" w:space="0"/>
            </w:tcBorders>
            <w:vAlign w:val="top"/>
          </w:tcPr>
          <w:p>
            <w:pPr>
              <w:spacing w:before="43" w:line="180" w:lineRule="auto"/>
              <w:ind w:firstLine="3687"/>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评分标准</w:t>
            </w:r>
          </w:p>
        </w:tc>
        <w:tc>
          <w:tcPr>
            <w:tcW w:w="670" w:type="dxa"/>
            <w:vMerge w:val="restart"/>
            <w:tcBorders>
              <w:top w:val="single" w:color="000000" w:sz="6" w:space="0"/>
              <w:bottom w:val="nil"/>
              <w:right w:val="single" w:color="000000" w:sz="6" w:space="0"/>
            </w:tcBorders>
            <w:vAlign w:val="top"/>
          </w:tcPr>
          <w:p>
            <w:pPr>
              <w:spacing w:before="198" w:line="180" w:lineRule="auto"/>
              <w:ind w:firstLine="130"/>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Merge w:val="continue"/>
            <w:tcBorders>
              <w:top w:val="nil"/>
            </w:tcBorders>
            <w:vAlign w:val="top"/>
          </w:tcPr>
          <w:p>
            <w:pPr>
              <w:rPr>
                <w:rFonts w:ascii="Malgun Gothic"/>
                <w:sz w:val="21"/>
              </w:rPr>
            </w:pPr>
          </w:p>
        </w:tc>
        <w:tc>
          <w:tcPr>
            <w:tcW w:w="479" w:type="dxa"/>
            <w:vMerge w:val="continue"/>
            <w:tcBorders>
              <w:top w:val="nil"/>
            </w:tcBorders>
            <w:textDirection w:val="tbRlV"/>
            <w:vAlign w:val="top"/>
          </w:tcPr>
          <w:p>
            <w:pPr>
              <w:rPr>
                <w:rFonts w:ascii="Malgun Gothic"/>
                <w:sz w:val="21"/>
              </w:rPr>
            </w:pPr>
          </w:p>
        </w:tc>
        <w:tc>
          <w:tcPr>
            <w:tcW w:w="4172" w:type="dxa"/>
            <w:vAlign w:val="top"/>
          </w:tcPr>
          <w:p>
            <w:pPr>
              <w:spacing w:before="38" w:line="180" w:lineRule="auto"/>
              <w:ind w:firstLine="1469"/>
              <w:rPr>
                <w:rFonts w:ascii="Microsoft JhengHei" w:hAnsi="Microsoft JhengHei" w:eastAsia="Microsoft JhengHei" w:cs="Microsoft JhengHei"/>
                <w:sz w:val="21"/>
                <w:szCs w:val="21"/>
              </w:rPr>
            </w:pPr>
            <w:r>
              <w:rPr>
                <w:rFonts w:ascii="Microsoft JhengHei" w:hAnsi="Microsoft JhengHei" w:eastAsia="Microsoft JhengHei" w:cs="Microsoft JhengHei"/>
                <w:spacing w:val="-4"/>
                <w:sz w:val="21"/>
                <w:szCs w:val="21"/>
              </w:rPr>
              <w:t>A（K1=1.0）</w:t>
            </w:r>
          </w:p>
        </w:tc>
        <w:tc>
          <w:tcPr>
            <w:tcW w:w="4030" w:type="dxa"/>
            <w:vAlign w:val="top"/>
          </w:tcPr>
          <w:p>
            <w:pPr>
              <w:spacing w:before="38" w:line="180" w:lineRule="auto"/>
              <w:ind w:firstLine="1402"/>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C（K3=0.6）</w:t>
            </w:r>
          </w:p>
        </w:tc>
        <w:tc>
          <w:tcPr>
            <w:tcW w:w="670"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1164" w:type="dxa"/>
            <w:vMerge w:val="restart"/>
            <w:tcBorders>
              <w:left w:val="single" w:color="000000" w:sz="6" w:space="0"/>
              <w:bottom w:val="nil"/>
            </w:tcBorders>
            <w:vAlign w:val="top"/>
          </w:tcPr>
          <w:p>
            <w:pPr>
              <w:spacing w:line="274" w:lineRule="auto"/>
              <w:rPr>
                <w:rFonts w:ascii="Malgun Gothic"/>
                <w:sz w:val="21"/>
              </w:rPr>
            </w:pPr>
          </w:p>
          <w:p>
            <w:pPr>
              <w:spacing w:line="274" w:lineRule="auto"/>
              <w:rPr>
                <w:rFonts w:ascii="Malgun Gothic"/>
                <w:sz w:val="21"/>
              </w:rPr>
            </w:pPr>
          </w:p>
          <w:p>
            <w:pPr>
              <w:spacing w:before="76" w:line="263" w:lineRule="auto"/>
              <w:ind w:left="105" w:firstLine="7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5.教学效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9"/>
                <w:sz w:val="21"/>
                <w:szCs w:val="21"/>
              </w:rPr>
              <w:t>果（24</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0"/>
                <w:w w:val="99"/>
                <w:sz w:val="21"/>
                <w:szCs w:val="21"/>
              </w:rPr>
              <w:t>分）</w:t>
            </w:r>
          </w:p>
        </w:tc>
        <w:tc>
          <w:tcPr>
            <w:tcW w:w="1076" w:type="dxa"/>
            <w:vAlign w:val="top"/>
          </w:tcPr>
          <w:p>
            <w:pPr>
              <w:spacing w:before="221" w:line="251" w:lineRule="auto"/>
              <w:ind w:left="320" w:right="172" w:hanging="15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5.5</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等级</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考试</w:t>
            </w:r>
          </w:p>
        </w:tc>
        <w:tc>
          <w:tcPr>
            <w:tcW w:w="2021" w:type="dxa"/>
            <w:vAlign w:val="top"/>
          </w:tcPr>
          <w:p>
            <w:pPr>
              <w:spacing w:before="67" w:line="180" w:lineRule="auto"/>
              <w:ind w:firstLine="1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应届本科毕业生英</w:t>
            </w:r>
          </w:p>
          <w:p>
            <w:pPr>
              <w:spacing w:before="88" w:line="180" w:lineRule="auto"/>
              <w:ind w:firstLine="16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语四级考试累计通</w:t>
            </w:r>
          </w:p>
          <w:p>
            <w:pPr>
              <w:spacing w:before="86" w:line="180" w:lineRule="auto"/>
              <w:ind w:firstLine="79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过率</w:t>
            </w:r>
          </w:p>
        </w:tc>
        <w:tc>
          <w:tcPr>
            <w:tcW w:w="479" w:type="dxa"/>
            <w:vAlign w:val="top"/>
          </w:tcPr>
          <w:p>
            <w:pPr>
              <w:spacing w:before="412"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63" w:line="222" w:lineRule="auto"/>
              <w:ind w:left="105" w:right="99"/>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非英语专业四级通过率≥75%，</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7"/>
                <w:sz w:val="21"/>
                <w:szCs w:val="21"/>
              </w:rPr>
              <w:t>外语类专业</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z w:val="21"/>
                <w:szCs w:val="21"/>
              </w:rPr>
              <w:t>专业四级通过率≥70%，音体美英语应用能</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
                <w:sz w:val="21"/>
                <w:szCs w:val="21"/>
              </w:rPr>
              <w:t>力通过率≥90%</w:t>
            </w:r>
          </w:p>
        </w:tc>
        <w:tc>
          <w:tcPr>
            <w:tcW w:w="4030" w:type="dxa"/>
            <w:vAlign w:val="top"/>
          </w:tcPr>
          <w:p>
            <w:pPr>
              <w:spacing w:before="64" w:line="246" w:lineRule="auto"/>
              <w:ind w:left="108" w:right="94"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非英语专业四级通过率≥60%，外语类专</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3"/>
                <w:sz w:val="21"/>
                <w:szCs w:val="21"/>
              </w:rPr>
              <w:t>业专业四级通过率≥60%，音体美英语应</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用能力通过率≥70%</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7" w:hRule="atLeast"/>
        </w:trPr>
        <w:tc>
          <w:tcPr>
            <w:tcW w:w="1164" w:type="dxa"/>
            <w:vMerge w:val="continue"/>
            <w:tcBorders>
              <w:top w:val="nil"/>
              <w:left w:val="single" w:color="000000" w:sz="6" w:space="0"/>
              <w:bottom w:val="nil"/>
            </w:tcBorders>
            <w:vAlign w:val="top"/>
          </w:tcPr>
          <w:p>
            <w:pPr>
              <w:rPr>
                <w:rFonts w:ascii="Malgun Gothic"/>
                <w:sz w:val="21"/>
              </w:rPr>
            </w:pPr>
          </w:p>
        </w:tc>
        <w:tc>
          <w:tcPr>
            <w:tcW w:w="1076" w:type="dxa"/>
            <w:vMerge w:val="restart"/>
            <w:tcBorders>
              <w:bottom w:val="nil"/>
            </w:tcBorders>
            <w:vAlign w:val="top"/>
          </w:tcPr>
          <w:p>
            <w:pPr>
              <w:spacing w:before="407" w:line="251" w:lineRule="auto"/>
              <w:ind w:left="218" w:right="172" w:hanging="5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5.6</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3"/>
                <w:sz w:val="21"/>
                <w:szCs w:val="21"/>
              </w:rPr>
              <w:t>毕业</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生就业</w:t>
            </w:r>
          </w:p>
        </w:tc>
        <w:tc>
          <w:tcPr>
            <w:tcW w:w="2021" w:type="dxa"/>
            <w:vAlign w:val="top"/>
          </w:tcPr>
          <w:p>
            <w:pPr>
              <w:spacing w:before="69" w:line="206" w:lineRule="auto"/>
              <w:ind w:left="164" w:right="169" w:firstLine="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考取研究生占应届</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本科毕业生的比例</w:t>
            </w:r>
          </w:p>
        </w:tc>
        <w:tc>
          <w:tcPr>
            <w:tcW w:w="479" w:type="dxa"/>
            <w:vAlign w:val="top"/>
          </w:tcPr>
          <w:p>
            <w:pPr>
              <w:spacing w:before="258"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225"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考研录取比例列全校前</w:t>
            </w:r>
            <w:r>
              <w:rPr>
                <w:rFonts w:ascii="方正书宋简体" w:hAnsi="方正书宋简体" w:eastAsia="方正书宋简体" w:cs="方正书宋简体"/>
                <w:spacing w:val="18"/>
                <w:w w:val="101"/>
                <w:sz w:val="21"/>
                <w:szCs w:val="21"/>
              </w:rPr>
              <w:t xml:space="preserve"> </w:t>
            </w:r>
            <w:r>
              <w:rPr>
                <w:rFonts w:ascii="方正书宋简体" w:hAnsi="方正书宋简体" w:eastAsia="方正书宋简体" w:cs="方正书宋简体"/>
                <w:spacing w:val="-2"/>
                <w:sz w:val="21"/>
                <w:szCs w:val="21"/>
              </w:rPr>
              <w:t>3</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2"/>
                <w:sz w:val="21"/>
                <w:szCs w:val="21"/>
              </w:rPr>
              <w:t>名</w:t>
            </w:r>
          </w:p>
        </w:tc>
        <w:tc>
          <w:tcPr>
            <w:tcW w:w="4030" w:type="dxa"/>
            <w:vAlign w:val="top"/>
          </w:tcPr>
          <w:p>
            <w:pPr>
              <w:spacing w:before="225"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考研录取比例列全校</w:t>
            </w:r>
            <w:r>
              <w:rPr>
                <w:rFonts w:ascii="方正书宋简体" w:hAnsi="方正书宋简体" w:eastAsia="方正书宋简体" w:cs="方正书宋简体"/>
                <w:spacing w:val="26"/>
                <w:w w:val="101"/>
                <w:sz w:val="21"/>
                <w:szCs w:val="21"/>
              </w:rPr>
              <w:t xml:space="preserve"> </w:t>
            </w:r>
            <w:r>
              <w:rPr>
                <w:rFonts w:ascii="方正书宋简体" w:hAnsi="方正书宋简体" w:eastAsia="方正书宋简体" w:cs="方正书宋简体"/>
                <w:spacing w:val="-2"/>
                <w:sz w:val="21"/>
                <w:szCs w:val="21"/>
              </w:rPr>
              <w:t>10～14</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2"/>
                <w:sz w:val="21"/>
                <w:szCs w:val="21"/>
              </w:rPr>
              <w:t>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trPr>
        <w:tc>
          <w:tcPr>
            <w:tcW w:w="1164" w:type="dxa"/>
            <w:vMerge w:val="continue"/>
            <w:tcBorders>
              <w:top w:val="nil"/>
              <w:left w:val="single" w:color="000000" w:sz="6" w:space="0"/>
            </w:tcBorders>
            <w:vAlign w:val="top"/>
          </w:tcPr>
          <w:p>
            <w:pPr>
              <w:rPr>
                <w:rFonts w:ascii="Malgun Gothic"/>
                <w:sz w:val="21"/>
              </w:rPr>
            </w:pPr>
          </w:p>
        </w:tc>
        <w:tc>
          <w:tcPr>
            <w:tcW w:w="1076" w:type="dxa"/>
            <w:vMerge w:val="continue"/>
            <w:tcBorders>
              <w:top w:val="nil"/>
            </w:tcBorders>
            <w:vAlign w:val="top"/>
          </w:tcPr>
          <w:p>
            <w:pPr>
              <w:rPr>
                <w:rFonts w:ascii="Malgun Gothic"/>
                <w:sz w:val="21"/>
              </w:rPr>
            </w:pPr>
          </w:p>
        </w:tc>
        <w:tc>
          <w:tcPr>
            <w:tcW w:w="2021" w:type="dxa"/>
            <w:vAlign w:val="top"/>
          </w:tcPr>
          <w:p>
            <w:pPr>
              <w:spacing w:before="72" w:line="206" w:lineRule="auto"/>
              <w:ind w:left="375" w:right="169" w:hanging="19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已就业学生占应届</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毕业生的比例</w:t>
            </w:r>
          </w:p>
        </w:tc>
        <w:tc>
          <w:tcPr>
            <w:tcW w:w="479" w:type="dxa"/>
            <w:vAlign w:val="top"/>
          </w:tcPr>
          <w:p>
            <w:pPr>
              <w:spacing w:before="261"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4172" w:type="dxa"/>
            <w:vAlign w:val="top"/>
          </w:tcPr>
          <w:p>
            <w:pPr>
              <w:spacing w:before="215" w:line="180" w:lineRule="auto"/>
              <w:ind w:firstLine="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初次就业率≥90%，且全校排名前3</w:t>
            </w:r>
          </w:p>
        </w:tc>
        <w:tc>
          <w:tcPr>
            <w:tcW w:w="4030" w:type="dxa"/>
            <w:vAlign w:val="top"/>
          </w:tcPr>
          <w:p>
            <w:pPr>
              <w:spacing w:before="216"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就业率排名全校10～14名</w:t>
            </w:r>
          </w:p>
        </w:tc>
        <w:tc>
          <w:tcPr>
            <w:tcW w:w="670"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3" w:hRule="atLeast"/>
        </w:trPr>
        <w:tc>
          <w:tcPr>
            <w:tcW w:w="1164" w:type="dxa"/>
            <w:vMerge w:val="restart"/>
            <w:tcBorders>
              <w:left w:val="single" w:color="000000" w:sz="6" w:space="0"/>
              <w:bottom w:val="nil"/>
            </w:tcBorders>
            <w:vAlign w:val="top"/>
          </w:tcPr>
          <w:p>
            <w:pPr>
              <w:spacing w:line="299" w:lineRule="auto"/>
              <w:rPr>
                <w:rFonts w:ascii="Malgun Gothic"/>
                <w:sz w:val="21"/>
              </w:rPr>
            </w:pPr>
          </w:p>
          <w:p>
            <w:pPr>
              <w:spacing w:line="300" w:lineRule="auto"/>
              <w:rPr>
                <w:rFonts w:ascii="Malgun Gothic"/>
                <w:sz w:val="21"/>
              </w:rPr>
            </w:pPr>
          </w:p>
          <w:p>
            <w:pPr>
              <w:spacing w:line="300" w:lineRule="auto"/>
              <w:rPr>
                <w:rFonts w:ascii="Malgun Gothic"/>
                <w:sz w:val="21"/>
              </w:rPr>
            </w:pPr>
          </w:p>
          <w:p>
            <w:pPr>
              <w:spacing w:before="75" w:line="253" w:lineRule="auto"/>
              <w:ind w:left="509" w:right="186" w:hanging="32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6.附加项</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z w:val="21"/>
                <w:szCs w:val="21"/>
              </w:rPr>
              <w:t>目</w:t>
            </w:r>
          </w:p>
        </w:tc>
        <w:tc>
          <w:tcPr>
            <w:tcW w:w="1076" w:type="dxa"/>
            <w:vAlign w:val="top"/>
          </w:tcPr>
          <w:p>
            <w:pPr>
              <w:spacing w:line="330" w:lineRule="auto"/>
              <w:rPr>
                <w:rFonts w:ascii="Malgun Gothic"/>
                <w:sz w:val="21"/>
              </w:rPr>
            </w:pPr>
          </w:p>
          <w:p>
            <w:pPr>
              <w:spacing w:line="330" w:lineRule="auto"/>
              <w:rPr>
                <w:rFonts w:ascii="Malgun Gothic"/>
                <w:sz w:val="21"/>
              </w:rPr>
            </w:pPr>
          </w:p>
          <w:p>
            <w:pPr>
              <w:spacing w:before="76" w:line="180" w:lineRule="auto"/>
              <w:ind w:firstLine="16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加分项*</w:t>
            </w:r>
          </w:p>
        </w:tc>
        <w:tc>
          <w:tcPr>
            <w:tcW w:w="2021" w:type="dxa"/>
            <w:vAlign w:val="top"/>
          </w:tcPr>
          <w:p>
            <w:pPr>
              <w:spacing w:line="278" w:lineRule="auto"/>
              <w:rPr>
                <w:rFonts w:ascii="Malgun Gothic"/>
                <w:sz w:val="21"/>
              </w:rPr>
            </w:pPr>
          </w:p>
          <w:p>
            <w:pPr>
              <w:spacing w:line="278" w:lineRule="auto"/>
              <w:rPr>
                <w:rFonts w:ascii="Malgun Gothic"/>
                <w:sz w:val="21"/>
              </w:rPr>
            </w:pPr>
          </w:p>
          <w:p>
            <w:pPr>
              <w:spacing w:before="76" w:line="251" w:lineRule="auto"/>
              <w:ind w:left="898" w:right="105" w:hanging="7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国家、省级项目与成</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z w:val="21"/>
                <w:szCs w:val="21"/>
              </w:rPr>
              <w:t>果</w:t>
            </w:r>
          </w:p>
        </w:tc>
        <w:tc>
          <w:tcPr>
            <w:tcW w:w="479" w:type="dxa"/>
            <w:vAlign w:val="top"/>
          </w:tcPr>
          <w:p>
            <w:pPr>
              <w:spacing w:line="339" w:lineRule="auto"/>
              <w:rPr>
                <w:rFonts w:ascii="Malgun Gothic"/>
                <w:sz w:val="21"/>
              </w:rPr>
            </w:pPr>
          </w:p>
          <w:p>
            <w:pPr>
              <w:spacing w:line="340" w:lineRule="auto"/>
              <w:rPr>
                <w:rFonts w:ascii="Malgun Gothic"/>
                <w:sz w:val="21"/>
              </w:rPr>
            </w:pPr>
          </w:p>
          <w:p>
            <w:pPr>
              <w:spacing w:before="76"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8202" w:type="dxa"/>
            <w:gridSpan w:val="2"/>
            <w:vAlign w:val="top"/>
          </w:tcPr>
          <w:p>
            <w:pPr>
              <w:spacing w:before="70" w:line="267" w:lineRule="auto"/>
              <w:ind w:right="96" w:firstLine="11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①获得省级教学成果一等奖、二等奖、三等奖的，每项分别加</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2"/>
                <w:sz w:val="21"/>
                <w:szCs w:val="21"/>
              </w:rPr>
              <w:t>5</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分、3</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分、2</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②获得国家级（省级）本科教学质量工程项目，每项分别加</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
                <w:sz w:val="21"/>
                <w:szCs w:val="21"/>
              </w:rPr>
              <w:t>4</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分（2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分</w:t>
            </w:r>
            <w:r>
              <w:rPr>
                <w:rFonts w:ascii="方正书宋简体" w:hAnsi="方正书宋简体" w:eastAsia="方正书宋简体" w:cs="方正书宋简体"/>
                <w:spacing w:val="-38"/>
                <w:sz w:val="21"/>
                <w:szCs w:val="21"/>
              </w:rPr>
              <w:t>）；</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③获得国家级（省级）教学竞赛一等奖、二等奖的，每项分别加</w:t>
            </w:r>
            <w:r>
              <w:rPr>
                <w:rFonts w:ascii="方正书宋简体" w:hAnsi="方正书宋简体" w:eastAsia="方正书宋简体" w:cs="方正书宋简体"/>
                <w:spacing w:val="27"/>
                <w:sz w:val="21"/>
                <w:szCs w:val="21"/>
              </w:rPr>
              <w:t xml:space="preserve"> </w:t>
            </w:r>
            <w:r>
              <w:rPr>
                <w:rFonts w:ascii="方正书宋简体" w:hAnsi="方正书宋简体" w:eastAsia="方正书宋简体" w:cs="方正书宋简体"/>
                <w:spacing w:val="1"/>
                <w:sz w:val="21"/>
                <w:szCs w:val="21"/>
              </w:rPr>
              <w:t>5（3）分、3（1）分；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④获国家级（省级）规划教材每项分别加</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2"/>
                <w:sz w:val="21"/>
                <w:szCs w:val="21"/>
              </w:rPr>
              <w:t>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w:t>
            </w:r>
            <w:r>
              <w:rPr>
                <w:rFonts w:ascii="方正书宋简体" w:hAnsi="方正书宋简体" w:eastAsia="方正书宋简体" w:cs="方正书宋简体"/>
                <w:spacing w:val="-46"/>
                <w:sz w:val="21"/>
                <w:szCs w:val="21"/>
              </w:rPr>
              <w:t>）；</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⑤学生获得学校规定国家级（省级）</w:t>
            </w:r>
            <w:r>
              <w:rPr>
                <w:rFonts w:ascii="方正书宋简体" w:hAnsi="方正书宋简体" w:eastAsia="方正书宋简体" w:cs="方正书宋简体"/>
                <w:spacing w:val="79"/>
                <w:sz w:val="21"/>
                <w:szCs w:val="21"/>
              </w:rPr>
              <w:t xml:space="preserve"> </w:t>
            </w:r>
            <w:r>
              <w:rPr>
                <w:rFonts w:ascii="方正书宋简体" w:hAnsi="方正书宋简体" w:eastAsia="方正书宋简体" w:cs="方正书宋简体"/>
                <w:spacing w:val="-1"/>
                <w:sz w:val="21"/>
                <w:szCs w:val="21"/>
              </w:rPr>
              <w:t>A</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
                <w:sz w:val="21"/>
                <w:szCs w:val="21"/>
              </w:rPr>
              <w:t>类学科竞赛一等奖、二等奖的，每项分别加</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4</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
                <w:sz w:val="21"/>
                <w:szCs w:val="21"/>
              </w:rPr>
              <w:t>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w w:val="95"/>
                <w:sz w:val="21"/>
                <w:szCs w:val="21"/>
              </w:rPr>
              <w:t>（2</w:t>
            </w:r>
            <w:r>
              <w:rPr>
                <w:rFonts w:ascii="方正书宋简体" w:hAnsi="方正书宋简体" w:eastAsia="方正书宋简体" w:cs="方正书宋简体"/>
                <w:spacing w:val="22"/>
                <w:sz w:val="21"/>
                <w:szCs w:val="21"/>
              </w:rPr>
              <w:t xml:space="preserve"> </w:t>
            </w:r>
            <w:r>
              <w:rPr>
                <w:rFonts w:ascii="方正书宋简体" w:hAnsi="方正书宋简体" w:eastAsia="方正书宋简体" w:cs="方正书宋简体"/>
                <w:spacing w:val="-10"/>
                <w:w w:val="95"/>
                <w:sz w:val="21"/>
                <w:szCs w:val="21"/>
              </w:rPr>
              <w:t>分）、2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10"/>
                <w:w w:val="95"/>
                <w:sz w:val="21"/>
                <w:szCs w:val="21"/>
              </w:rPr>
              <w:t>分（1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0"/>
                <w:w w:val="95"/>
                <w:sz w:val="21"/>
                <w:szCs w:val="21"/>
              </w:rPr>
              <w:t>分）。</w:t>
            </w:r>
          </w:p>
          <w:p>
            <w:pPr>
              <w:spacing w:before="2" w:line="202" w:lineRule="auto"/>
              <w:ind w:firstLine="1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以上每个单项最高积分不超过</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2"/>
                <w:sz w:val="21"/>
                <w:szCs w:val="21"/>
              </w:rPr>
              <w:t>5</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w:t>
            </w:r>
          </w:p>
        </w:tc>
        <w:tc>
          <w:tcPr>
            <w:tcW w:w="670" w:type="dxa"/>
            <w:tcBorders>
              <w:right w:val="single" w:color="000000" w:sz="6" w:space="0"/>
            </w:tcBorders>
            <w:vAlign w:val="top"/>
          </w:tcPr>
          <w:p>
            <w:pPr>
              <w:spacing w:line="278" w:lineRule="auto"/>
              <w:rPr>
                <w:rFonts w:ascii="Malgun Gothic"/>
                <w:sz w:val="21"/>
              </w:rPr>
            </w:pPr>
          </w:p>
          <w:p>
            <w:pPr>
              <w:spacing w:line="278" w:lineRule="auto"/>
              <w:rPr>
                <w:rFonts w:ascii="Malgun Gothic"/>
                <w:sz w:val="21"/>
              </w:rPr>
            </w:pPr>
          </w:p>
          <w:p>
            <w:pPr>
              <w:spacing w:before="75" w:line="252" w:lineRule="auto"/>
              <w:ind w:left="128" w:right="11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等比</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sz w:val="21"/>
                <w:szCs w:val="21"/>
              </w:rPr>
              <w:t>积分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1164" w:type="dxa"/>
            <w:vMerge w:val="continue"/>
            <w:tcBorders>
              <w:top w:val="nil"/>
              <w:left w:val="single" w:color="000000" w:sz="6" w:space="0"/>
              <w:bottom w:val="single" w:color="000000" w:sz="6" w:space="0"/>
            </w:tcBorders>
            <w:vAlign w:val="top"/>
          </w:tcPr>
          <w:p>
            <w:pPr>
              <w:rPr>
                <w:rFonts w:ascii="Malgun Gothic"/>
                <w:sz w:val="21"/>
              </w:rPr>
            </w:pPr>
          </w:p>
        </w:tc>
        <w:tc>
          <w:tcPr>
            <w:tcW w:w="1076" w:type="dxa"/>
            <w:tcBorders>
              <w:bottom w:val="single" w:color="000000" w:sz="6" w:space="0"/>
            </w:tcBorders>
            <w:vAlign w:val="top"/>
          </w:tcPr>
          <w:p>
            <w:pPr>
              <w:spacing w:before="417" w:line="180" w:lineRule="auto"/>
              <w:ind w:firstLine="2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减分项</w:t>
            </w:r>
          </w:p>
        </w:tc>
        <w:tc>
          <w:tcPr>
            <w:tcW w:w="2021" w:type="dxa"/>
            <w:tcBorders>
              <w:bottom w:val="single" w:color="000000" w:sz="6" w:space="0"/>
            </w:tcBorders>
            <w:vAlign w:val="top"/>
          </w:tcPr>
          <w:p>
            <w:pPr>
              <w:spacing w:before="102" w:line="180"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sz w:val="21"/>
                <w:szCs w:val="21"/>
              </w:rPr>
              <w:t>教学事故、教学通报</w:t>
            </w:r>
          </w:p>
          <w:p>
            <w:pPr>
              <w:spacing w:before="85" w:line="180" w:lineRule="auto"/>
              <w:ind w:firstLine="16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及未完成专项教学</w:t>
            </w:r>
          </w:p>
          <w:p>
            <w:pPr>
              <w:spacing w:before="90" w:line="180" w:lineRule="auto"/>
              <w:ind w:firstLine="7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工作</w:t>
            </w:r>
          </w:p>
        </w:tc>
        <w:tc>
          <w:tcPr>
            <w:tcW w:w="479" w:type="dxa"/>
            <w:tcBorders>
              <w:bottom w:val="single" w:color="000000" w:sz="6" w:space="0"/>
            </w:tcBorders>
            <w:vAlign w:val="top"/>
          </w:tcPr>
          <w:p>
            <w:pPr>
              <w:spacing w:line="244" w:lineRule="auto"/>
              <w:rPr>
                <w:rFonts w:ascii="Malgun Gothic"/>
                <w:sz w:val="21"/>
              </w:rPr>
            </w:pPr>
          </w:p>
          <w:p>
            <w:pPr>
              <w:spacing w:before="75" w:line="180" w:lineRule="auto"/>
              <w:ind w:firstLine="18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8202" w:type="dxa"/>
            <w:gridSpan w:val="2"/>
            <w:tcBorders>
              <w:bottom w:val="single" w:color="000000" w:sz="6" w:space="0"/>
            </w:tcBorders>
            <w:vAlign w:val="top"/>
          </w:tcPr>
          <w:p>
            <w:pPr>
              <w:spacing w:before="72" w:line="193"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①出现二、三级教学事故每人次分别扣</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2"/>
                <w:sz w:val="21"/>
                <w:szCs w:val="21"/>
              </w:rPr>
              <w:t>2</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分、1</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2"/>
                <w:sz w:val="21"/>
                <w:szCs w:val="21"/>
              </w:rPr>
              <w:t>分；</w:t>
            </w:r>
          </w:p>
          <w:p>
            <w:pPr>
              <w:spacing w:before="96" w:line="193"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②因教学工作失误全校教学通报，每人次扣</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
                <w:sz w:val="21"/>
                <w:szCs w:val="21"/>
              </w:rPr>
              <w:t>0.5</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
                <w:sz w:val="21"/>
                <w:szCs w:val="21"/>
              </w:rPr>
              <w:t>分；</w:t>
            </w:r>
          </w:p>
          <w:p>
            <w:pPr>
              <w:spacing w:before="96"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③未按时按要求完成教学管理部门下达的专项教学工作，每次扣</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1"/>
                <w:sz w:val="21"/>
                <w:szCs w:val="21"/>
              </w:rPr>
              <w:t>0.5</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
                <w:sz w:val="21"/>
                <w:szCs w:val="21"/>
              </w:rPr>
              <w:t>分。</w:t>
            </w:r>
          </w:p>
        </w:tc>
        <w:tc>
          <w:tcPr>
            <w:tcW w:w="670" w:type="dxa"/>
            <w:tcBorders>
              <w:bottom w:val="single" w:color="000000" w:sz="6" w:space="0"/>
              <w:right w:val="single" w:color="000000" w:sz="6" w:space="0"/>
            </w:tcBorders>
            <w:vAlign w:val="top"/>
          </w:tcPr>
          <w:p>
            <w:pPr>
              <w:rPr>
                <w:rFonts w:ascii="Malgun Gothic"/>
                <w:sz w:val="21"/>
              </w:rPr>
            </w:pPr>
          </w:p>
        </w:tc>
      </w:tr>
    </w:tbl>
    <w:p>
      <w:pPr>
        <w:spacing w:before="133" w:line="246" w:lineRule="auto"/>
        <w:ind w:left="43" w:right="39" w:firstLine="4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注：1、所有奖项按项计分，不重复计分，由多单位（人）共同完成的成果、项目，单位（个人）所得分值根据排名按比例分配，同一项目获多</w:t>
      </w:r>
      <w:r>
        <w:rPr>
          <w:rFonts w:ascii="方正书宋简体" w:hAnsi="方正书宋简体" w:eastAsia="方正书宋简体" w:cs="方正书宋简体"/>
          <w:spacing w:val="57"/>
          <w:w w:val="101"/>
          <w:sz w:val="21"/>
          <w:szCs w:val="21"/>
        </w:rPr>
        <w:t xml:space="preserve"> </w:t>
      </w:r>
      <w:r>
        <w:rPr>
          <w:rFonts w:ascii="方正书宋简体" w:hAnsi="方正书宋简体" w:eastAsia="方正书宋简体" w:cs="方正书宋简体"/>
          <w:spacing w:val="-2"/>
          <w:sz w:val="21"/>
          <w:szCs w:val="21"/>
        </w:rPr>
        <w:t>项奖励时，按最高获奖级别计分。</w:t>
      </w:r>
    </w:p>
    <w:p>
      <w:pPr>
        <w:spacing w:before="194" w:line="180" w:lineRule="auto"/>
        <w:ind w:firstLine="46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2、所有项目考核按等级计分，</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4"/>
          <w:sz w:val="21"/>
          <w:szCs w:val="21"/>
        </w:rPr>
        <w:t>A级系数K1=1.0，</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4"/>
          <w:sz w:val="21"/>
          <w:szCs w:val="21"/>
        </w:rPr>
        <w:t>C级系数K3=0.6，介于A、C之间为B级，系数K2=0.8，低于C级指标的为D级，系数K4=0.4。</w:t>
      </w:r>
    </w:p>
    <w:p>
      <w:pPr>
        <w:spacing w:before="176" w:line="180" w:lineRule="auto"/>
        <w:ind w:firstLine="4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3、所有考核项目统计数据均以考核当年为基准，涉及到学生人数有关指标的专升本学生按1：0.5折算统计。</w:t>
      </w:r>
    </w:p>
    <w:p>
      <w:pPr>
        <w:spacing w:before="172" w:line="193" w:lineRule="auto"/>
        <w:ind w:firstLine="462"/>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4、加分项以当年获得项目和成果，得分计算为：</w:t>
      </w:r>
      <w:r>
        <w:rPr>
          <w:rFonts w:ascii="方正书宋简体" w:hAnsi="方正书宋简体" w:eastAsia="方正书宋简体" w:cs="方正书宋简体"/>
          <w:spacing w:val="41"/>
          <w:w w:val="101"/>
          <w:sz w:val="21"/>
          <w:szCs w:val="21"/>
        </w:rPr>
        <w:t xml:space="preserve">  </w:t>
      </w:r>
      <w:r>
        <w:rPr>
          <w:rFonts w:ascii="方正书宋简体" w:hAnsi="方正书宋简体" w:eastAsia="方正书宋简体" w:cs="方正书宋简体"/>
          <w:spacing w:val="-8"/>
          <w:sz w:val="21"/>
          <w:szCs w:val="21"/>
        </w:rPr>
        <w:t>Q=（实际得分/最高得分）</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8"/>
          <w:sz w:val="21"/>
          <w:szCs w:val="21"/>
        </w:rPr>
        <w:t>*5。</w:t>
      </w:r>
    </w:p>
    <w:p>
      <w:pPr>
        <w:spacing w:before="420" w:line="180" w:lineRule="auto"/>
        <w:ind w:firstLine="666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317</w:t>
      </w:r>
    </w:p>
    <w:p>
      <w:pPr>
        <w:sectPr>
          <w:footerReference r:id="rId321" w:type="default"/>
          <w:pgSz w:w="16840" w:h="11905"/>
          <w:pgMar w:top="1011" w:right="1664" w:bottom="400" w:left="1547" w:header="0" w:footer="0" w:gutter="0"/>
          <w:cols w:space="720" w:num="1"/>
        </w:sectPr>
      </w:pPr>
    </w:p>
    <w:p>
      <w:pPr>
        <w:spacing w:before="349" w:line="180" w:lineRule="auto"/>
        <w:ind w:firstLine="2770"/>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吉首大学教学奖励办法</w:t>
      </w:r>
    </w:p>
    <w:p>
      <w:pPr>
        <w:spacing w:before="110" w:line="184" w:lineRule="auto"/>
        <w:ind w:firstLine="3430"/>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61" w:lineRule="auto"/>
        <w:rPr>
          <w:rFonts w:ascii="Malgun Gothic"/>
          <w:sz w:val="21"/>
        </w:rPr>
      </w:pPr>
    </w:p>
    <w:p>
      <w:pPr>
        <w:spacing w:before="104" w:line="180" w:lineRule="auto"/>
        <w:ind w:firstLine="3532"/>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第一章</w:t>
      </w:r>
      <w:r>
        <w:rPr>
          <w:rFonts w:ascii="Microsoft JhengHei" w:hAnsi="Microsoft JhengHei" w:eastAsia="Microsoft JhengHei" w:cs="Microsoft JhengHei"/>
          <w:spacing w:val="4"/>
          <w:sz w:val="24"/>
          <w:szCs w:val="24"/>
        </w:rPr>
        <w:t xml:space="preserve">    </w:t>
      </w:r>
      <w:r>
        <w:rPr>
          <w:rFonts w:ascii="Microsoft JhengHei" w:hAnsi="Microsoft JhengHei" w:eastAsia="Microsoft JhengHei" w:cs="Microsoft JhengHei"/>
          <w:spacing w:val="-6"/>
          <w:sz w:val="24"/>
          <w:szCs w:val="24"/>
        </w:rPr>
        <w:t>总</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6"/>
          <w:sz w:val="24"/>
          <w:szCs w:val="24"/>
        </w:rPr>
        <w:t>则</w:t>
      </w:r>
    </w:p>
    <w:p>
      <w:pPr>
        <w:spacing w:before="136" w:line="266" w:lineRule="auto"/>
        <w:ind w:left="1" w:right="1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为全面贯彻党的教育方针，充分调动和发挥广大师生在教育教学和人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才培养工作上的积极性和创造性，引导和鼓励广大师生不断加强本科与研究生教学</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工作，积极开展教学与人才培养工作研究，努力提高教学水平，切实保障教学与人</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才培养质量，特制定本奖励办法。</w:t>
      </w:r>
    </w:p>
    <w:p>
      <w:pPr>
        <w:spacing w:before="204" w:line="180"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第二条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3"/>
          <w:sz w:val="24"/>
          <w:szCs w:val="24"/>
        </w:rPr>
        <w:t>基本原则</w:t>
      </w:r>
    </w:p>
    <w:p>
      <w:pPr>
        <w:spacing w:before="150" w:line="239" w:lineRule="auto"/>
        <w:ind w:left="9" w:right="57" w:firstLine="492"/>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围绕中心的原则：围绕本科与研究生教学及其教育教学研究，关注教学一线，</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面向教师、教学管理人员和广大学生等教育教学活动中的主体人员。</w:t>
      </w:r>
    </w:p>
    <w:p>
      <w:pPr>
        <w:spacing w:before="212" w:line="307" w:lineRule="auto"/>
        <w:ind w:right="35"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突出重点的原则：着重奖励在教学管理、教育教学研究、本科教学改革工程、</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
          <w:sz w:val="24"/>
          <w:szCs w:val="24"/>
        </w:rPr>
        <w:t>专业与学位点建设、实践教学以及学科竞赛等本科与研究生教学的各个主要方面、</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3"/>
          <w:sz w:val="24"/>
          <w:szCs w:val="24"/>
        </w:rPr>
        <w:t>主要环节取得的突出成果和业绩。</w:t>
      </w:r>
    </w:p>
    <w:p>
      <w:pPr>
        <w:spacing w:before="43" w:line="315" w:lineRule="auto"/>
        <w:ind w:lef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强化特色的原则：有利于增强和凸显学校的办学特色，加大对具备重大理论和实践</w:t>
      </w:r>
      <w:r>
        <w:rPr>
          <w:rFonts w:ascii="方正书宋简体" w:hAnsi="方正书宋简体" w:eastAsia="方正书宋简体" w:cs="方正书宋简体"/>
          <w:spacing w:val="11"/>
          <w:w w:val="101"/>
          <w:sz w:val="24"/>
          <w:szCs w:val="24"/>
        </w:rPr>
        <w:t xml:space="preserve"> </w:t>
      </w:r>
      <w:r>
        <w:rPr>
          <w:rFonts w:ascii="方正书宋简体" w:hAnsi="方正书宋简体" w:eastAsia="方正书宋简体" w:cs="方正书宋简体"/>
          <w:spacing w:val="-13"/>
          <w:sz w:val="24"/>
          <w:szCs w:val="24"/>
        </w:rPr>
        <w:t>价值的国家级、省（部）级高水平成果的奖励力度，培育和强化教育教学特色优势。</w:t>
      </w:r>
    </w:p>
    <w:p>
      <w:pPr>
        <w:spacing w:before="1" w:line="310" w:lineRule="auto"/>
        <w:ind w:left="1" w:right="12"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注重实效的原则：加强实效导向，加大对改进教学管理、推进教育教学与人才</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培养改革、提高教学水平、促进专业与学位点建设、强化学生素质和能力培养的应</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用性强、作用突出、示范效应大的成果的奖励力度。</w:t>
      </w:r>
    </w:p>
    <w:p>
      <w:pPr>
        <w:spacing w:before="8" w:line="282" w:lineRule="auto"/>
        <w:ind w:right="30"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第三条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1"/>
          <w:sz w:val="24"/>
          <w:szCs w:val="24"/>
        </w:rPr>
        <w:t xml:space="preserve">教学奖励经费为专项经费，在教务处、研究生处年度教学经费中分别 </w:t>
      </w:r>
      <w:r>
        <w:rPr>
          <w:rFonts w:ascii="方正书宋简体" w:hAnsi="方正书宋简体" w:eastAsia="方正书宋简体" w:cs="方正书宋简体"/>
          <w:spacing w:val="-4"/>
          <w:sz w:val="24"/>
          <w:szCs w:val="24"/>
        </w:rPr>
        <w:t>单列，专款专用。</w:t>
      </w:r>
    </w:p>
    <w:p>
      <w:pPr>
        <w:spacing w:before="10" w:line="277" w:lineRule="auto"/>
        <w:ind w:left="5" w:right="1"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2"/>
          <w:sz w:val="24"/>
          <w:szCs w:val="24"/>
        </w:rPr>
        <w:t>第四条</w:t>
      </w:r>
      <w:r>
        <w:rPr>
          <w:rFonts w:ascii="Microsoft JhengHei" w:hAnsi="Microsoft JhengHei" w:eastAsia="Microsoft JhengHei" w:cs="Microsoft JhengHei"/>
          <w:spacing w:val="29"/>
          <w:w w:val="101"/>
          <w:sz w:val="24"/>
          <w:szCs w:val="24"/>
        </w:rPr>
        <w:t xml:space="preserve">   </w:t>
      </w:r>
      <w:r>
        <w:rPr>
          <w:rFonts w:ascii="方正书宋简体" w:hAnsi="方正书宋简体" w:eastAsia="方正书宋简体" w:cs="方正书宋简体"/>
          <w:spacing w:val="-12"/>
          <w:sz w:val="24"/>
          <w:szCs w:val="24"/>
        </w:rPr>
        <w:t>教学奖励的范围包括：教师荣誉奖、教学成果奖、教学研究奖、优秀教材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3"/>
          <w:sz w:val="24"/>
          <w:szCs w:val="24"/>
        </w:rPr>
        <w:t>奖、学科竞赛奖、本科教学改革工程奖、教学管理奖、课程教学与人才培养质量奖等。</w:t>
      </w:r>
    </w:p>
    <w:p>
      <w:pPr>
        <w:spacing w:before="28" w:line="187" w:lineRule="auto"/>
        <w:ind w:firstLine="305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奖励项目及标准</w:t>
      </w:r>
    </w:p>
    <w:p>
      <w:pPr>
        <w:spacing w:before="127" w:line="294" w:lineRule="auto"/>
        <w:ind w:left="6" w:right="12" w:firstLine="481"/>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第五条</w:t>
      </w:r>
      <w:r>
        <w:rPr>
          <w:rFonts w:ascii="Microsoft JhengHei" w:hAnsi="Microsoft JhengHei" w:eastAsia="Microsoft JhengHei" w:cs="Microsoft JhengHei"/>
          <w:spacing w:val="8"/>
          <w:sz w:val="24"/>
          <w:szCs w:val="24"/>
        </w:rPr>
        <w:t xml:space="preserve">    </w:t>
      </w:r>
      <w:r>
        <w:rPr>
          <w:rFonts w:ascii="方正书宋简体" w:hAnsi="方正书宋简体" w:eastAsia="方正书宋简体" w:cs="方正书宋简体"/>
          <w:spacing w:val="1"/>
          <w:sz w:val="24"/>
          <w:szCs w:val="24"/>
        </w:rPr>
        <w:t>教师荣誉奖：教师荣誉奖是指由国家、省级教育主管部门和学校评选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的教育教学工作中的先进个人和授予的各种荣誉称号，主要包括教学名师奖、教学</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3"/>
          <w:sz w:val="24"/>
          <w:szCs w:val="24"/>
        </w:rPr>
        <w:t>能手、优秀指导教师奖等。具体奖励标准如下：</w:t>
      </w:r>
    </w:p>
    <w:p>
      <w:pPr>
        <w:spacing w:before="18" w:line="190" w:lineRule="auto"/>
        <w:ind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1、教学名师奖</w:t>
      </w:r>
    </w:p>
    <w:p>
      <w:pPr>
        <w:spacing w:before="171"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（1）国家级教学名师奖：20</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（2）省级教学名师奖：5</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3"/>
          <w:sz w:val="24"/>
          <w:szCs w:val="24"/>
        </w:rPr>
        <w:t>万元；</w:t>
      </w:r>
    </w:p>
    <w:p>
      <w:pPr>
        <w:spacing w:before="237"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318</w:t>
      </w:r>
    </w:p>
    <w:p>
      <w:pPr>
        <w:sectPr>
          <w:footerReference r:id="rId322" w:type="default"/>
          <w:pgSz w:w="11905" w:h="16840"/>
          <w:pgMar w:top="1431" w:right="1573" w:bottom="400" w:left="1591" w:header="0" w:footer="0" w:gutter="0"/>
          <w:cols w:space="720" w:num="1"/>
        </w:sectPr>
      </w:pPr>
    </w:p>
    <w:p>
      <w:pPr>
        <w:spacing w:before="432"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（3）校级教学名师奖：1</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3"/>
          <w:sz w:val="24"/>
          <w:szCs w:val="24"/>
        </w:rPr>
        <w:t>万元。</w:t>
      </w:r>
    </w:p>
    <w:p>
      <w:pPr>
        <w:spacing w:before="193"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2、教学能手奖</w:t>
      </w:r>
    </w:p>
    <w:p>
      <w:pPr>
        <w:spacing w:before="18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（1）省级教学能手奖：0.5</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万元；</w:t>
      </w:r>
    </w:p>
    <w:p>
      <w:pPr>
        <w:spacing w:before="183"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（2）校级教学能手奖：0.3</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
          <w:sz w:val="24"/>
          <w:szCs w:val="24"/>
        </w:rPr>
        <w:t>万元。</w:t>
      </w:r>
    </w:p>
    <w:p>
      <w:pPr>
        <w:spacing w:before="191"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3、优秀指导教师奖</w:t>
      </w:r>
    </w:p>
    <w:p>
      <w:pPr>
        <w:spacing w:before="186"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（1）省级优秀指导教师奖：0.1</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3"/>
          <w:sz w:val="24"/>
          <w:szCs w:val="24"/>
        </w:rPr>
        <w:t>万元；</w:t>
      </w:r>
    </w:p>
    <w:p>
      <w:pPr>
        <w:spacing w:before="18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（2）校级优秀指导教师奖：0.05</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8" w:line="294" w:lineRule="auto"/>
        <w:ind w:right="75"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教学成果奖：教学成果奖是指由教育部、省教育厅、学校教务处、研</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究生处等教育管理部门组织评审的以吉首大学为第一成果单位的项目负责人及项目</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组获得的教学实践成果奖励。具体奖励标准如下：</w:t>
      </w:r>
    </w:p>
    <w:p>
      <w:pPr>
        <w:spacing w:before="11" w:line="194"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1、国家级优秀教学成果特等奖：100</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万元；</w:t>
      </w:r>
    </w:p>
    <w:p>
      <w:pPr>
        <w:spacing w:before="172"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2、国家级优秀教学成果一等奖：60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3、国家级优秀教学成果二等奖：30</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3"/>
          <w:sz w:val="24"/>
          <w:szCs w:val="24"/>
        </w:rPr>
        <w:t>万元；</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4、省级优秀教学成果一等奖：10</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5、省级优秀教学成果二等奖：6</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3"/>
          <w:sz w:val="24"/>
          <w:szCs w:val="24"/>
        </w:rPr>
        <w:t>万元；</w:t>
      </w:r>
    </w:p>
    <w:p>
      <w:pPr>
        <w:spacing w:before="175"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6、省级优秀教学成果三等奖：2</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7、校级优秀教学成果特等奖：1</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8、校级优秀教学成果一等奖：0.8</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3"/>
          <w:sz w:val="24"/>
          <w:szCs w:val="24"/>
        </w:rPr>
        <w:t>万元；</w:t>
      </w:r>
    </w:p>
    <w:p>
      <w:pPr>
        <w:spacing w:before="179"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9、校级优秀教学成果二等奖：0.5</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万元。</w:t>
      </w:r>
    </w:p>
    <w:p>
      <w:pPr>
        <w:spacing w:before="180" w:line="30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第七条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教学研究奖：包括教学研究论文奖和教改项目结题优秀奖。其中教学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研究论文奖是指对第一单位署名为吉首大学的第一作者在公开发行的高等教育类报</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刊上（不含增刊）</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5"/>
          <w:sz w:val="24"/>
          <w:szCs w:val="24"/>
        </w:rPr>
        <w:t>发表的以本科与研究生教育教学为研究内容的学术论文进行奖励，</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具体奖励标准如下：</w:t>
      </w:r>
    </w:p>
    <w:p>
      <w:pPr>
        <w:spacing w:before="13" w:line="194"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1、教学研究论文奖</w:t>
      </w:r>
    </w:p>
    <w:p>
      <w:pPr>
        <w:spacing w:before="169" w:line="253" w:lineRule="auto"/>
        <w:ind w:right="7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（1）在</w:t>
      </w:r>
      <w:r>
        <w:rPr>
          <w:rFonts w:ascii="方正书宋简体" w:hAnsi="方正书宋简体" w:eastAsia="方正书宋简体" w:cs="方正书宋简体"/>
          <w:spacing w:val="88"/>
          <w:w w:val="101"/>
          <w:sz w:val="24"/>
          <w:szCs w:val="24"/>
        </w:rPr>
        <w:t xml:space="preserve"> </w:t>
      </w:r>
      <w:r>
        <w:rPr>
          <w:rFonts w:ascii="方正书宋简体" w:hAnsi="方正书宋简体" w:eastAsia="方正书宋简体" w:cs="方正书宋简体"/>
          <w:spacing w:val="-2"/>
          <w:sz w:val="24"/>
          <w:szCs w:val="24"/>
        </w:rPr>
        <w:t>A</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2"/>
          <w:sz w:val="24"/>
          <w:szCs w:val="24"/>
        </w:rPr>
        <w:t>类专业期刊（见附件</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2"/>
          <w:sz w:val="24"/>
          <w:szCs w:val="24"/>
        </w:rPr>
        <w:t>1）上公开发表的教学和教学管理论文，每篇奖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励</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9"/>
          <w:sz w:val="24"/>
          <w:szCs w:val="24"/>
        </w:rPr>
        <w:t>1.0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9"/>
          <w:sz w:val="24"/>
          <w:szCs w:val="24"/>
        </w:rPr>
        <w:t>万元；</w:t>
      </w:r>
    </w:p>
    <w:p>
      <w:pPr>
        <w:spacing w:before="178" w:line="253" w:lineRule="auto"/>
        <w:ind w:left="2"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（2）在</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8"/>
          <w:sz w:val="24"/>
          <w:szCs w:val="24"/>
        </w:rPr>
        <w:t>B</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8"/>
          <w:sz w:val="24"/>
          <w:szCs w:val="24"/>
        </w:rPr>
        <w:t>类专业期刊（见附件</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2）上公开发表的教学和教学管理论文，</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8"/>
          <w:sz w:val="24"/>
          <w:szCs w:val="24"/>
        </w:rPr>
        <w:t>每篇奖励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0.8</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6"/>
          <w:sz w:val="24"/>
          <w:szCs w:val="24"/>
        </w:rPr>
        <w:t>万元；</w:t>
      </w:r>
    </w:p>
    <w:p>
      <w:pPr>
        <w:spacing w:before="179" w:line="327" w:lineRule="auto"/>
        <w:ind w:left="2" w:right="7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（3）在</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8"/>
          <w:sz w:val="24"/>
          <w:szCs w:val="24"/>
        </w:rPr>
        <w:t>C</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8"/>
          <w:sz w:val="24"/>
          <w:szCs w:val="24"/>
        </w:rPr>
        <w:t>类专业期刊（见附件</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8"/>
          <w:sz w:val="24"/>
          <w:szCs w:val="24"/>
        </w:rPr>
        <w:t>3）上公开发表的教学和教学管理论文，</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8"/>
          <w:sz w:val="24"/>
          <w:szCs w:val="24"/>
        </w:rPr>
        <w:t>每篇奖励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0.5</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6"/>
          <w:sz w:val="24"/>
          <w:szCs w:val="24"/>
        </w:rPr>
        <w:t>万元；</w:t>
      </w:r>
    </w:p>
    <w:p>
      <w:pPr>
        <w:spacing w:before="24"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319</w:t>
      </w:r>
    </w:p>
    <w:p>
      <w:pPr>
        <w:sectPr>
          <w:footerReference r:id="rId323" w:type="default"/>
          <w:pgSz w:w="11905" w:h="16840"/>
          <w:pgMar w:top="1431" w:right="1510" w:bottom="400" w:left="1590" w:header="0" w:footer="0" w:gutter="0"/>
          <w:cols w:space="720" w:num="1"/>
        </w:sectPr>
      </w:pPr>
    </w:p>
    <w:p>
      <w:pPr>
        <w:spacing w:before="426" w:line="253" w:lineRule="auto"/>
        <w:ind w:left="133" w:right="97"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（4）在</w:t>
      </w:r>
      <w:r>
        <w:rPr>
          <w:rFonts w:ascii="方正书宋简体" w:hAnsi="方正书宋简体" w:eastAsia="方正书宋简体" w:cs="方正书宋简体"/>
          <w:spacing w:val="76"/>
          <w:w w:val="101"/>
          <w:sz w:val="24"/>
          <w:szCs w:val="24"/>
        </w:rPr>
        <w:t xml:space="preserve"> </w:t>
      </w:r>
      <w:r>
        <w:rPr>
          <w:rFonts w:ascii="方正书宋简体" w:hAnsi="方正书宋简体" w:eastAsia="方正书宋简体" w:cs="方正书宋简体"/>
          <w:spacing w:val="-1"/>
          <w:sz w:val="24"/>
          <w:szCs w:val="24"/>
        </w:rPr>
        <w:t>D</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
          <w:sz w:val="24"/>
          <w:szCs w:val="24"/>
        </w:rPr>
        <w:t>类专业期刊（见附件</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1"/>
          <w:sz w:val="24"/>
          <w:szCs w:val="24"/>
        </w:rPr>
        <w:t>4）上公开发表的教学和教学管理论文，每篇奖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励</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0.3</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6"/>
          <w:sz w:val="24"/>
          <w:szCs w:val="24"/>
        </w:rPr>
        <w:t>万元；</w:t>
      </w:r>
    </w:p>
    <w:p>
      <w:pPr>
        <w:spacing w:before="178" w:line="315" w:lineRule="auto"/>
        <w:ind w:left="135" w:right="97"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（5）在</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8"/>
          <w:sz w:val="24"/>
          <w:szCs w:val="24"/>
        </w:rPr>
        <w:t>E</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8"/>
          <w:sz w:val="24"/>
          <w:szCs w:val="24"/>
        </w:rPr>
        <w:t>类专业期刊（见附件</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8"/>
          <w:sz w:val="24"/>
          <w:szCs w:val="24"/>
        </w:rPr>
        <w:t>5）上公开发表的教学和教学管理论文，</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8"/>
          <w:sz w:val="24"/>
          <w:szCs w:val="24"/>
        </w:rPr>
        <w:t>每篇奖励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0.1</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5"/>
          <w:sz w:val="24"/>
          <w:szCs w:val="24"/>
        </w:rPr>
        <w:t>万元。</w:t>
      </w:r>
    </w:p>
    <w:p>
      <w:pPr>
        <w:spacing w:before="3" w:line="310" w:lineRule="auto"/>
        <w:ind w:left="135"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在上述期刊中发表的不属于本科与研究生教育教学的学术论文，本奖励办法不</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予奖励；同一作者在同一期刊同一年度发表多篇论文的只奖励</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2"/>
          <w:sz w:val="24"/>
          <w:szCs w:val="24"/>
        </w:rPr>
        <w:t>篇，同时符合《吉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首大学科学技术奖励办法》和本办法的奖励论文，不重复奖励。</w:t>
      </w:r>
    </w:p>
    <w:p>
      <w:pPr>
        <w:spacing w:before="22" w:line="188"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2、教改项目结题优秀奖</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（1）省级教改项目结题优秀奖：0.2</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万元；</w:t>
      </w:r>
    </w:p>
    <w:p>
      <w:pPr>
        <w:spacing w:before="182"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（2）校级教改项目结题优秀奖：0.1</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万元。</w:t>
      </w:r>
    </w:p>
    <w:p>
      <w:pPr>
        <w:spacing w:before="180" w:line="288" w:lineRule="auto"/>
        <w:ind w:right="95" w:firstLine="62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优秀教材奖：是指经学校或省级以上教育行政部门评审确定的优秀教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材和国家级规划教材。上述教材必须是我校教师任第一主编并且教材必须正式出版</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（不包括学术专著</w:t>
      </w:r>
      <w:r>
        <w:rPr>
          <w:rFonts w:ascii="方正书宋简体" w:hAnsi="方正书宋简体" w:eastAsia="方正书宋简体" w:cs="方正书宋简体"/>
          <w:sz w:val="24"/>
          <w:szCs w:val="24"/>
        </w:rPr>
        <w:t>），</w:t>
      </w:r>
      <w:r>
        <w:rPr>
          <w:rFonts w:ascii="方正书宋简体" w:hAnsi="方正书宋简体" w:eastAsia="方正书宋简体" w:cs="方正书宋简体"/>
          <w:spacing w:val="-2"/>
          <w:sz w:val="24"/>
          <w:szCs w:val="24"/>
        </w:rPr>
        <w:t>具体奖励标准如下：</w:t>
      </w:r>
    </w:p>
    <w:p>
      <w:pPr>
        <w:spacing w:before="36" w:line="193" w:lineRule="auto"/>
        <w:ind w:firstLine="63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1、优秀教材奖</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（1）国家级优秀教材奖：6.0</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（2）省级优秀教材奖：3.0</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（3）校级优秀教材奖：1.0</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
          <w:sz w:val="24"/>
          <w:szCs w:val="24"/>
        </w:rPr>
        <w:t>万元。</w:t>
      </w:r>
    </w:p>
    <w:p>
      <w:pPr>
        <w:spacing w:before="175" w:line="193" w:lineRule="auto"/>
        <w:ind w:firstLine="61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2、国家级规划教材奖：2.0</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万元。</w:t>
      </w:r>
    </w:p>
    <w:p>
      <w:pPr>
        <w:spacing w:before="165" w:line="310" w:lineRule="auto"/>
        <w:ind w:left="133"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第九条</w:t>
      </w:r>
      <w:r>
        <w:rPr>
          <w:rFonts w:ascii="Microsoft JhengHei" w:hAnsi="Microsoft JhengHei" w:eastAsia="Microsoft JhengHei" w:cs="Microsoft JhengHei"/>
          <w:spacing w:val="7"/>
          <w:w w:val="101"/>
          <w:sz w:val="24"/>
          <w:szCs w:val="24"/>
        </w:rPr>
        <w:t xml:space="preserve">    </w:t>
      </w:r>
      <w:r>
        <w:rPr>
          <w:rFonts w:ascii="方正书宋简体" w:hAnsi="方正书宋简体" w:eastAsia="方正书宋简体" w:cs="方正书宋简体"/>
          <w:spacing w:val="-4"/>
          <w:sz w:val="24"/>
          <w:szCs w:val="24"/>
        </w:rPr>
        <w:t>学科竞赛奖：学科竞赛是指由国家、</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4"/>
          <w:sz w:val="24"/>
          <w:szCs w:val="24"/>
        </w:rPr>
        <w:t>省级政府职能部门、高等院校、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学术团体组织和举办的旨在提升大学生的学科专业技能的课外科技竞赛活动。根据</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学科竞赛的影响力和社会认可度，学校对在以下三类学科竞赛中取得的成绩进行奖</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6"/>
          <w:sz w:val="24"/>
          <w:szCs w:val="24"/>
        </w:rPr>
        <w:t>励。Ａ类：</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6"/>
          <w:sz w:val="24"/>
          <w:szCs w:val="24"/>
        </w:rPr>
        <w:t>教育部、教育厅等主管行政部门指定的学科竞赛</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3"/>
          <w:sz w:val="24"/>
          <w:szCs w:val="24"/>
        </w:rPr>
        <w:t>Ｂ</w:t>
      </w:r>
      <w:r>
        <w:rPr>
          <w:rFonts w:ascii="方正书宋简体" w:hAnsi="方正书宋简体" w:eastAsia="方正书宋简体" w:cs="方正书宋简体"/>
          <w:spacing w:val="-16"/>
          <w:sz w:val="24"/>
          <w:szCs w:val="24"/>
        </w:rPr>
        <w:t>类：</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6"/>
          <w:sz w:val="24"/>
          <w:szCs w:val="24"/>
        </w:rPr>
        <w:t>国家机关部门、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0"/>
          <w:sz w:val="24"/>
          <w:szCs w:val="24"/>
        </w:rPr>
        <w:t>学科专业教学指导委员会主办或参与的学科竞赛</w:t>
      </w:r>
      <w:r>
        <w:rPr>
          <w:rFonts w:ascii="方正书宋简体" w:hAnsi="方正书宋简体" w:eastAsia="方正书宋简体" w:cs="方正书宋简体"/>
          <w:spacing w:val="-6"/>
          <w:sz w:val="24"/>
          <w:szCs w:val="24"/>
        </w:rPr>
        <w:t>；</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6"/>
          <w:sz w:val="24"/>
          <w:szCs w:val="24"/>
        </w:rPr>
        <w:t>Ｃ</w:t>
      </w:r>
      <w:r>
        <w:rPr>
          <w:rFonts w:ascii="方正书宋简体" w:hAnsi="方正书宋简体" w:eastAsia="方正书宋简体" w:cs="方正书宋简体"/>
          <w:spacing w:val="-10"/>
          <w:sz w:val="24"/>
          <w:szCs w:val="24"/>
        </w:rPr>
        <w:t>类：</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10"/>
          <w:sz w:val="24"/>
          <w:szCs w:val="24"/>
        </w:rPr>
        <w:t>省级或省级以上行业协会、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学术团体组织的学科竞赛。A、B、C</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
          <w:sz w:val="24"/>
          <w:szCs w:val="24"/>
        </w:rPr>
        <w:t>类学科竞赛中的具体项目以每年教务处、研究</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生处发布的学科竞赛目录为准。参与上述竞赛项目的第一单位必须为吉首大学，学</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科竞赛取前八名的项目按照如下折算办法：第一名等同于一等奖，第二至四名等同</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于二等奖，第五至八名等同于三等奖。凡获得的奖励证书中注明是团体奖的，在原</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有等级上提高一等进行奖励。未经逐级选拔的学科竞赛，在原有的级别上降低一级</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进行奖励。本科生学科竞赛奖励按照组织实施学院、指导教师、参赛学生</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2"/>
          <w:sz w:val="24"/>
          <w:szCs w:val="24"/>
        </w:rPr>
        <w:t>2：5：3</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的比例进行分配。研究生学科竞赛奖励按照组织实施学院、指导教师、参赛学生</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
          <w:sz w:val="24"/>
          <w:szCs w:val="24"/>
        </w:rPr>
        <w:t>2：</w:t>
      </w:r>
    </w:p>
    <w:p>
      <w:pPr>
        <w:spacing w:before="69" w:line="180" w:lineRule="auto"/>
        <w:ind w:firstLine="4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320</w:t>
      </w:r>
    </w:p>
    <w:p>
      <w:pPr>
        <w:sectPr>
          <w:footerReference r:id="rId324" w:type="default"/>
          <w:pgSz w:w="11905" w:h="16840"/>
          <w:pgMar w:top="1431" w:right="1490" w:bottom="400" w:left="1457" w:header="0" w:footer="0" w:gutter="0"/>
          <w:cols w:space="720" w:num="1"/>
        </w:sectPr>
      </w:pPr>
    </w:p>
    <w:p>
      <w:pPr>
        <w:spacing w:before="424" w:line="180" w:lineRule="auto"/>
        <w:ind w:firstLine="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3：5</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4"/>
          <w:sz w:val="24"/>
          <w:szCs w:val="24"/>
        </w:rPr>
        <w:t>的比例进行分配。具体奖励标准如下：</w:t>
      </w:r>
    </w:p>
    <w:p>
      <w:pPr>
        <w:spacing w:before="194" w:line="447" w:lineRule="exact"/>
        <w:ind w:firstLine="56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position w:val="16"/>
          <w:sz w:val="24"/>
          <w:szCs w:val="24"/>
        </w:rPr>
        <w:t>１、Ａ类学科竞赛</w:t>
      </w:r>
    </w:p>
    <w:p>
      <w:pPr>
        <w:spacing w:line="204"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（1）国家级特等奖：5.0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万元；</w:t>
      </w:r>
    </w:p>
    <w:p>
      <w:pPr>
        <w:spacing w:before="158"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（2）国家级一等奖：4.0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（3）国家级二等奖：2.0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（4）国家级三等奖：1.0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（5）省级特等奖：3.0</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（6）省级一等奖：2.0</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（7）省级二等奖：0.8</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9"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（8）省级三等奖：0.5</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万元。</w:t>
      </w:r>
    </w:p>
    <w:p>
      <w:pPr>
        <w:spacing w:before="191"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2、B</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2"/>
          <w:sz w:val="24"/>
          <w:szCs w:val="24"/>
        </w:rPr>
        <w:t>类学科竞赛</w:t>
      </w:r>
    </w:p>
    <w:p>
      <w:pPr>
        <w:spacing w:before="191"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（1）国家级特等奖：2.0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（2）国家级一等奖：1.0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（3）国家级二等奖：0.5</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（4）国家级三等奖：0.2</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（5）省级特等奖：1.0</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（6）省级一等奖：0.5</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（7）省级二等奖：0.2</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9"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（8）省级三等奖：0.1</w:t>
      </w:r>
      <w:r>
        <w:rPr>
          <w:rFonts w:ascii="方正书宋简体" w:hAnsi="方正书宋简体" w:eastAsia="方正书宋简体" w:cs="方正书宋简体"/>
          <w:spacing w:val="39"/>
          <w:sz w:val="24"/>
          <w:szCs w:val="24"/>
        </w:rPr>
        <w:t xml:space="preserve"> </w:t>
      </w:r>
      <w:r>
        <w:rPr>
          <w:rFonts w:ascii="方正书宋简体" w:hAnsi="方正书宋简体" w:eastAsia="方正书宋简体" w:cs="方正书宋简体"/>
          <w:spacing w:val="-3"/>
          <w:sz w:val="24"/>
          <w:szCs w:val="24"/>
        </w:rPr>
        <w:t>万元。</w:t>
      </w:r>
    </w:p>
    <w:p>
      <w:pPr>
        <w:spacing w:before="192"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3、C</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类学科竞赛</w:t>
      </w:r>
    </w:p>
    <w:p>
      <w:pPr>
        <w:spacing w:before="190"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（1）国家级特等奖：1.0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（2）国家级一等奖：0.5</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（3）国家级二等奖：0.2</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（4）国家级三等奖：0.1</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3"/>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（5）省级特等奖：0.5</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（6）省级一等奖：0.2</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（7）省级二等奖：0.1</w:t>
      </w:r>
      <w:r>
        <w:rPr>
          <w:rFonts w:ascii="方正书宋简体" w:hAnsi="方正书宋简体" w:eastAsia="方正书宋简体" w:cs="方正书宋简体"/>
          <w:spacing w:val="46"/>
          <w:w w:val="101"/>
          <w:sz w:val="24"/>
          <w:szCs w:val="24"/>
        </w:rPr>
        <w:t xml:space="preserve"> </w:t>
      </w:r>
      <w:r>
        <w:rPr>
          <w:rFonts w:ascii="方正书宋简体" w:hAnsi="方正书宋简体" w:eastAsia="方正书宋简体" w:cs="方正书宋简体"/>
          <w:spacing w:val="-4"/>
          <w:sz w:val="24"/>
          <w:szCs w:val="24"/>
        </w:rPr>
        <w:t>万元；</w:t>
      </w:r>
    </w:p>
    <w:p>
      <w:pPr>
        <w:spacing w:before="179"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（8）省级三等奖：0.05</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2"/>
          <w:sz w:val="24"/>
          <w:szCs w:val="24"/>
        </w:rPr>
        <w:t>万元。</w:t>
      </w:r>
    </w:p>
    <w:p>
      <w:pPr>
        <w:spacing w:before="181" w:line="281"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本科教学工程奖：是指在国家和省级本科教学工程和质量工程立项评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选中获得立项以及项目建设评审中结题评为优秀的各类项目，主要包括：校地合作</w:t>
      </w:r>
    </w:p>
    <w:p>
      <w:pPr>
        <w:spacing w:before="82"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321</w:t>
      </w:r>
    </w:p>
    <w:p>
      <w:pPr>
        <w:sectPr>
          <w:footerReference r:id="rId325" w:type="default"/>
          <w:pgSz w:w="11905" w:h="16840"/>
          <w:pgMar w:top="1431" w:right="1585" w:bottom="400" w:left="1591" w:header="0" w:footer="0" w:gutter="0"/>
          <w:cols w:space="720" w:num="1"/>
        </w:sectPr>
      </w:pPr>
    </w:p>
    <w:p>
      <w:pPr>
        <w:spacing w:before="423" w:line="314" w:lineRule="auto"/>
        <w:ind w:right="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试点单位、特色专业（一流专业）、综合改革试点专业、卓越人才培养计划专业、</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2"/>
          <w:sz w:val="24"/>
          <w:szCs w:val="24"/>
        </w:rPr>
        <w:t>优秀教学团队、精品课程（含精品视频公开课、名师空间课程、在线开放课程、微</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2"/>
          <w:sz w:val="24"/>
          <w:szCs w:val="24"/>
        </w:rPr>
        <w:t>课等）、虚拟仿真实验教学中心、校企合作创新创业教育基地、大学生创新创业教</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3"/>
          <w:sz w:val="24"/>
          <w:szCs w:val="24"/>
        </w:rPr>
        <w:t>育中心等，具体奖励标准如下：</w:t>
      </w:r>
    </w:p>
    <w:p>
      <w:pPr>
        <w:spacing w:before="14" w:line="192"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1、立项奖励</w:t>
      </w:r>
    </w:p>
    <w:p>
      <w:pPr>
        <w:spacing w:before="169"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（1）国家级项目奖励：2.0</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2"/>
          <w:sz w:val="24"/>
          <w:szCs w:val="24"/>
        </w:rPr>
        <w:t>万元；</w:t>
      </w:r>
    </w:p>
    <w:p>
      <w:pPr>
        <w:spacing w:before="181"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（2）省级项目奖励：1.0</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
          <w:sz w:val="24"/>
          <w:szCs w:val="24"/>
        </w:rPr>
        <w:t>万元。</w:t>
      </w:r>
    </w:p>
    <w:p>
      <w:pPr>
        <w:spacing w:before="193"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2、结题优秀奖励</w:t>
      </w:r>
    </w:p>
    <w:p>
      <w:pPr>
        <w:spacing w:before="186"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（1）国家级项目结题优秀奖励：2.0</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（2）省级项目结题优秀奖励：1.0</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2"/>
          <w:sz w:val="24"/>
          <w:szCs w:val="24"/>
        </w:rPr>
        <w:t>万元；</w:t>
      </w:r>
    </w:p>
    <w:p>
      <w:pPr>
        <w:spacing w:before="182"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（3）校级项目结题优秀奖励：0.5</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9" w:line="294" w:lineRule="auto"/>
        <w:ind w:left="1" w:right="7"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教学管理奖：主要是指被国家、省教育主管部门以及学校表彰的各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类承担教育教学管理的基层教学组织和个人，</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主要包括：本科教学质量考核优秀单</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位、优秀教研室、优秀实验室、教学管理先进个人。</w:t>
      </w:r>
    </w:p>
    <w:p>
      <w:pPr>
        <w:spacing w:before="15" w:line="192"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1、本科教学质量考核优秀单位</w:t>
      </w:r>
    </w:p>
    <w:p>
      <w:pPr>
        <w:spacing w:before="170"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（1）一等奖：6</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3"/>
          <w:sz w:val="24"/>
          <w:szCs w:val="24"/>
        </w:rPr>
        <w:t>万元；</w:t>
      </w:r>
    </w:p>
    <w:p>
      <w:pPr>
        <w:spacing w:before="175"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（2）二等奖：4</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3"/>
          <w:sz w:val="24"/>
          <w:szCs w:val="24"/>
        </w:rPr>
        <w:t>万元；</w:t>
      </w:r>
    </w:p>
    <w:p>
      <w:pPr>
        <w:spacing w:before="179"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（3）三等奖：2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万元。</w:t>
      </w:r>
    </w:p>
    <w:p>
      <w:pPr>
        <w:spacing w:before="196"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2、优秀教研室</w:t>
      </w:r>
    </w:p>
    <w:p>
      <w:pPr>
        <w:spacing w:before="186"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（1）省级优秀教研室奖励：1.0</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万元；</w:t>
      </w:r>
    </w:p>
    <w:p>
      <w:pPr>
        <w:spacing w:before="181"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（2）校级优秀教研室奖励：0.5</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万元。</w:t>
      </w:r>
    </w:p>
    <w:p>
      <w:pPr>
        <w:spacing w:before="194"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3、优秀实验室</w:t>
      </w:r>
    </w:p>
    <w:p>
      <w:pPr>
        <w:spacing w:before="186"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（1）省级优秀实验室奖励：1.0</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2"/>
          <w:sz w:val="24"/>
          <w:szCs w:val="24"/>
        </w:rPr>
        <w:t>万元；</w:t>
      </w:r>
    </w:p>
    <w:p>
      <w:pPr>
        <w:spacing w:before="181"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（2）校级优秀实验室奖励：0.5</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万元。</w:t>
      </w:r>
    </w:p>
    <w:p>
      <w:pPr>
        <w:spacing w:before="193"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4、教学管理先进个人</w:t>
      </w:r>
    </w:p>
    <w:p>
      <w:pPr>
        <w:spacing w:before="187"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（1）省级教学管理先进个人（含实践教学、学位与研究生教学</w:t>
      </w:r>
      <w:r>
        <w:rPr>
          <w:rFonts w:ascii="方正书宋简体" w:hAnsi="方正书宋简体" w:eastAsia="方正书宋简体" w:cs="方正书宋简体"/>
          <w:spacing w:val="3"/>
          <w:sz w:val="24"/>
          <w:szCs w:val="24"/>
        </w:rPr>
        <w:t>）：</w:t>
      </w:r>
      <w:r>
        <w:rPr>
          <w:rFonts w:ascii="方正书宋简体" w:hAnsi="方正书宋简体" w:eastAsia="方正书宋简体" w:cs="方正书宋简体"/>
          <w:spacing w:val="-1"/>
          <w:sz w:val="24"/>
          <w:szCs w:val="24"/>
        </w:rPr>
        <w:t>0.2</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
          <w:sz w:val="24"/>
          <w:szCs w:val="24"/>
        </w:rPr>
        <w:t>万元；</w:t>
      </w:r>
    </w:p>
    <w:p>
      <w:pPr>
        <w:spacing w:before="181"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（2）校级教学管理先进个人（含实践教学、学位与研究生教学</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2"/>
          <w:sz w:val="24"/>
          <w:szCs w:val="24"/>
        </w:rPr>
        <w:t>0.1</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万元。</w:t>
      </w:r>
    </w:p>
    <w:p>
      <w:pPr>
        <w:spacing w:before="176" w:line="295" w:lineRule="auto"/>
        <w:ind w:left="1"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第十二条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5"/>
          <w:sz w:val="24"/>
          <w:szCs w:val="24"/>
        </w:rPr>
        <w:t>课程教学与人才培养质量奖：是指对在教学主管部门组织的各类教学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竞赛、优秀硕博士学位论文评选以及其它教学竞赛活动中获得优秀的单位和个人的奖</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4"/>
          <w:sz w:val="24"/>
          <w:szCs w:val="24"/>
        </w:rPr>
        <w:t>励。主要包括：</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14"/>
          <w:sz w:val="24"/>
          <w:szCs w:val="24"/>
        </w:rPr>
        <w:t>课堂教学竞赛奖、课程教学质量奖、非英语专业四级考试优秀奖、非计</w:t>
      </w:r>
    </w:p>
    <w:p>
      <w:pPr>
        <w:spacing w:before="70" w:line="180" w:lineRule="auto"/>
        <w:ind w:firstLine="4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322</w:t>
      </w:r>
    </w:p>
    <w:p>
      <w:pPr>
        <w:sectPr>
          <w:footerReference r:id="rId326" w:type="default"/>
          <w:pgSz w:w="11905" w:h="16840"/>
          <w:pgMar w:top="1431" w:right="1577" w:bottom="400" w:left="1588" w:header="0" w:footer="0" w:gutter="0"/>
          <w:cols w:space="720" w:num="1"/>
        </w:sectPr>
      </w:pPr>
    </w:p>
    <w:p>
      <w:pPr>
        <w:spacing w:before="425"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算机专业公共计算机考试优秀奖、优秀硕博士学位论文奖等，具体奖励标准如下：</w:t>
      </w:r>
    </w:p>
    <w:p>
      <w:pPr>
        <w:spacing w:before="194"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1、课堂教学（含微课、实验实训课和信息化教学等）竞赛奖</w:t>
      </w:r>
    </w:p>
    <w:p>
      <w:pPr>
        <w:spacing w:before="189"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（1）国家级特等奖：5.0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（2）国家级一等奖：3.0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（3）国家级二等奖：2.0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（4）国家级三等奖：1.0</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万元；</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（5）省级一等奖：2.0</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（6）省级二等奖：1.0</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2"/>
          <w:sz w:val="24"/>
          <w:szCs w:val="24"/>
        </w:rPr>
        <w:t>万元；</w:t>
      </w:r>
    </w:p>
    <w:p>
      <w:pPr>
        <w:spacing w:before="175"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（7）省级三等奖：0.5</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万元；</w:t>
      </w:r>
    </w:p>
    <w:p>
      <w:pPr>
        <w:spacing w:before="174"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（8）校级一等奖：0.5</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万元；</w:t>
      </w:r>
    </w:p>
    <w:p>
      <w:pPr>
        <w:spacing w:before="175"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（9）校级二等奖：0.3</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万元；</w:t>
      </w:r>
    </w:p>
    <w:p>
      <w:pPr>
        <w:spacing w:before="179"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（10）校级三等奖：0.1</w:t>
      </w:r>
      <w:r>
        <w:rPr>
          <w:rFonts w:ascii="方正书宋简体" w:hAnsi="方正书宋简体" w:eastAsia="方正书宋简体" w:cs="方正书宋简体"/>
          <w:spacing w:val="41"/>
          <w:sz w:val="24"/>
          <w:szCs w:val="24"/>
        </w:rPr>
        <w:t xml:space="preserve"> </w:t>
      </w:r>
      <w:r>
        <w:rPr>
          <w:rFonts w:ascii="方正书宋简体" w:hAnsi="方正书宋简体" w:eastAsia="方正书宋简体" w:cs="方正书宋简体"/>
          <w:spacing w:val="-3"/>
          <w:sz w:val="24"/>
          <w:szCs w:val="24"/>
        </w:rPr>
        <w:t>万元。</w:t>
      </w:r>
    </w:p>
    <w:p>
      <w:pPr>
        <w:spacing w:before="197" w:line="18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2、课程教学质量奖：1.0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万元。</w:t>
      </w:r>
    </w:p>
    <w:p>
      <w:pPr>
        <w:spacing w:before="188"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3、非外语专业英语四级考试优秀奖</w:t>
      </w:r>
    </w:p>
    <w:p>
      <w:pPr>
        <w:spacing w:before="195"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（1）教学任务承担单位奖励</w:t>
      </w:r>
    </w:p>
    <w:p>
      <w:pPr>
        <w:spacing w:before="194" w:line="312" w:lineRule="auto"/>
        <w:ind w:left="2" w:right="76"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非外语专业本科全日制学生大学英语四级考试在课程结业时全校累积过级率达</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60</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2"/>
          <w:sz w:val="24"/>
          <w:szCs w:val="24"/>
        </w:rPr>
        <w:t>计算数据不包含专升本学生、美术专业学生以及音乐舞蹈学院、体育学院所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有专业的学生</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
          <w:sz w:val="24"/>
          <w:szCs w:val="24"/>
        </w:rPr>
        <w:t>奖励教学任务承担单位</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51"/>
          <w:w w:val="101"/>
          <w:sz w:val="24"/>
          <w:szCs w:val="24"/>
        </w:rPr>
        <w:t xml:space="preserve"> </w:t>
      </w:r>
      <w:r>
        <w:rPr>
          <w:rFonts w:ascii="方正书宋简体" w:hAnsi="方正书宋简体" w:eastAsia="方正书宋简体" w:cs="方正书宋简体"/>
          <w:spacing w:val="-1"/>
          <w:sz w:val="24"/>
          <w:szCs w:val="24"/>
        </w:rPr>
        <w:t>万元，每提高三个百分点在原来基础上</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增加奖励</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万元。</w:t>
      </w:r>
    </w:p>
    <w:p>
      <w:pPr>
        <w:spacing w:before="18" w:line="19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（2）任课教师奖励</w:t>
      </w:r>
    </w:p>
    <w:p>
      <w:pPr>
        <w:spacing w:before="178" w:line="314" w:lineRule="auto"/>
        <w:ind w:left="4" w:right="76"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以学院为统计单位，教学对象在非外语专业本科全日制学生大学英语四级考试</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1"/>
          <w:sz w:val="24"/>
          <w:szCs w:val="24"/>
        </w:rPr>
        <w:t>在课程结业时累积过级率达到</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1"/>
          <w:sz w:val="24"/>
          <w:szCs w:val="24"/>
        </w:rPr>
        <w:t>60</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1"/>
          <w:sz w:val="24"/>
          <w:szCs w:val="24"/>
        </w:rPr>
        <w:t>且在全校二级学院中排名前三的大学英语课程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任课教师团队，分别奖励</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万元、0.8</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万元、0.5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万元。</w:t>
      </w:r>
    </w:p>
    <w:p>
      <w:pPr>
        <w:spacing w:before="6" w:line="199"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4、非计算机专业公共计算机考试优秀奖</w:t>
      </w:r>
    </w:p>
    <w:p>
      <w:pPr>
        <w:spacing w:before="167"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（1）教学任务承担单位奖励</w:t>
      </w:r>
    </w:p>
    <w:p>
      <w:pPr>
        <w:spacing w:before="190" w:line="274"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非计算机专业本科全日制学生湖南省计算机水平考试和全国计算机等级考试在</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9"/>
          <w:sz w:val="24"/>
          <w:szCs w:val="24"/>
        </w:rPr>
        <w:t>课程结业时全校累积通过率达</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9"/>
          <w:sz w:val="24"/>
          <w:szCs w:val="24"/>
        </w:rPr>
        <w:t>85</w:t>
      </w:r>
      <w:r>
        <w:rPr>
          <w:rFonts w:ascii="方正书宋简体" w:hAnsi="方正书宋简体" w:eastAsia="方正书宋简体" w:cs="方正书宋简体"/>
          <w:spacing w:val="-24"/>
          <w:sz w:val="24"/>
          <w:szCs w:val="24"/>
        </w:rPr>
        <w:t>％（</w:t>
      </w:r>
      <w:r>
        <w:rPr>
          <w:rFonts w:ascii="方正书宋简体" w:hAnsi="方正书宋简体" w:eastAsia="方正书宋简体" w:cs="方正书宋简体"/>
          <w:spacing w:val="-9"/>
          <w:sz w:val="24"/>
          <w:szCs w:val="24"/>
        </w:rPr>
        <w:t>同一学生同时通过两种考试的，按</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9"/>
          <w:sz w:val="24"/>
          <w:szCs w:val="24"/>
        </w:rPr>
        <w:t>1</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9"/>
          <w:sz w:val="24"/>
          <w:szCs w:val="24"/>
        </w:rPr>
        <w:t>人次计算</w:t>
      </w:r>
      <w:r>
        <w:rPr>
          <w:rFonts w:ascii="方正书宋简体" w:hAnsi="方正书宋简体" w:eastAsia="方正书宋简体" w:cs="方正书宋简体"/>
          <w:spacing w:val="-24"/>
          <w:sz w:val="24"/>
          <w:szCs w:val="24"/>
        </w:rPr>
        <w:t>），</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奖励教学任务承担单位</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2"/>
          <w:sz w:val="24"/>
          <w:szCs w:val="24"/>
        </w:rPr>
        <w:t>3</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万元，每提高三个百分点在原来基础上增加奖励</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万元。</w:t>
      </w:r>
    </w:p>
    <w:p>
      <w:pPr>
        <w:spacing w:before="181" w:line="180"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（2）任课教师奖励</w:t>
      </w:r>
    </w:p>
    <w:p>
      <w:pPr>
        <w:spacing w:before="191"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以学院为统计单位，教学对象在非计算机专业本科全日制学生湖南省计算机水</w:t>
      </w:r>
    </w:p>
    <w:p>
      <w:pPr>
        <w:spacing w:before="251" w:line="180" w:lineRule="auto"/>
        <w:ind w:firstLine="4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323</w:t>
      </w:r>
    </w:p>
    <w:p>
      <w:pPr>
        <w:sectPr>
          <w:footerReference r:id="rId327" w:type="default"/>
          <w:pgSz w:w="11905" w:h="16840"/>
          <w:pgMar w:top="1431" w:right="1510" w:bottom="400" w:left="1588" w:header="0" w:footer="0" w:gutter="0"/>
          <w:cols w:space="720" w:num="1"/>
        </w:sectPr>
      </w:pPr>
    </w:p>
    <w:p>
      <w:pPr>
        <w:spacing w:before="427" w:line="314" w:lineRule="auto"/>
        <w:ind w:left="1" w:right="97"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平考试和全国计算机等级考试在课程结业时累积通过率达到</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1"/>
          <w:sz w:val="24"/>
          <w:szCs w:val="24"/>
        </w:rPr>
        <w:t>85</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1"/>
          <w:sz w:val="24"/>
          <w:szCs w:val="24"/>
        </w:rPr>
        <w:t>同一学生同时通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过两种考试的，按</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2"/>
          <w:sz w:val="24"/>
          <w:szCs w:val="24"/>
        </w:rPr>
        <w:t>人次计算</w:t>
      </w:r>
      <w:r>
        <w:rPr>
          <w:rFonts w:ascii="方正书宋简体" w:hAnsi="方正书宋简体" w:eastAsia="方正书宋简体" w:cs="方正书宋简体"/>
          <w:spacing w:val="16"/>
          <w:sz w:val="24"/>
          <w:szCs w:val="24"/>
        </w:rPr>
        <w:t>），</w:t>
      </w:r>
      <w:r>
        <w:rPr>
          <w:rFonts w:ascii="方正书宋简体" w:hAnsi="方正书宋简体" w:eastAsia="方正书宋简体" w:cs="方正书宋简体"/>
          <w:spacing w:val="-2"/>
          <w:sz w:val="24"/>
          <w:szCs w:val="24"/>
        </w:rPr>
        <w:t>且在全校二级学院中排名前三的公共计算机课程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任课教师团队，分别奖励</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3"/>
          <w:sz w:val="24"/>
          <w:szCs w:val="24"/>
        </w:rPr>
        <w:t>1</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万元、0.8</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3"/>
          <w:sz w:val="24"/>
          <w:szCs w:val="24"/>
        </w:rPr>
        <w:t>万元、0.5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万元。</w:t>
      </w:r>
    </w:p>
    <w:p>
      <w:pPr>
        <w:spacing w:before="6" w:line="20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5、优秀硕博士学位论文奖</w:t>
      </w:r>
    </w:p>
    <w:p>
      <w:pPr>
        <w:spacing w:before="159"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（1）省级优秀硕博士学位论文奖：</w:t>
      </w:r>
      <w:r>
        <w:rPr>
          <w:rFonts w:ascii="方正书宋简体" w:hAnsi="方正书宋简体" w:eastAsia="方正书宋简体" w:cs="方正书宋简体"/>
          <w:spacing w:val="59"/>
          <w:sz w:val="24"/>
          <w:szCs w:val="24"/>
        </w:rPr>
        <w:t xml:space="preserve"> </w:t>
      </w:r>
      <w:r>
        <w:rPr>
          <w:rFonts w:ascii="方正书宋简体" w:hAnsi="方正书宋简体" w:eastAsia="方正书宋简体" w:cs="方正书宋简体"/>
          <w:spacing w:val="-11"/>
          <w:w w:val="96"/>
          <w:sz w:val="24"/>
          <w:szCs w:val="24"/>
        </w:rPr>
        <w:t>0.4</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6"/>
          <w:sz w:val="24"/>
          <w:szCs w:val="24"/>
        </w:rPr>
        <w:t>万元（指导教师</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6"/>
          <w:sz w:val="24"/>
          <w:szCs w:val="24"/>
        </w:rPr>
        <w:t>0.2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6"/>
          <w:sz w:val="24"/>
          <w:szCs w:val="24"/>
        </w:rPr>
        <w:t>万元，</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6"/>
          <w:sz w:val="24"/>
          <w:szCs w:val="24"/>
        </w:rPr>
        <w:t>研究生</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6"/>
          <w:sz w:val="24"/>
          <w:szCs w:val="24"/>
        </w:rPr>
        <w:t>0.2</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万元</w:t>
      </w:r>
      <w:r>
        <w:rPr>
          <w:rFonts w:ascii="方正书宋简体" w:hAnsi="方正书宋简体" w:eastAsia="方正书宋简体" w:cs="方正书宋简体"/>
          <w:spacing w:val="13"/>
          <w:sz w:val="24"/>
          <w:szCs w:val="24"/>
        </w:rPr>
        <w:t>）；</w:t>
      </w:r>
    </w:p>
    <w:p>
      <w:pPr>
        <w:spacing w:before="174" w:line="193"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（2）校级优秀硕博士学位论文奖：</w:t>
      </w:r>
      <w:r>
        <w:rPr>
          <w:rFonts w:ascii="方正书宋简体" w:hAnsi="方正书宋简体" w:eastAsia="方正书宋简体" w:cs="方正书宋简体"/>
          <w:spacing w:val="137"/>
          <w:w w:val="101"/>
          <w:sz w:val="24"/>
          <w:szCs w:val="24"/>
        </w:rPr>
        <w:t xml:space="preserve"> </w:t>
      </w:r>
      <w:r>
        <w:rPr>
          <w:rFonts w:ascii="方正书宋简体" w:hAnsi="方正书宋简体" w:eastAsia="方正书宋简体" w:cs="方正书宋简体"/>
          <w:spacing w:val="-11"/>
          <w:w w:val="96"/>
          <w:sz w:val="24"/>
          <w:szCs w:val="24"/>
        </w:rPr>
        <w:t>0.2</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1"/>
          <w:w w:val="96"/>
          <w:sz w:val="24"/>
          <w:szCs w:val="24"/>
        </w:rPr>
        <w:t>万元（指导教师</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6"/>
          <w:sz w:val="24"/>
          <w:szCs w:val="24"/>
        </w:rPr>
        <w:t>0.1</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w w:val="96"/>
          <w:sz w:val="24"/>
          <w:szCs w:val="24"/>
        </w:rPr>
        <w:t>万元，</w:t>
      </w:r>
      <w:r>
        <w:rPr>
          <w:rFonts w:ascii="方正书宋简体" w:hAnsi="方正书宋简体" w:eastAsia="方正书宋简体" w:cs="方正书宋简体"/>
          <w:spacing w:val="46"/>
          <w:sz w:val="24"/>
          <w:szCs w:val="24"/>
        </w:rPr>
        <w:t xml:space="preserve"> </w:t>
      </w:r>
      <w:r>
        <w:rPr>
          <w:rFonts w:ascii="方正书宋简体" w:hAnsi="方正书宋简体" w:eastAsia="方正书宋简体" w:cs="方正书宋简体"/>
          <w:spacing w:val="-11"/>
          <w:w w:val="96"/>
          <w:sz w:val="24"/>
          <w:szCs w:val="24"/>
        </w:rPr>
        <w:t>研究生</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6"/>
          <w:sz w:val="24"/>
          <w:szCs w:val="24"/>
        </w:rPr>
        <w:t>0.1</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1"/>
          <w:w w:val="96"/>
          <w:sz w:val="24"/>
          <w:szCs w:val="24"/>
        </w:rPr>
        <w:t>万元）。</w:t>
      </w:r>
    </w:p>
    <w:p>
      <w:pPr>
        <w:spacing w:before="166" w:line="180" w:lineRule="auto"/>
        <w:ind w:firstLine="3533"/>
        <w:rPr>
          <w:rFonts w:ascii="Microsoft JhengHei" w:hAnsi="Microsoft JhengHei" w:eastAsia="Microsoft JhengHei" w:cs="Microsoft JhengHei"/>
          <w:sz w:val="24"/>
          <w:szCs w:val="24"/>
        </w:rPr>
      </w:pPr>
      <w:r>
        <w:rPr>
          <w:rFonts w:ascii="Microsoft JhengHei" w:hAnsi="Microsoft JhengHei" w:eastAsia="Microsoft JhengHei" w:cs="Microsoft JhengHei"/>
          <w:spacing w:val="-8"/>
          <w:sz w:val="24"/>
          <w:szCs w:val="24"/>
        </w:rPr>
        <w:t>第三章</w:t>
      </w:r>
      <w:r>
        <w:rPr>
          <w:rFonts w:ascii="Microsoft JhengHei" w:hAnsi="Microsoft JhengHei" w:eastAsia="Microsoft JhengHei" w:cs="Microsoft JhengHei"/>
          <w:spacing w:val="6"/>
          <w:w w:val="101"/>
          <w:sz w:val="24"/>
          <w:szCs w:val="24"/>
        </w:rPr>
        <w:t xml:space="preserve">    </w:t>
      </w:r>
      <w:r>
        <w:rPr>
          <w:rFonts w:ascii="Microsoft JhengHei" w:hAnsi="Microsoft JhengHei" w:eastAsia="Microsoft JhengHei" w:cs="Microsoft JhengHei"/>
          <w:spacing w:val="-8"/>
          <w:sz w:val="24"/>
          <w:szCs w:val="24"/>
        </w:rPr>
        <w:t>附</w:t>
      </w:r>
      <w:r>
        <w:rPr>
          <w:rFonts w:ascii="Microsoft JhengHei" w:hAnsi="Microsoft JhengHei" w:eastAsia="Microsoft JhengHei" w:cs="Microsoft JhengHei"/>
          <w:spacing w:val="2"/>
          <w:sz w:val="24"/>
          <w:szCs w:val="24"/>
        </w:rPr>
        <w:t xml:space="preserve">    </w:t>
      </w:r>
      <w:r>
        <w:rPr>
          <w:rFonts w:ascii="Microsoft JhengHei" w:hAnsi="Microsoft JhengHei" w:eastAsia="Microsoft JhengHei" w:cs="Microsoft JhengHei"/>
          <w:spacing w:val="-8"/>
          <w:sz w:val="24"/>
          <w:szCs w:val="24"/>
        </w:rPr>
        <w:t>则</w:t>
      </w:r>
    </w:p>
    <w:p>
      <w:pPr>
        <w:spacing w:before="13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第十三条</w:t>
      </w:r>
      <w:r>
        <w:rPr>
          <w:rFonts w:ascii="Microsoft JhengHei" w:hAnsi="Microsoft JhengHei" w:eastAsia="Microsoft JhengHei" w:cs="Microsoft JhengHei"/>
          <w:spacing w:val="10"/>
          <w:sz w:val="24"/>
          <w:szCs w:val="24"/>
        </w:rPr>
        <w:t xml:space="preserve">    </w:t>
      </w:r>
      <w:r>
        <w:rPr>
          <w:rFonts w:ascii="方正书宋简体" w:hAnsi="方正书宋简体" w:eastAsia="方正书宋简体" w:cs="方正书宋简体"/>
          <w:spacing w:val="-3"/>
          <w:sz w:val="24"/>
          <w:szCs w:val="24"/>
        </w:rPr>
        <w:t>同一项目按最高档次奖励计奖一次，不重复奖励。</w:t>
      </w:r>
    </w:p>
    <w:p>
      <w:pPr>
        <w:spacing w:before="139" w:line="180" w:lineRule="auto"/>
        <w:ind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第十四条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当年统计只奖励上一年度的获奖项目，奖励项目统计时间从上一年</w:t>
      </w:r>
    </w:p>
    <w:p>
      <w:pPr>
        <w:spacing w:before="155" w:line="180"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度</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11"/>
          <w:w w:val="96"/>
          <w:sz w:val="24"/>
          <w:szCs w:val="24"/>
        </w:rPr>
        <w:t>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6"/>
          <w:sz w:val="24"/>
          <w:szCs w:val="24"/>
        </w:rPr>
        <w:t>1</w:t>
      </w:r>
      <w:r>
        <w:rPr>
          <w:rFonts w:ascii="方正书宋简体" w:hAnsi="方正书宋简体" w:eastAsia="方正书宋简体" w:cs="方正书宋简体"/>
          <w:spacing w:val="57"/>
          <w:w w:val="101"/>
          <w:sz w:val="24"/>
          <w:szCs w:val="24"/>
        </w:rPr>
        <w:t xml:space="preserve"> </w:t>
      </w:r>
      <w:r>
        <w:rPr>
          <w:rFonts w:ascii="方正书宋简体" w:hAnsi="方正书宋简体" w:eastAsia="方正书宋简体" w:cs="方正书宋简体"/>
          <w:spacing w:val="-11"/>
          <w:w w:val="96"/>
          <w:sz w:val="24"/>
          <w:szCs w:val="24"/>
        </w:rPr>
        <w:t>日至</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1"/>
          <w:w w:val="96"/>
          <w:sz w:val="24"/>
          <w:szCs w:val="24"/>
        </w:rPr>
        <w:t>12</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6"/>
          <w:sz w:val="24"/>
          <w:szCs w:val="24"/>
        </w:rPr>
        <w:t>月</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11"/>
          <w:w w:val="96"/>
          <w:sz w:val="24"/>
          <w:szCs w:val="24"/>
        </w:rPr>
        <w:t>31</w:t>
      </w:r>
      <w:r>
        <w:rPr>
          <w:rFonts w:ascii="方正书宋简体" w:hAnsi="方正书宋简体" w:eastAsia="方正书宋简体" w:cs="方正书宋简体"/>
          <w:spacing w:val="57"/>
          <w:w w:val="101"/>
          <w:sz w:val="24"/>
          <w:szCs w:val="24"/>
        </w:rPr>
        <w:t xml:space="preserve"> </w:t>
      </w:r>
      <w:r>
        <w:rPr>
          <w:rFonts w:ascii="方正书宋简体" w:hAnsi="方正书宋简体" w:eastAsia="方正书宋简体" w:cs="方正书宋简体"/>
          <w:spacing w:val="-11"/>
          <w:w w:val="96"/>
          <w:sz w:val="24"/>
          <w:szCs w:val="24"/>
        </w:rPr>
        <w:t>日。</w:t>
      </w:r>
    </w:p>
    <w:p>
      <w:pPr>
        <w:spacing w:line="122" w:lineRule="exact"/>
      </w:pPr>
    </w:p>
    <w:p>
      <w:pPr>
        <w:sectPr>
          <w:footerReference r:id="rId328" w:type="default"/>
          <w:pgSz w:w="11905" w:h="16840"/>
          <w:pgMar w:top="1431" w:right="1489" w:bottom="400" w:left="1590" w:header="0" w:footer="0" w:gutter="0"/>
          <w:cols w:equalWidth="0" w:num="1">
            <w:col w:w="8825"/>
          </w:cols>
        </w:sectPr>
      </w:pPr>
    </w:p>
    <w:p>
      <w:pPr>
        <w:spacing w:before="56" w:line="281" w:lineRule="auto"/>
        <w:ind w:right="75" w:firstLine="489"/>
        <w:rPr>
          <w:rFonts w:ascii="方正书宋简体" w:hAnsi="方正书宋简体" w:eastAsia="方正书宋简体" w:cs="方正书宋简体"/>
          <w:sz w:val="24"/>
          <w:szCs w:val="24"/>
        </w:rPr>
      </w:pPr>
      <w:r>
        <w:rPr>
          <w:rFonts w:ascii="Microsoft JhengHei" w:hAnsi="Microsoft JhengHei" w:eastAsia="Microsoft JhengHei" w:cs="Microsoft JhengHei"/>
          <w:spacing w:val="-4"/>
          <w:sz w:val="24"/>
          <w:szCs w:val="24"/>
        </w:rPr>
        <w:t>第十五条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7"/>
          <w:sz w:val="24"/>
          <w:szCs w:val="24"/>
        </w:rPr>
        <w:t>废止。</w:t>
      </w:r>
    </w:p>
    <w:p>
      <w:pPr>
        <w:spacing w:before="11" w:line="270" w:lineRule="exact"/>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position w:val="-1"/>
          <w:sz w:val="24"/>
          <w:szCs w:val="24"/>
        </w:rPr>
        <w:t>第十六条</w:t>
      </w:r>
    </w:p>
    <w:p>
      <w:pPr>
        <w:spacing w:line="14" w:lineRule="auto"/>
        <w:rPr>
          <w:rFonts w:ascii="Malgun Gothic"/>
          <w:sz w:val="2"/>
        </w:rPr>
      </w:pPr>
      <w:r>
        <w:rPr>
          <w:rFonts w:ascii="Malgun Gothic" w:hAnsi="Malgun Gothic" w:eastAsia="Malgun Gothic" w:cs="Malgun Gothic"/>
          <w:sz w:val="2"/>
          <w:szCs w:val="2"/>
        </w:rPr>
        <w:br w:type="column"/>
      </w:r>
    </w:p>
    <w:p>
      <w:pPr>
        <w:spacing w:before="64" w:line="180" w:lineRule="auto"/>
        <w:ind w:firstLine="6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本办法自</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6"/>
          <w:sz w:val="24"/>
          <w:szCs w:val="24"/>
        </w:rPr>
        <w:t>2017</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年起执行，</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6"/>
          <w:sz w:val="24"/>
          <w:szCs w:val="24"/>
        </w:rPr>
        <w:t>学校原有文件中有关教学奖励的条款自动</w:t>
      </w:r>
    </w:p>
    <w:p>
      <w:pPr>
        <w:spacing w:line="370" w:lineRule="auto"/>
        <w:rPr>
          <w:rFonts w:ascii="Malgun Gothic"/>
          <w:sz w:val="21"/>
        </w:rPr>
      </w:pPr>
    </w:p>
    <w:p>
      <w:pPr>
        <w:spacing w:before="86" w:line="179" w:lineRule="auto"/>
        <w:ind w:firstLine="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本办法由教务处、研究生处负责解释。凡与本科教育教学工作有关</w:t>
      </w:r>
    </w:p>
    <w:p>
      <w:pPr>
        <w:sectPr>
          <w:type w:val="continuous"/>
          <w:pgSz w:w="11905" w:h="16840"/>
          <w:pgMar w:top="1431" w:right="1489" w:bottom="400" w:left="1590" w:header="0" w:footer="0" w:gutter="0"/>
          <w:cols w:equalWidth="0" w:num="2">
            <w:col w:w="1513" w:space="100"/>
            <w:col w:w="7213"/>
          </w:cols>
        </w:sectPr>
      </w:pPr>
    </w:p>
    <w:p>
      <w:pPr>
        <w:spacing w:before="195" w:line="315" w:lineRule="auto"/>
        <w:ind w:left="1" w:right="96" w:firstLine="1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的各项奖励由教务处负责组织统计、审核与实施。凡与学位与研究生教育有关的各</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项奖励由研究生处负责组织统计、审核与实施。</w:t>
      </w:r>
    </w:p>
    <w:p>
      <w:pPr>
        <w:spacing w:line="241" w:lineRule="auto"/>
        <w:rPr>
          <w:rFonts w:ascii="Malgun Gothic"/>
          <w:sz w:val="21"/>
        </w:rPr>
      </w:pPr>
    </w:p>
    <w:p>
      <w:pPr>
        <w:spacing w:before="87" w:line="180" w:lineRule="auto"/>
        <w:ind w:firstLine="496"/>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附件：1、A</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类期刊</w:t>
      </w:r>
    </w:p>
    <w:p>
      <w:pPr>
        <w:spacing w:before="193" w:line="180" w:lineRule="auto"/>
        <w:ind w:firstLine="12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2、B</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类期刊</w:t>
      </w:r>
    </w:p>
    <w:p>
      <w:pPr>
        <w:spacing w:before="193" w:line="180" w:lineRule="auto"/>
        <w:ind w:firstLine="120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3、C</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3"/>
          <w:sz w:val="24"/>
          <w:szCs w:val="24"/>
        </w:rPr>
        <w:t>类期刊</w:t>
      </w:r>
    </w:p>
    <w:p>
      <w:pPr>
        <w:spacing w:before="193" w:line="180" w:lineRule="auto"/>
        <w:ind w:firstLine="11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4、D</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
          <w:sz w:val="24"/>
          <w:szCs w:val="24"/>
        </w:rPr>
        <w:t>类期刊</w:t>
      </w:r>
    </w:p>
    <w:p>
      <w:pPr>
        <w:spacing w:before="194" w:line="180" w:lineRule="auto"/>
        <w:ind w:firstLine="120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5、E</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类期刊</w:t>
      </w: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before="61" w:line="144" w:lineRule="exact"/>
        <w:ind w:firstLine="4212"/>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324</w:t>
      </w:r>
    </w:p>
    <w:p>
      <w:pPr>
        <w:sectPr>
          <w:type w:val="continuous"/>
          <w:pgSz w:w="11905" w:h="16840"/>
          <w:pgMar w:top="1431" w:right="1489" w:bottom="400" w:left="1590" w:header="0" w:footer="0" w:gutter="0"/>
          <w:cols w:equalWidth="0" w:num="1">
            <w:col w:w="8825"/>
          </w:cols>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7"/>
          <w:sz w:val="24"/>
          <w:szCs w:val="24"/>
        </w:rPr>
        <w:t>1</w:t>
      </w:r>
    </w:p>
    <w:p>
      <w:pPr>
        <w:spacing w:before="149" w:line="164" w:lineRule="auto"/>
        <w:ind w:firstLine="3292"/>
        <w:rPr>
          <w:rFonts w:ascii="Microsoft JhengHei" w:hAnsi="Microsoft JhengHei" w:eastAsia="Microsoft JhengHei" w:cs="Microsoft JhengHei"/>
          <w:sz w:val="28"/>
          <w:szCs w:val="28"/>
        </w:rPr>
      </w:pPr>
      <w:r>
        <w:rPr>
          <w:rFonts w:ascii="Malgun Gothic" w:hAnsi="Malgun Gothic" w:eastAsia="Malgun Gothic" w:cs="Malgun Gothic"/>
          <w:spacing w:val="-1"/>
          <w:sz w:val="28"/>
          <w:szCs w:val="28"/>
        </w:rPr>
        <w:t>A</w:t>
      </w:r>
      <w:r>
        <w:rPr>
          <w:rFonts w:ascii="Malgun Gothic" w:hAnsi="Malgun Gothic" w:eastAsia="Malgun Gothic" w:cs="Malgun Gothic"/>
          <w:spacing w:val="-15"/>
          <w:sz w:val="28"/>
          <w:szCs w:val="28"/>
        </w:rPr>
        <w:t xml:space="preserve"> </w:t>
      </w:r>
      <w:r>
        <w:rPr>
          <w:rFonts w:ascii="Microsoft JhengHei" w:hAnsi="Microsoft JhengHei" w:eastAsia="Microsoft JhengHei" w:cs="Microsoft JhengHei"/>
          <w:spacing w:val="-1"/>
          <w:sz w:val="28"/>
          <w:szCs w:val="28"/>
        </w:rPr>
        <w:t>类期刊（5</w:t>
      </w:r>
      <w:r>
        <w:rPr>
          <w:rFonts w:ascii="Microsoft JhengHei" w:hAnsi="Microsoft JhengHei" w:eastAsia="Microsoft JhengHei" w:cs="Microsoft JhengHei"/>
          <w:spacing w:val="7"/>
          <w:w w:val="101"/>
          <w:sz w:val="28"/>
          <w:szCs w:val="28"/>
        </w:rPr>
        <w:t xml:space="preserve"> </w:t>
      </w:r>
      <w:r>
        <w:rPr>
          <w:rFonts w:ascii="Microsoft JhengHei" w:hAnsi="Microsoft JhengHei" w:eastAsia="Microsoft JhengHei" w:cs="Microsoft JhengHei"/>
          <w:spacing w:val="-1"/>
          <w:sz w:val="28"/>
          <w:szCs w:val="28"/>
        </w:rPr>
        <w:t>种）</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6"/>
        <w:gridCol w:w="2509"/>
        <w:gridCol w:w="2819"/>
        <w:gridCol w:w="2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106" w:type="dxa"/>
            <w:tcBorders>
              <w:top w:val="single" w:color="000000" w:sz="6" w:space="0"/>
              <w:left w:val="single" w:color="000000" w:sz="6" w:space="0"/>
            </w:tcBorders>
            <w:vAlign w:val="top"/>
          </w:tcPr>
          <w:p>
            <w:pPr>
              <w:spacing w:before="135" w:line="180" w:lineRule="auto"/>
              <w:ind w:firstLine="284"/>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509" w:type="dxa"/>
            <w:tcBorders>
              <w:top w:val="single" w:color="000000" w:sz="6" w:space="0"/>
            </w:tcBorders>
            <w:vAlign w:val="top"/>
          </w:tcPr>
          <w:p>
            <w:pPr>
              <w:spacing w:before="135" w:line="180" w:lineRule="auto"/>
              <w:ind w:firstLine="833"/>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2819" w:type="dxa"/>
            <w:tcBorders>
              <w:top w:val="single" w:color="000000" w:sz="6" w:space="0"/>
            </w:tcBorders>
            <w:vAlign w:val="top"/>
          </w:tcPr>
          <w:p>
            <w:pPr>
              <w:spacing w:before="135" w:line="180" w:lineRule="auto"/>
              <w:ind w:firstLine="681"/>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2300" w:type="dxa"/>
            <w:tcBorders>
              <w:top w:val="single" w:color="000000" w:sz="6" w:space="0"/>
              <w:right w:val="single" w:color="000000" w:sz="6" w:space="0"/>
            </w:tcBorders>
            <w:vAlign w:val="top"/>
          </w:tcPr>
          <w:p>
            <w:pPr>
              <w:spacing w:before="135" w:line="180" w:lineRule="auto"/>
              <w:ind w:firstLine="871"/>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106" w:type="dxa"/>
            <w:tcBorders>
              <w:left w:val="single" w:color="000000" w:sz="6" w:space="0"/>
            </w:tcBorders>
            <w:vAlign w:val="top"/>
          </w:tcPr>
          <w:p>
            <w:pPr>
              <w:spacing w:before="168" w:line="180" w:lineRule="auto"/>
              <w:ind w:firstLine="51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509" w:type="dxa"/>
            <w:vAlign w:val="top"/>
          </w:tcPr>
          <w:p>
            <w:pPr>
              <w:spacing w:before="135" w:line="180" w:lineRule="auto"/>
              <w:ind w:firstLine="83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教育研究</w:t>
            </w:r>
          </w:p>
        </w:tc>
        <w:tc>
          <w:tcPr>
            <w:tcW w:w="2819" w:type="dxa"/>
            <w:vAlign w:val="top"/>
          </w:tcPr>
          <w:p>
            <w:pPr>
              <w:spacing w:before="135" w:line="180" w:lineRule="auto"/>
              <w:ind w:firstLine="4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中央教育科学研究所</w:t>
            </w:r>
          </w:p>
        </w:tc>
        <w:tc>
          <w:tcPr>
            <w:tcW w:w="2300" w:type="dxa"/>
            <w:tcBorders>
              <w:right w:val="single" w:color="000000" w:sz="6" w:space="0"/>
            </w:tcBorders>
            <w:vAlign w:val="top"/>
          </w:tcPr>
          <w:p>
            <w:pPr>
              <w:spacing w:before="166"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CN11-1281/G4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06" w:type="dxa"/>
            <w:tcBorders>
              <w:left w:val="single" w:color="000000" w:sz="6" w:space="0"/>
            </w:tcBorders>
            <w:vAlign w:val="top"/>
          </w:tcPr>
          <w:p>
            <w:pPr>
              <w:spacing w:before="172"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509" w:type="dxa"/>
            <w:vAlign w:val="top"/>
          </w:tcPr>
          <w:p>
            <w:pPr>
              <w:spacing w:before="138" w:line="180" w:lineRule="auto"/>
              <w:ind w:firstLine="62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高等教育研究</w:t>
            </w:r>
          </w:p>
        </w:tc>
        <w:tc>
          <w:tcPr>
            <w:tcW w:w="2819" w:type="dxa"/>
            <w:vAlign w:val="top"/>
          </w:tcPr>
          <w:p>
            <w:pPr>
              <w:spacing w:before="138" w:line="180" w:lineRule="auto"/>
              <w:ind w:firstLine="6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华中科技大学等</w:t>
            </w:r>
          </w:p>
        </w:tc>
        <w:tc>
          <w:tcPr>
            <w:tcW w:w="2300" w:type="dxa"/>
            <w:tcBorders>
              <w:right w:val="single" w:color="000000" w:sz="6" w:space="0"/>
            </w:tcBorders>
            <w:vAlign w:val="top"/>
          </w:tcPr>
          <w:p>
            <w:pPr>
              <w:spacing w:before="169"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CN42-1024/G4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1106" w:type="dxa"/>
            <w:tcBorders>
              <w:left w:val="single" w:color="000000" w:sz="6" w:space="0"/>
            </w:tcBorders>
            <w:vAlign w:val="top"/>
          </w:tcPr>
          <w:p>
            <w:pPr>
              <w:spacing w:before="174" w:line="180" w:lineRule="auto"/>
              <w:ind w:firstLine="50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509" w:type="dxa"/>
            <w:vAlign w:val="top"/>
          </w:tcPr>
          <w:p>
            <w:pPr>
              <w:spacing w:before="141" w:line="180" w:lineRule="auto"/>
              <w:ind w:firstLine="64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中国高教研究</w:t>
            </w:r>
          </w:p>
        </w:tc>
        <w:tc>
          <w:tcPr>
            <w:tcW w:w="2819" w:type="dxa"/>
            <w:vAlign w:val="top"/>
          </w:tcPr>
          <w:p>
            <w:pPr>
              <w:spacing w:before="141" w:line="180" w:lineRule="auto"/>
              <w:ind w:firstLine="59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中国高等教育学会</w:t>
            </w:r>
          </w:p>
        </w:tc>
        <w:tc>
          <w:tcPr>
            <w:tcW w:w="2300" w:type="dxa"/>
            <w:tcBorders>
              <w:right w:val="single" w:color="000000" w:sz="6" w:space="0"/>
            </w:tcBorders>
            <w:vAlign w:val="top"/>
          </w:tcPr>
          <w:p>
            <w:pPr>
              <w:spacing w:before="172"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CN11-2962/G4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trPr>
        <w:tc>
          <w:tcPr>
            <w:tcW w:w="1106" w:type="dxa"/>
            <w:tcBorders>
              <w:left w:val="single" w:color="000000" w:sz="6" w:space="0"/>
            </w:tcBorders>
            <w:vAlign w:val="top"/>
          </w:tcPr>
          <w:p>
            <w:pPr>
              <w:spacing w:before="177" w:line="180" w:lineRule="auto"/>
              <w:ind w:firstLine="49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509" w:type="dxa"/>
            <w:vAlign w:val="top"/>
          </w:tcPr>
          <w:p>
            <w:pPr>
              <w:spacing w:before="144" w:line="180" w:lineRule="auto"/>
              <w:ind w:firstLine="64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中国高等教育</w:t>
            </w:r>
          </w:p>
        </w:tc>
        <w:tc>
          <w:tcPr>
            <w:tcW w:w="2819" w:type="dxa"/>
            <w:vAlign w:val="top"/>
          </w:tcPr>
          <w:p>
            <w:pPr>
              <w:spacing w:before="144" w:line="180" w:lineRule="auto"/>
              <w:ind w:firstLine="69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中国教育报刊社</w:t>
            </w:r>
          </w:p>
        </w:tc>
        <w:tc>
          <w:tcPr>
            <w:tcW w:w="2300" w:type="dxa"/>
            <w:tcBorders>
              <w:right w:val="single" w:color="000000" w:sz="6" w:space="0"/>
            </w:tcBorders>
            <w:vAlign w:val="top"/>
          </w:tcPr>
          <w:p>
            <w:pPr>
              <w:spacing w:before="175"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CN11-1200/G4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106" w:type="dxa"/>
            <w:tcBorders>
              <w:left w:val="single" w:color="000000" w:sz="6" w:space="0"/>
              <w:bottom w:val="single" w:color="000000" w:sz="6" w:space="0"/>
            </w:tcBorders>
            <w:vAlign w:val="top"/>
          </w:tcPr>
          <w:p>
            <w:pPr>
              <w:spacing w:before="177" w:line="180" w:lineRule="auto"/>
              <w:ind w:firstLine="49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509" w:type="dxa"/>
            <w:tcBorders>
              <w:bottom w:val="single" w:color="000000" w:sz="6" w:space="0"/>
            </w:tcBorders>
            <w:vAlign w:val="top"/>
          </w:tcPr>
          <w:p>
            <w:pPr>
              <w:spacing w:before="147" w:line="180" w:lineRule="auto"/>
              <w:ind w:firstLine="4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学位与研究生教育</w:t>
            </w:r>
          </w:p>
        </w:tc>
        <w:tc>
          <w:tcPr>
            <w:tcW w:w="2819" w:type="dxa"/>
            <w:tcBorders>
              <w:bottom w:val="single" w:color="000000" w:sz="6" w:space="0"/>
            </w:tcBorders>
            <w:vAlign w:val="top"/>
          </w:tcPr>
          <w:p>
            <w:pPr>
              <w:spacing w:before="148" w:line="180" w:lineRule="auto"/>
              <w:ind w:firstLine="59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国务院学位委员会</w:t>
            </w:r>
          </w:p>
        </w:tc>
        <w:tc>
          <w:tcPr>
            <w:tcW w:w="2300" w:type="dxa"/>
            <w:tcBorders>
              <w:bottom w:val="single" w:color="000000" w:sz="6" w:space="0"/>
              <w:right w:val="single" w:color="000000" w:sz="6" w:space="0"/>
            </w:tcBorders>
            <w:vAlign w:val="top"/>
          </w:tcPr>
          <w:p>
            <w:pPr>
              <w:spacing w:before="178"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CN11-1736/G4</w:t>
            </w:r>
          </w:p>
        </w:tc>
      </w:tr>
    </w:tbl>
    <w:p>
      <w:pPr>
        <w:spacing w:line="347" w:lineRule="auto"/>
        <w:rPr>
          <w:rFonts w:ascii="Malgun Gothic"/>
          <w:sz w:val="21"/>
        </w:rPr>
      </w:pPr>
    </w:p>
    <w:p>
      <w:pPr>
        <w:spacing w:before="85"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2</w:t>
      </w:r>
    </w:p>
    <w:p>
      <w:pPr>
        <w:spacing w:before="149" w:line="164" w:lineRule="auto"/>
        <w:ind w:firstLine="3230"/>
        <w:rPr>
          <w:rFonts w:ascii="Malgun Gothic" w:hAnsi="Malgun Gothic" w:eastAsia="Malgun Gothic" w:cs="Malgun Gothic"/>
          <w:sz w:val="28"/>
          <w:szCs w:val="28"/>
        </w:rPr>
      </w:pPr>
      <w:r>
        <w:rPr>
          <w:rFonts w:ascii="Malgun Gothic" w:hAnsi="Malgun Gothic" w:eastAsia="Malgun Gothic" w:cs="Malgun Gothic"/>
          <w:spacing w:val="-3"/>
          <w:sz w:val="28"/>
          <w:szCs w:val="28"/>
        </w:rPr>
        <w:t>B</w:t>
      </w:r>
      <w:r>
        <w:rPr>
          <w:rFonts w:ascii="Malgun Gothic" w:hAnsi="Malgun Gothic" w:eastAsia="Malgun Gothic" w:cs="Malgun Gothic"/>
          <w:spacing w:val="-10"/>
          <w:sz w:val="28"/>
          <w:szCs w:val="28"/>
        </w:rPr>
        <w:t xml:space="preserve"> </w:t>
      </w:r>
      <w:r>
        <w:rPr>
          <w:rFonts w:ascii="Microsoft JhengHei" w:hAnsi="Microsoft JhengHei" w:eastAsia="Microsoft JhengHei" w:cs="Microsoft JhengHei"/>
          <w:spacing w:val="-3"/>
          <w:sz w:val="28"/>
          <w:szCs w:val="28"/>
        </w:rPr>
        <w:t>类期刊（11</w:t>
      </w:r>
      <w:r>
        <w:rPr>
          <w:rFonts w:ascii="Microsoft JhengHei" w:hAnsi="Microsoft JhengHei" w:eastAsia="Microsoft JhengHei" w:cs="Microsoft JhengHei"/>
          <w:spacing w:val="7"/>
          <w:sz w:val="28"/>
          <w:szCs w:val="28"/>
        </w:rPr>
        <w:t xml:space="preserve"> </w:t>
      </w:r>
      <w:r>
        <w:rPr>
          <w:rFonts w:ascii="Microsoft JhengHei" w:hAnsi="Microsoft JhengHei" w:eastAsia="Microsoft JhengHei" w:cs="Microsoft JhengHei"/>
          <w:spacing w:val="-3"/>
          <w:sz w:val="28"/>
          <w:szCs w:val="28"/>
        </w:rPr>
        <w:t>种</w:t>
      </w:r>
      <w:r>
        <w:rPr>
          <w:rFonts w:ascii="Malgun Gothic" w:hAnsi="Malgun Gothic" w:eastAsia="Malgun Gothic" w:cs="Malgun Gothic"/>
          <w:spacing w:val="-3"/>
          <w:sz w:val="28"/>
          <w:szCs w:val="28"/>
        </w:rPr>
        <w:t>）</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2583"/>
        <w:gridCol w:w="2680"/>
        <w:gridCol w:w="23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115" w:type="dxa"/>
            <w:tcBorders>
              <w:top w:val="single" w:color="000000" w:sz="6" w:space="0"/>
              <w:left w:val="single" w:color="000000" w:sz="6" w:space="0"/>
            </w:tcBorders>
            <w:vAlign w:val="top"/>
          </w:tcPr>
          <w:p>
            <w:pPr>
              <w:spacing w:before="111" w:line="180" w:lineRule="auto"/>
              <w:ind w:firstLine="28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583" w:type="dxa"/>
            <w:tcBorders>
              <w:top w:val="single" w:color="000000" w:sz="6" w:space="0"/>
            </w:tcBorders>
            <w:vAlign w:val="top"/>
          </w:tcPr>
          <w:p>
            <w:pPr>
              <w:spacing w:before="111" w:line="180" w:lineRule="auto"/>
              <w:ind w:firstLine="87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2680" w:type="dxa"/>
            <w:tcBorders>
              <w:top w:val="single" w:color="000000" w:sz="6" w:space="0"/>
            </w:tcBorders>
            <w:vAlign w:val="top"/>
          </w:tcPr>
          <w:p>
            <w:pPr>
              <w:spacing w:before="111" w:line="180" w:lineRule="auto"/>
              <w:ind w:firstLine="61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2356" w:type="dxa"/>
            <w:tcBorders>
              <w:top w:val="single" w:color="000000" w:sz="6" w:space="0"/>
              <w:right w:val="single" w:color="000000" w:sz="6" w:space="0"/>
            </w:tcBorders>
            <w:vAlign w:val="top"/>
          </w:tcPr>
          <w:p>
            <w:pPr>
              <w:spacing w:before="111" w:line="180" w:lineRule="auto"/>
              <w:ind w:firstLine="899"/>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trPr>
        <w:tc>
          <w:tcPr>
            <w:tcW w:w="1115" w:type="dxa"/>
            <w:tcBorders>
              <w:left w:val="single" w:color="000000" w:sz="6" w:space="0"/>
            </w:tcBorders>
            <w:vAlign w:val="top"/>
          </w:tcPr>
          <w:p>
            <w:pPr>
              <w:spacing w:before="334" w:line="180" w:lineRule="auto"/>
              <w:ind w:firstLine="51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583" w:type="dxa"/>
            <w:vAlign w:val="top"/>
          </w:tcPr>
          <w:p>
            <w:pPr>
              <w:spacing w:before="108" w:line="235" w:lineRule="auto"/>
              <w:ind w:left="277" w:right="389" w:firstLine="50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中国教育报</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（教育研究类论文）</w:t>
            </w:r>
          </w:p>
        </w:tc>
        <w:tc>
          <w:tcPr>
            <w:tcW w:w="2680" w:type="dxa"/>
            <w:vAlign w:val="top"/>
          </w:tcPr>
          <w:p>
            <w:pPr>
              <w:spacing w:before="301" w:line="180" w:lineRule="auto"/>
              <w:ind w:firstLine="31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中华人民共和国教育部</w:t>
            </w:r>
          </w:p>
        </w:tc>
        <w:tc>
          <w:tcPr>
            <w:tcW w:w="2356" w:type="dxa"/>
            <w:tcBorders>
              <w:right w:val="single" w:color="000000" w:sz="6" w:space="0"/>
            </w:tcBorders>
            <w:vAlign w:val="top"/>
          </w:tcPr>
          <w:p>
            <w:pPr>
              <w:spacing w:before="331" w:line="180" w:lineRule="auto"/>
              <w:ind w:firstLine="6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CN11—0035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15" w:type="dxa"/>
            <w:tcBorders>
              <w:left w:val="single" w:color="000000" w:sz="6" w:space="0"/>
            </w:tcBorders>
            <w:vAlign w:val="top"/>
          </w:tcPr>
          <w:p>
            <w:pPr>
              <w:spacing w:before="143"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583" w:type="dxa"/>
            <w:vAlign w:val="top"/>
          </w:tcPr>
          <w:p>
            <w:pPr>
              <w:spacing w:before="110" w:line="180" w:lineRule="auto"/>
              <w:ind w:firstLine="44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北京大学教育评论</w:t>
            </w:r>
          </w:p>
        </w:tc>
        <w:tc>
          <w:tcPr>
            <w:tcW w:w="2680" w:type="dxa"/>
            <w:vAlign w:val="top"/>
          </w:tcPr>
          <w:p>
            <w:pPr>
              <w:spacing w:before="113" w:line="180" w:lineRule="auto"/>
              <w:ind w:firstLine="9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北京大学</w:t>
            </w:r>
          </w:p>
        </w:tc>
        <w:tc>
          <w:tcPr>
            <w:tcW w:w="2356" w:type="dxa"/>
            <w:tcBorders>
              <w:right w:val="single" w:color="000000" w:sz="6" w:space="0"/>
            </w:tcBorders>
            <w:vAlign w:val="top"/>
          </w:tcPr>
          <w:p>
            <w:pPr>
              <w:spacing w:before="141"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CN11-4848/G4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44"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583" w:type="dxa"/>
            <w:vAlign w:val="top"/>
          </w:tcPr>
          <w:p>
            <w:pPr>
              <w:spacing w:before="112" w:line="180" w:lineRule="auto"/>
              <w:ind w:firstLine="45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清华大学教育研究</w:t>
            </w:r>
          </w:p>
        </w:tc>
        <w:tc>
          <w:tcPr>
            <w:tcW w:w="2680" w:type="dxa"/>
            <w:vAlign w:val="top"/>
          </w:tcPr>
          <w:p>
            <w:pPr>
              <w:spacing w:before="113" w:line="180" w:lineRule="auto"/>
              <w:ind w:firstLine="92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清华大学</w:t>
            </w:r>
          </w:p>
        </w:tc>
        <w:tc>
          <w:tcPr>
            <w:tcW w:w="2356" w:type="dxa"/>
            <w:tcBorders>
              <w:right w:val="single" w:color="000000" w:sz="6" w:space="0"/>
            </w:tcBorders>
            <w:vAlign w:val="top"/>
          </w:tcPr>
          <w:p>
            <w:pPr>
              <w:spacing w:before="142"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CN11-1610/G4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47" w:line="180" w:lineRule="auto"/>
              <w:ind w:firstLine="49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583" w:type="dxa"/>
            <w:vAlign w:val="top"/>
          </w:tcPr>
          <w:p>
            <w:pPr>
              <w:spacing w:before="113" w:line="180" w:lineRule="auto"/>
              <w:ind w:firstLine="66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复旦教育论坛</w:t>
            </w:r>
          </w:p>
        </w:tc>
        <w:tc>
          <w:tcPr>
            <w:tcW w:w="2680" w:type="dxa"/>
            <w:vAlign w:val="top"/>
          </w:tcPr>
          <w:p>
            <w:pPr>
              <w:spacing w:before="115" w:line="180" w:lineRule="auto"/>
              <w:ind w:firstLine="92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复旦大学</w:t>
            </w:r>
          </w:p>
        </w:tc>
        <w:tc>
          <w:tcPr>
            <w:tcW w:w="2356" w:type="dxa"/>
            <w:tcBorders>
              <w:right w:val="single" w:color="000000" w:sz="6" w:space="0"/>
            </w:tcBorders>
            <w:vAlign w:val="top"/>
          </w:tcPr>
          <w:p>
            <w:pPr>
              <w:spacing w:before="144"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CN31-1891/G4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1115" w:type="dxa"/>
            <w:tcBorders>
              <w:left w:val="single" w:color="000000" w:sz="6" w:space="0"/>
            </w:tcBorders>
            <w:vAlign w:val="top"/>
          </w:tcPr>
          <w:p>
            <w:pPr>
              <w:spacing w:before="301"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583" w:type="dxa"/>
            <w:vAlign w:val="top"/>
          </w:tcPr>
          <w:p>
            <w:pPr>
              <w:spacing w:before="115" w:line="251" w:lineRule="auto"/>
              <w:ind w:left="864" w:right="135" w:hanging="7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华东师范大学学报（教育</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
                <w:sz w:val="21"/>
                <w:szCs w:val="21"/>
              </w:rPr>
              <w:t>科学版）</w:t>
            </w:r>
          </w:p>
        </w:tc>
        <w:tc>
          <w:tcPr>
            <w:tcW w:w="2680" w:type="dxa"/>
            <w:vAlign w:val="top"/>
          </w:tcPr>
          <w:p>
            <w:pPr>
              <w:spacing w:before="272" w:line="180" w:lineRule="auto"/>
              <w:ind w:firstLine="7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w:t>
            </w:r>
          </w:p>
        </w:tc>
        <w:tc>
          <w:tcPr>
            <w:tcW w:w="2356" w:type="dxa"/>
            <w:tcBorders>
              <w:right w:val="single" w:color="000000" w:sz="6" w:space="0"/>
            </w:tcBorders>
            <w:vAlign w:val="top"/>
          </w:tcPr>
          <w:p>
            <w:pPr>
              <w:spacing w:before="302"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CN31-1007/G4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47" w:line="180" w:lineRule="auto"/>
              <w:ind w:firstLine="50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2583" w:type="dxa"/>
            <w:vAlign w:val="top"/>
          </w:tcPr>
          <w:p>
            <w:pPr>
              <w:spacing w:before="116" w:line="180" w:lineRule="auto"/>
              <w:ind w:firstLine="8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教育学报</w:t>
            </w:r>
          </w:p>
        </w:tc>
        <w:tc>
          <w:tcPr>
            <w:tcW w:w="2680" w:type="dxa"/>
            <w:vAlign w:val="top"/>
          </w:tcPr>
          <w:p>
            <w:pPr>
              <w:spacing w:before="119" w:line="180" w:lineRule="auto"/>
              <w:ind w:firstLine="7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北京师范大学</w:t>
            </w:r>
          </w:p>
        </w:tc>
        <w:tc>
          <w:tcPr>
            <w:tcW w:w="2356" w:type="dxa"/>
            <w:tcBorders>
              <w:right w:val="single" w:color="000000" w:sz="6" w:space="0"/>
            </w:tcBorders>
            <w:vAlign w:val="top"/>
          </w:tcPr>
          <w:p>
            <w:pPr>
              <w:spacing w:before="146"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CN11-5306/G4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53" w:line="180" w:lineRule="auto"/>
              <w:ind w:firstLine="50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2583" w:type="dxa"/>
            <w:vAlign w:val="top"/>
          </w:tcPr>
          <w:p>
            <w:pPr>
              <w:spacing w:before="118" w:line="180" w:lineRule="auto"/>
              <w:ind w:firstLine="68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比较教育研究</w:t>
            </w:r>
          </w:p>
        </w:tc>
        <w:tc>
          <w:tcPr>
            <w:tcW w:w="2680" w:type="dxa"/>
            <w:vAlign w:val="top"/>
          </w:tcPr>
          <w:p>
            <w:pPr>
              <w:spacing w:before="120" w:line="180" w:lineRule="auto"/>
              <w:ind w:firstLine="7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北京师范大学</w:t>
            </w:r>
          </w:p>
        </w:tc>
        <w:tc>
          <w:tcPr>
            <w:tcW w:w="2356" w:type="dxa"/>
            <w:tcBorders>
              <w:right w:val="single" w:color="000000" w:sz="6" w:space="0"/>
            </w:tcBorders>
            <w:vAlign w:val="top"/>
          </w:tcPr>
          <w:p>
            <w:pPr>
              <w:spacing w:before="149"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CN11-2878/G4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115" w:type="dxa"/>
            <w:tcBorders>
              <w:left w:val="single" w:color="000000" w:sz="6" w:space="0"/>
            </w:tcBorders>
            <w:vAlign w:val="top"/>
          </w:tcPr>
          <w:p>
            <w:pPr>
              <w:spacing w:before="152" w:line="180" w:lineRule="auto"/>
              <w:ind w:firstLine="50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583" w:type="dxa"/>
            <w:vAlign w:val="top"/>
          </w:tcPr>
          <w:p>
            <w:pPr>
              <w:spacing w:before="120" w:line="180" w:lineRule="auto"/>
              <w:ind w:firstLine="6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外国教育研究</w:t>
            </w:r>
          </w:p>
        </w:tc>
        <w:tc>
          <w:tcPr>
            <w:tcW w:w="2680" w:type="dxa"/>
            <w:vAlign w:val="top"/>
          </w:tcPr>
          <w:p>
            <w:pPr>
              <w:spacing w:before="122" w:line="180" w:lineRule="auto"/>
              <w:ind w:firstLine="7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东北师范大学</w:t>
            </w:r>
          </w:p>
        </w:tc>
        <w:tc>
          <w:tcPr>
            <w:tcW w:w="2356" w:type="dxa"/>
            <w:tcBorders>
              <w:right w:val="single" w:color="000000" w:sz="6" w:space="0"/>
            </w:tcBorders>
            <w:vAlign w:val="top"/>
          </w:tcPr>
          <w:p>
            <w:pPr>
              <w:spacing w:before="150"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CN22-1022/G4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54" w:line="180" w:lineRule="auto"/>
              <w:ind w:firstLine="50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2583" w:type="dxa"/>
            <w:vAlign w:val="top"/>
          </w:tcPr>
          <w:p>
            <w:pPr>
              <w:spacing w:before="121" w:line="180" w:lineRule="auto"/>
              <w:ind w:firstLine="67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中国电化教育</w:t>
            </w:r>
          </w:p>
        </w:tc>
        <w:tc>
          <w:tcPr>
            <w:tcW w:w="2680" w:type="dxa"/>
            <w:vAlign w:val="top"/>
          </w:tcPr>
          <w:p>
            <w:pPr>
              <w:spacing w:before="121" w:line="180" w:lineRule="auto"/>
              <w:ind w:firstLine="62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中央电化教育馆</w:t>
            </w:r>
          </w:p>
        </w:tc>
        <w:tc>
          <w:tcPr>
            <w:tcW w:w="2356" w:type="dxa"/>
            <w:tcBorders>
              <w:right w:val="single" w:color="000000" w:sz="6" w:space="0"/>
            </w:tcBorders>
            <w:vAlign w:val="top"/>
          </w:tcPr>
          <w:p>
            <w:pPr>
              <w:spacing w:before="152"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CN11-3792/G4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1115" w:type="dxa"/>
            <w:tcBorders>
              <w:left w:val="single" w:color="000000" w:sz="6" w:space="0"/>
            </w:tcBorders>
            <w:vAlign w:val="top"/>
          </w:tcPr>
          <w:p>
            <w:pPr>
              <w:spacing w:before="155" w:line="180" w:lineRule="auto"/>
              <w:ind w:firstLine="46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2583" w:type="dxa"/>
            <w:vAlign w:val="top"/>
          </w:tcPr>
          <w:p>
            <w:pPr>
              <w:spacing w:before="122" w:line="180" w:lineRule="auto"/>
              <w:ind w:firstLine="65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现代教育技术</w:t>
            </w:r>
          </w:p>
        </w:tc>
        <w:tc>
          <w:tcPr>
            <w:tcW w:w="2680" w:type="dxa"/>
            <w:vAlign w:val="top"/>
          </w:tcPr>
          <w:p>
            <w:pPr>
              <w:spacing w:before="124" w:line="180" w:lineRule="auto"/>
              <w:ind w:firstLine="92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清华大学</w:t>
            </w:r>
          </w:p>
        </w:tc>
        <w:tc>
          <w:tcPr>
            <w:tcW w:w="2356" w:type="dxa"/>
            <w:tcBorders>
              <w:right w:val="single" w:color="000000" w:sz="6" w:space="0"/>
            </w:tcBorders>
            <w:vAlign w:val="top"/>
          </w:tcPr>
          <w:p>
            <w:pPr>
              <w:spacing w:before="153" w:line="180" w:lineRule="auto"/>
              <w:ind w:firstLine="58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CN11-4525/N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115" w:type="dxa"/>
            <w:tcBorders>
              <w:left w:val="single" w:color="000000" w:sz="6" w:space="0"/>
              <w:bottom w:val="single" w:color="000000" w:sz="6" w:space="0"/>
            </w:tcBorders>
            <w:vAlign w:val="top"/>
          </w:tcPr>
          <w:p>
            <w:pPr>
              <w:spacing w:before="314" w:line="180" w:lineRule="auto"/>
              <w:ind w:firstLine="46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2583" w:type="dxa"/>
            <w:tcBorders>
              <w:bottom w:val="single" w:color="000000" w:sz="6" w:space="0"/>
            </w:tcBorders>
            <w:vAlign w:val="top"/>
          </w:tcPr>
          <w:p>
            <w:pPr>
              <w:spacing w:before="281" w:line="180" w:lineRule="auto"/>
              <w:ind w:firstLine="5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研究生教育研究</w:t>
            </w:r>
          </w:p>
        </w:tc>
        <w:tc>
          <w:tcPr>
            <w:tcW w:w="2680" w:type="dxa"/>
            <w:tcBorders>
              <w:bottom w:val="single" w:color="000000" w:sz="6" w:space="0"/>
            </w:tcBorders>
            <w:vAlign w:val="top"/>
          </w:tcPr>
          <w:p>
            <w:pPr>
              <w:spacing w:before="126" w:line="251" w:lineRule="auto"/>
              <w:ind w:left="624" w:right="178" w:hanging="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学位与研究生教育学会中</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rPr>
              <w:t>国科学技术大学</w:t>
            </w:r>
          </w:p>
        </w:tc>
        <w:tc>
          <w:tcPr>
            <w:tcW w:w="2356" w:type="dxa"/>
            <w:tcBorders>
              <w:bottom w:val="single" w:color="000000" w:sz="6" w:space="0"/>
              <w:right w:val="single" w:color="000000" w:sz="6" w:space="0"/>
            </w:tcBorders>
            <w:vAlign w:val="top"/>
          </w:tcPr>
          <w:p>
            <w:pPr>
              <w:spacing w:before="311" w:line="180" w:lineRule="auto"/>
              <w:ind w:firstLine="5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CN34-1319/G4</w:t>
            </w:r>
          </w:p>
        </w:tc>
      </w:tr>
    </w:tbl>
    <w:p>
      <w:pPr>
        <w:spacing w:line="258" w:lineRule="auto"/>
        <w:rPr>
          <w:rFonts w:ascii="Malgun Gothic"/>
          <w:sz w:val="21"/>
        </w:rPr>
      </w:pPr>
    </w:p>
    <w:p>
      <w:pPr>
        <w:spacing w:line="259" w:lineRule="auto"/>
        <w:rPr>
          <w:rFonts w:ascii="Malgun Gothic"/>
          <w:sz w:val="21"/>
        </w:rPr>
      </w:pPr>
    </w:p>
    <w:p>
      <w:pPr>
        <w:spacing w:line="259" w:lineRule="auto"/>
        <w:rPr>
          <w:rFonts w:ascii="Malgun Gothic"/>
          <w:sz w:val="21"/>
        </w:rPr>
      </w:pPr>
    </w:p>
    <w:p>
      <w:pPr>
        <w:spacing w:line="259"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325</w:t>
      </w:r>
    </w:p>
    <w:p>
      <w:pPr>
        <w:sectPr>
          <w:footerReference r:id="rId329" w:type="default"/>
          <w:pgSz w:w="11905" w:h="16840"/>
          <w:pgMar w:top="1431" w:right="1577" w:bottom="400" w:left="157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7"/>
          <w:sz w:val="24"/>
          <w:szCs w:val="24"/>
        </w:rPr>
        <w:t>3</w:t>
      </w:r>
    </w:p>
    <w:p>
      <w:pPr>
        <w:spacing w:before="149" w:line="164" w:lineRule="auto"/>
        <w:ind w:firstLine="3235"/>
        <w:rPr>
          <w:rFonts w:ascii="Malgun Gothic" w:hAnsi="Malgun Gothic" w:eastAsia="Malgun Gothic" w:cs="Malgun Gothic"/>
          <w:sz w:val="28"/>
          <w:szCs w:val="28"/>
        </w:rPr>
      </w:pPr>
      <w:r>
        <w:rPr>
          <w:rFonts w:ascii="Malgun Gothic" w:hAnsi="Malgun Gothic" w:eastAsia="Malgun Gothic" w:cs="Malgun Gothic"/>
          <w:spacing w:val="-4"/>
          <w:sz w:val="28"/>
          <w:szCs w:val="28"/>
        </w:rPr>
        <w:t>C</w:t>
      </w:r>
      <w:r>
        <w:rPr>
          <w:rFonts w:ascii="Malgun Gothic" w:hAnsi="Malgun Gothic" w:eastAsia="Malgun Gothic" w:cs="Malgun Gothic"/>
          <w:spacing w:val="-14"/>
          <w:sz w:val="28"/>
          <w:szCs w:val="28"/>
        </w:rPr>
        <w:t xml:space="preserve"> </w:t>
      </w:r>
      <w:r>
        <w:rPr>
          <w:rFonts w:ascii="Microsoft JhengHei" w:hAnsi="Microsoft JhengHei" w:eastAsia="Microsoft JhengHei" w:cs="Microsoft JhengHei"/>
          <w:spacing w:val="-4"/>
          <w:sz w:val="28"/>
          <w:szCs w:val="28"/>
        </w:rPr>
        <w:t>类期刊（43</w:t>
      </w:r>
      <w:r>
        <w:rPr>
          <w:rFonts w:ascii="Microsoft JhengHei" w:hAnsi="Microsoft JhengHei" w:eastAsia="Microsoft JhengHei" w:cs="Microsoft JhengHei"/>
          <w:spacing w:val="6"/>
          <w:w w:val="101"/>
          <w:sz w:val="28"/>
          <w:szCs w:val="28"/>
        </w:rPr>
        <w:t xml:space="preserve"> </w:t>
      </w:r>
      <w:r>
        <w:rPr>
          <w:rFonts w:ascii="Microsoft JhengHei" w:hAnsi="Microsoft JhengHei" w:eastAsia="Microsoft JhengHei" w:cs="Microsoft JhengHei"/>
          <w:spacing w:val="-4"/>
          <w:sz w:val="28"/>
          <w:szCs w:val="28"/>
        </w:rPr>
        <w:t>种</w:t>
      </w:r>
      <w:r>
        <w:rPr>
          <w:rFonts w:ascii="Malgun Gothic" w:hAnsi="Malgun Gothic" w:eastAsia="Malgun Gothic" w:cs="Malgun Gothic"/>
          <w:spacing w:val="-4"/>
          <w:sz w:val="28"/>
          <w:szCs w:val="28"/>
        </w:rPr>
        <w:t>）</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910"/>
        <w:gridCol w:w="3008"/>
        <w:gridCol w:w="1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34" w:type="dxa"/>
            <w:tcBorders>
              <w:top w:val="single" w:color="000000" w:sz="6" w:space="0"/>
              <w:left w:val="single" w:color="000000" w:sz="6" w:space="0"/>
            </w:tcBorders>
            <w:vAlign w:val="top"/>
          </w:tcPr>
          <w:p>
            <w:pPr>
              <w:spacing w:before="87" w:line="180" w:lineRule="auto"/>
              <w:ind w:firstLine="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910" w:type="dxa"/>
            <w:tcBorders>
              <w:top w:val="single" w:color="000000" w:sz="6" w:space="0"/>
            </w:tcBorders>
            <w:vAlign w:val="top"/>
          </w:tcPr>
          <w:p>
            <w:pPr>
              <w:spacing w:before="87" w:line="180" w:lineRule="auto"/>
              <w:ind w:firstLine="103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3008" w:type="dxa"/>
            <w:tcBorders>
              <w:top w:val="single" w:color="000000" w:sz="6" w:space="0"/>
            </w:tcBorders>
            <w:vAlign w:val="top"/>
          </w:tcPr>
          <w:p>
            <w:pPr>
              <w:spacing w:before="87" w:line="180" w:lineRule="auto"/>
              <w:ind w:firstLine="77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1982" w:type="dxa"/>
            <w:tcBorders>
              <w:top w:val="single" w:color="000000" w:sz="6" w:space="0"/>
              <w:right w:val="single" w:color="000000" w:sz="6" w:space="0"/>
            </w:tcBorders>
            <w:vAlign w:val="top"/>
          </w:tcPr>
          <w:p>
            <w:pPr>
              <w:spacing w:before="87" w:line="180" w:lineRule="auto"/>
              <w:ind w:firstLine="713"/>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18" w:line="180" w:lineRule="auto"/>
              <w:ind w:firstLine="37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910" w:type="dxa"/>
            <w:vAlign w:val="top"/>
          </w:tcPr>
          <w:p>
            <w:pPr>
              <w:spacing w:before="85" w:line="180" w:lineRule="auto"/>
              <w:ind w:firstLine="8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全球教育展望</w:t>
            </w:r>
          </w:p>
        </w:tc>
        <w:tc>
          <w:tcPr>
            <w:tcW w:w="3008" w:type="dxa"/>
            <w:vAlign w:val="top"/>
          </w:tcPr>
          <w:p>
            <w:pPr>
              <w:spacing w:before="86" w:line="180" w:lineRule="auto"/>
              <w:ind w:firstLine="8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w:t>
            </w:r>
          </w:p>
        </w:tc>
        <w:tc>
          <w:tcPr>
            <w:tcW w:w="1982" w:type="dxa"/>
            <w:tcBorders>
              <w:right w:val="single" w:color="000000" w:sz="6" w:space="0"/>
            </w:tcBorders>
            <w:vAlign w:val="top"/>
          </w:tcPr>
          <w:p>
            <w:pPr>
              <w:spacing w:before="116"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CN31-1842/G4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0"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910" w:type="dxa"/>
            <w:vAlign w:val="top"/>
          </w:tcPr>
          <w:p>
            <w:pPr>
              <w:spacing w:before="87" w:line="180" w:lineRule="auto"/>
              <w:ind w:firstLine="83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中国教育学刊</w:t>
            </w:r>
          </w:p>
        </w:tc>
        <w:tc>
          <w:tcPr>
            <w:tcW w:w="3008" w:type="dxa"/>
            <w:vAlign w:val="top"/>
          </w:tcPr>
          <w:p>
            <w:pPr>
              <w:spacing w:before="87" w:line="180" w:lineRule="auto"/>
              <w:ind w:firstLine="89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中国教育学会</w:t>
            </w:r>
          </w:p>
        </w:tc>
        <w:tc>
          <w:tcPr>
            <w:tcW w:w="1982" w:type="dxa"/>
            <w:tcBorders>
              <w:right w:val="single" w:color="000000" w:sz="6" w:space="0"/>
            </w:tcBorders>
            <w:vAlign w:val="top"/>
          </w:tcPr>
          <w:p>
            <w:pPr>
              <w:spacing w:before="117"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CN11-2606/G4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0" w:line="180" w:lineRule="auto"/>
              <w:ind w:firstLine="36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910" w:type="dxa"/>
            <w:vAlign w:val="top"/>
          </w:tcPr>
          <w:p>
            <w:pPr>
              <w:spacing w:before="87" w:line="180" w:lineRule="auto"/>
              <w:ind w:firstLine="10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教育科学</w:t>
            </w:r>
          </w:p>
        </w:tc>
        <w:tc>
          <w:tcPr>
            <w:tcW w:w="3008" w:type="dxa"/>
            <w:vAlign w:val="top"/>
          </w:tcPr>
          <w:p>
            <w:pPr>
              <w:spacing w:before="90" w:line="180" w:lineRule="auto"/>
              <w:ind w:firstLine="8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辽宁师范大学</w:t>
            </w:r>
          </w:p>
        </w:tc>
        <w:tc>
          <w:tcPr>
            <w:tcW w:w="1982" w:type="dxa"/>
            <w:tcBorders>
              <w:right w:val="single" w:color="000000" w:sz="6" w:space="0"/>
            </w:tcBorders>
            <w:vAlign w:val="top"/>
          </w:tcPr>
          <w:p>
            <w:pPr>
              <w:spacing w:before="118"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CN21-1066/G4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4" w:type="dxa"/>
            <w:tcBorders>
              <w:left w:val="single" w:color="000000" w:sz="6" w:space="0"/>
            </w:tcBorders>
            <w:vAlign w:val="top"/>
          </w:tcPr>
          <w:p>
            <w:pPr>
              <w:spacing w:before="121" w:line="180" w:lineRule="auto"/>
              <w:ind w:firstLine="35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910" w:type="dxa"/>
            <w:vAlign w:val="top"/>
          </w:tcPr>
          <w:p>
            <w:pPr>
              <w:spacing w:before="88" w:line="180" w:lineRule="auto"/>
              <w:ind w:firstLine="10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高教探索</w:t>
            </w:r>
          </w:p>
        </w:tc>
        <w:tc>
          <w:tcPr>
            <w:tcW w:w="3008" w:type="dxa"/>
            <w:vAlign w:val="top"/>
          </w:tcPr>
          <w:p>
            <w:pPr>
              <w:spacing w:before="88" w:line="180" w:lineRule="auto"/>
              <w:ind w:firstLine="55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广东省高等教育学会</w:t>
            </w:r>
          </w:p>
        </w:tc>
        <w:tc>
          <w:tcPr>
            <w:tcW w:w="1982" w:type="dxa"/>
            <w:tcBorders>
              <w:right w:val="single" w:color="000000" w:sz="6" w:space="0"/>
            </w:tcBorders>
            <w:vAlign w:val="top"/>
          </w:tcPr>
          <w:p>
            <w:pPr>
              <w:spacing w:before="119"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CN44-1109/G4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19"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910" w:type="dxa"/>
            <w:vAlign w:val="top"/>
          </w:tcPr>
          <w:p>
            <w:pPr>
              <w:spacing w:before="90" w:line="180" w:lineRule="auto"/>
              <w:ind w:firstLine="103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江苏高教</w:t>
            </w:r>
          </w:p>
        </w:tc>
        <w:tc>
          <w:tcPr>
            <w:tcW w:w="3008" w:type="dxa"/>
            <w:vAlign w:val="top"/>
          </w:tcPr>
          <w:p>
            <w:pPr>
              <w:spacing w:before="90" w:line="180" w:lineRule="auto"/>
              <w:ind w:firstLine="6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江苏教育报刊总社</w:t>
            </w:r>
          </w:p>
        </w:tc>
        <w:tc>
          <w:tcPr>
            <w:tcW w:w="1982" w:type="dxa"/>
            <w:tcBorders>
              <w:right w:val="single" w:color="000000" w:sz="6" w:space="0"/>
            </w:tcBorders>
            <w:vAlign w:val="top"/>
          </w:tcPr>
          <w:p>
            <w:pPr>
              <w:spacing w:before="120"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CN32-1048/G4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1" w:line="180" w:lineRule="auto"/>
              <w:ind w:firstLine="36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2910" w:type="dxa"/>
            <w:vAlign w:val="top"/>
          </w:tcPr>
          <w:p>
            <w:pPr>
              <w:spacing w:before="90" w:line="180" w:lineRule="auto"/>
              <w:ind w:firstLine="8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教育发展研究</w:t>
            </w:r>
          </w:p>
        </w:tc>
        <w:tc>
          <w:tcPr>
            <w:tcW w:w="3008" w:type="dxa"/>
            <w:vAlign w:val="top"/>
          </w:tcPr>
          <w:p>
            <w:pPr>
              <w:spacing w:before="90" w:line="180" w:lineRule="auto"/>
              <w:ind w:firstLine="45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上海市教育科学研究院</w:t>
            </w:r>
          </w:p>
        </w:tc>
        <w:tc>
          <w:tcPr>
            <w:tcW w:w="1982" w:type="dxa"/>
            <w:tcBorders>
              <w:right w:val="single" w:color="000000" w:sz="6" w:space="0"/>
            </w:tcBorders>
            <w:vAlign w:val="top"/>
          </w:tcPr>
          <w:p>
            <w:pPr>
              <w:spacing w:before="120"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CN31-1772/G4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2" w:line="180" w:lineRule="auto"/>
              <w:ind w:firstLine="35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2910" w:type="dxa"/>
            <w:vAlign w:val="top"/>
          </w:tcPr>
          <w:p>
            <w:pPr>
              <w:spacing w:before="246" w:line="180" w:lineRule="auto"/>
              <w:ind w:firstLine="8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教师教育研究</w:t>
            </w:r>
          </w:p>
        </w:tc>
        <w:tc>
          <w:tcPr>
            <w:tcW w:w="3008" w:type="dxa"/>
            <w:vAlign w:val="top"/>
          </w:tcPr>
          <w:p>
            <w:pPr>
              <w:spacing w:before="92" w:line="250" w:lineRule="auto"/>
              <w:ind w:left="1208" w:right="132" w:hanging="106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教育部高校师资培训交流北京</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6"/>
                <w:sz w:val="21"/>
                <w:szCs w:val="21"/>
              </w:rPr>
              <w:t>中心等</w:t>
            </w:r>
          </w:p>
        </w:tc>
        <w:tc>
          <w:tcPr>
            <w:tcW w:w="1982" w:type="dxa"/>
            <w:tcBorders>
              <w:right w:val="single" w:color="000000" w:sz="6" w:space="0"/>
            </w:tcBorders>
            <w:vAlign w:val="top"/>
          </w:tcPr>
          <w:p>
            <w:pPr>
              <w:spacing w:before="276"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CN11-5147/G4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3" w:line="180" w:lineRule="auto"/>
              <w:ind w:firstLine="36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910" w:type="dxa"/>
            <w:vAlign w:val="top"/>
          </w:tcPr>
          <w:p>
            <w:pPr>
              <w:spacing w:before="89" w:line="180" w:lineRule="auto"/>
              <w:ind w:firstLine="82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现代大学教育</w:t>
            </w:r>
          </w:p>
        </w:tc>
        <w:tc>
          <w:tcPr>
            <w:tcW w:w="3008" w:type="dxa"/>
            <w:vAlign w:val="top"/>
          </w:tcPr>
          <w:p>
            <w:pPr>
              <w:spacing w:before="89" w:line="180" w:lineRule="auto"/>
              <w:ind w:firstLine="5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湖南省高等教育学会</w:t>
            </w:r>
          </w:p>
        </w:tc>
        <w:tc>
          <w:tcPr>
            <w:tcW w:w="1982" w:type="dxa"/>
            <w:tcBorders>
              <w:right w:val="single" w:color="000000" w:sz="6" w:space="0"/>
            </w:tcBorders>
            <w:vAlign w:val="top"/>
          </w:tcPr>
          <w:p>
            <w:pPr>
              <w:spacing w:before="120"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CN43-1358/G4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4"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2910" w:type="dxa"/>
            <w:vAlign w:val="top"/>
          </w:tcPr>
          <w:p>
            <w:pPr>
              <w:spacing w:before="93" w:line="180" w:lineRule="auto"/>
              <w:ind w:firstLine="9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教学与研究</w:t>
            </w:r>
          </w:p>
        </w:tc>
        <w:tc>
          <w:tcPr>
            <w:tcW w:w="3008" w:type="dxa"/>
            <w:vAlign w:val="top"/>
          </w:tcPr>
          <w:p>
            <w:pPr>
              <w:spacing w:before="94" w:line="180" w:lineRule="auto"/>
              <w:ind w:firstLine="89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中国人民大学</w:t>
            </w:r>
          </w:p>
        </w:tc>
        <w:tc>
          <w:tcPr>
            <w:tcW w:w="1982" w:type="dxa"/>
            <w:tcBorders>
              <w:right w:val="single" w:color="000000" w:sz="6" w:space="0"/>
            </w:tcBorders>
            <w:vAlign w:val="top"/>
          </w:tcPr>
          <w:p>
            <w:pPr>
              <w:spacing w:before="121"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CN11-1454/G4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4"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2910" w:type="dxa"/>
            <w:vAlign w:val="top"/>
          </w:tcPr>
          <w:p>
            <w:pPr>
              <w:spacing w:before="92" w:line="180" w:lineRule="auto"/>
              <w:ind w:firstLine="4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国家教育行政学院学报</w:t>
            </w:r>
          </w:p>
        </w:tc>
        <w:tc>
          <w:tcPr>
            <w:tcW w:w="3008" w:type="dxa"/>
            <w:vAlign w:val="top"/>
          </w:tcPr>
          <w:p>
            <w:pPr>
              <w:spacing w:before="92" w:line="180" w:lineRule="auto"/>
              <w:ind w:firstLine="6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国家教育行政学院</w:t>
            </w:r>
          </w:p>
        </w:tc>
        <w:tc>
          <w:tcPr>
            <w:tcW w:w="1982" w:type="dxa"/>
            <w:tcBorders>
              <w:right w:val="single" w:color="000000" w:sz="6" w:space="0"/>
            </w:tcBorders>
            <w:vAlign w:val="top"/>
          </w:tcPr>
          <w:p>
            <w:pPr>
              <w:spacing w:before="121" w:line="180" w:lineRule="auto"/>
              <w:ind w:firstLine="3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CN11-5047/D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2910" w:type="dxa"/>
            <w:vAlign w:val="top"/>
          </w:tcPr>
          <w:p>
            <w:pPr>
              <w:spacing w:before="93" w:line="180" w:lineRule="auto"/>
              <w:ind w:firstLine="1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湖南师范大学教育科学学报</w:t>
            </w:r>
          </w:p>
        </w:tc>
        <w:tc>
          <w:tcPr>
            <w:tcW w:w="3008" w:type="dxa"/>
            <w:vAlign w:val="top"/>
          </w:tcPr>
          <w:p>
            <w:pPr>
              <w:spacing w:before="93" w:line="180" w:lineRule="auto"/>
              <w:ind w:firstLine="8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湖南师范大学</w:t>
            </w:r>
          </w:p>
        </w:tc>
        <w:tc>
          <w:tcPr>
            <w:tcW w:w="1982" w:type="dxa"/>
            <w:tcBorders>
              <w:right w:val="single" w:color="000000" w:sz="6" w:space="0"/>
            </w:tcBorders>
            <w:vAlign w:val="top"/>
          </w:tcPr>
          <w:p>
            <w:pPr>
              <w:spacing w:before="124"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CN43-1381/G4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34" w:type="dxa"/>
            <w:tcBorders>
              <w:left w:val="single" w:color="000000" w:sz="6" w:space="0"/>
            </w:tcBorders>
            <w:vAlign w:val="top"/>
          </w:tcPr>
          <w:p>
            <w:pPr>
              <w:spacing w:before="283"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12</w:t>
            </w:r>
          </w:p>
        </w:tc>
        <w:tc>
          <w:tcPr>
            <w:tcW w:w="2910" w:type="dxa"/>
            <w:vAlign w:val="top"/>
          </w:tcPr>
          <w:p>
            <w:pPr>
              <w:spacing w:before="250" w:line="180" w:lineRule="auto"/>
              <w:ind w:firstLine="8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思想教育研究</w:t>
            </w:r>
          </w:p>
        </w:tc>
        <w:tc>
          <w:tcPr>
            <w:tcW w:w="3008" w:type="dxa"/>
            <w:vAlign w:val="top"/>
          </w:tcPr>
          <w:p>
            <w:pPr>
              <w:spacing w:before="93" w:line="251" w:lineRule="auto"/>
              <w:ind w:left="1186" w:right="132" w:hanging="104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全国高等学校思想政治教育研</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究会等</w:t>
            </w:r>
          </w:p>
        </w:tc>
        <w:tc>
          <w:tcPr>
            <w:tcW w:w="1982" w:type="dxa"/>
            <w:tcBorders>
              <w:right w:val="single" w:color="000000" w:sz="6" w:space="0"/>
            </w:tcBorders>
            <w:vAlign w:val="top"/>
          </w:tcPr>
          <w:p>
            <w:pPr>
              <w:spacing w:before="281" w:line="180" w:lineRule="auto"/>
              <w:ind w:firstLine="3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CN11-2549/D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13</w:t>
            </w:r>
          </w:p>
        </w:tc>
        <w:tc>
          <w:tcPr>
            <w:tcW w:w="2910" w:type="dxa"/>
            <w:vAlign w:val="top"/>
          </w:tcPr>
          <w:p>
            <w:pPr>
              <w:spacing w:before="94" w:line="180" w:lineRule="auto"/>
              <w:ind w:firstLine="6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思想理论教育导刊</w:t>
            </w:r>
          </w:p>
        </w:tc>
        <w:tc>
          <w:tcPr>
            <w:tcW w:w="3008" w:type="dxa"/>
            <w:vAlign w:val="top"/>
          </w:tcPr>
          <w:p>
            <w:pPr>
              <w:spacing w:before="94" w:line="180" w:lineRule="auto"/>
              <w:ind w:firstLine="7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高等教育出版社</w:t>
            </w:r>
          </w:p>
        </w:tc>
        <w:tc>
          <w:tcPr>
            <w:tcW w:w="1982" w:type="dxa"/>
            <w:tcBorders>
              <w:right w:val="single" w:color="000000" w:sz="6" w:space="0"/>
            </w:tcBorders>
            <w:vAlign w:val="top"/>
          </w:tcPr>
          <w:p>
            <w:pPr>
              <w:spacing w:before="125"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CN11-4062/G4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34" w:type="dxa"/>
            <w:tcBorders>
              <w:left w:val="single" w:color="000000" w:sz="6" w:space="0"/>
            </w:tcBorders>
            <w:vAlign w:val="top"/>
          </w:tcPr>
          <w:p>
            <w:pPr>
              <w:spacing w:before="285"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14</w:t>
            </w:r>
          </w:p>
        </w:tc>
        <w:tc>
          <w:tcPr>
            <w:tcW w:w="2910" w:type="dxa"/>
            <w:vAlign w:val="top"/>
          </w:tcPr>
          <w:p>
            <w:pPr>
              <w:spacing w:before="252" w:line="180" w:lineRule="auto"/>
              <w:ind w:firstLine="82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思想理论教育</w:t>
            </w:r>
          </w:p>
        </w:tc>
        <w:tc>
          <w:tcPr>
            <w:tcW w:w="3008" w:type="dxa"/>
            <w:vAlign w:val="top"/>
          </w:tcPr>
          <w:p>
            <w:pPr>
              <w:spacing w:before="95" w:line="251" w:lineRule="auto"/>
              <w:ind w:left="1081" w:right="132" w:hanging="9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上海市高等学校思想理论教育</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1"/>
                <w:sz w:val="21"/>
                <w:szCs w:val="21"/>
              </w:rPr>
              <w:t>研究会等</w:t>
            </w:r>
          </w:p>
        </w:tc>
        <w:tc>
          <w:tcPr>
            <w:tcW w:w="1982" w:type="dxa"/>
            <w:tcBorders>
              <w:right w:val="single" w:color="000000" w:sz="6" w:space="0"/>
            </w:tcBorders>
            <w:vAlign w:val="top"/>
          </w:tcPr>
          <w:p>
            <w:pPr>
              <w:spacing w:before="28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CN31-1220/G4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834" w:type="dxa"/>
            <w:tcBorders>
              <w:left w:val="single" w:color="000000" w:sz="6" w:space="0"/>
            </w:tcBorders>
            <w:vAlign w:val="top"/>
          </w:tcPr>
          <w:p>
            <w:pPr>
              <w:spacing w:before="306"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15</w:t>
            </w:r>
          </w:p>
        </w:tc>
        <w:tc>
          <w:tcPr>
            <w:tcW w:w="2910" w:type="dxa"/>
            <w:vAlign w:val="top"/>
          </w:tcPr>
          <w:p>
            <w:pPr>
              <w:spacing w:before="277"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党史研究与教学</w:t>
            </w:r>
          </w:p>
        </w:tc>
        <w:tc>
          <w:tcPr>
            <w:tcW w:w="3008" w:type="dxa"/>
            <w:vAlign w:val="top"/>
          </w:tcPr>
          <w:p>
            <w:pPr>
              <w:spacing w:before="94" w:line="226" w:lineRule="auto"/>
              <w:ind w:left="453" w:right="448" w:firstLine="231"/>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中共福建省委党校</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福建省中共党史研究会</w:t>
            </w:r>
          </w:p>
        </w:tc>
        <w:tc>
          <w:tcPr>
            <w:tcW w:w="1982" w:type="dxa"/>
            <w:tcBorders>
              <w:right w:val="single" w:color="000000" w:sz="6" w:space="0"/>
            </w:tcBorders>
            <w:vAlign w:val="top"/>
          </w:tcPr>
          <w:p>
            <w:pPr>
              <w:spacing w:before="306" w:line="180" w:lineRule="auto"/>
              <w:ind w:firstLine="3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CN35-1059/A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834" w:type="dxa"/>
            <w:tcBorders>
              <w:left w:val="single" w:color="000000" w:sz="6" w:space="0"/>
            </w:tcBorders>
            <w:vAlign w:val="top"/>
          </w:tcPr>
          <w:p>
            <w:pPr>
              <w:spacing w:before="30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16</w:t>
            </w:r>
          </w:p>
        </w:tc>
        <w:tc>
          <w:tcPr>
            <w:tcW w:w="2910" w:type="dxa"/>
            <w:vAlign w:val="top"/>
          </w:tcPr>
          <w:p>
            <w:pPr>
              <w:spacing w:before="277" w:line="180" w:lineRule="auto"/>
              <w:ind w:firstLine="9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教育与经济</w:t>
            </w:r>
          </w:p>
        </w:tc>
        <w:tc>
          <w:tcPr>
            <w:tcW w:w="3008" w:type="dxa"/>
            <w:vAlign w:val="top"/>
          </w:tcPr>
          <w:p>
            <w:pPr>
              <w:spacing w:before="97" w:line="180" w:lineRule="auto"/>
              <w:ind w:firstLine="8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华中师范大学</w:t>
            </w:r>
          </w:p>
          <w:p>
            <w:pPr>
              <w:spacing w:before="136" w:line="180" w:lineRule="auto"/>
              <w:ind w:firstLine="47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中国教育经济学研究会</w:t>
            </w:r>
          </w:p>
        </w:tc>
        <w:tc>
          <w:tcPr>
            <w:tcW w:w="1982" w:type="dxa"/>
            <w:tcBorders>
              <w:right w:val="single" w:color="000000" w:sz="6" w:space="0"/>
            </w:tcBorders>
            <w:vAlign w:val="top"/>
          </w:tcPr>
          <w:p>
            <w:pPr>
              <w:spacing w:before="307"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CN42-1268/G4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5"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17</w:t>
            </w:r>
          </w:p>
        </w:tc>
        <w:tc>
          <w:tcPr>
            <w:tcW w:w="2910" w:type="dxa"/>
            <w:vAlign w:val="top"/>
          </w:tcPr>
          <w:p>
            <w:pPr>
              <w:spacing w:before="247" w:line="193" w:lineRule="auto"/>
              <w:ind w:firstLine="6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课程·教材·教法</w:t>
            </w:r>
          </w:p>
        </w:tc>
        <w:tc>
          <w:tcPr>
            <w:tcW w:w="3008" w:type="dxa"/>
            <w:vAlign w:val="top"/>
          </w:tcPr>
          <w:p>
            <w:pPr>
              <w:spacing w:before="91" w:line="239" w:lineRule="auto"/>
              <w:ind w:left="1396" w:right="132" w:hanging="125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人民教育出版社课程教材研究</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z w:val="21"/>
                <w:szCs w:val="21"/>
              </w:rPr>
              <w:t>所</w:t>
            </w:r>
          </w:p>
        </w:tc>
        <w:tc>
          <w:tcPr>
            <w:tcW w:w="1982" w:type="dxa"/>
            <w:tcBorders>
              <w:right w:val="single" w:color="000000" w:sz="6" w:space="0"/>
            </w:tcBorders>
            <w:vAlign w:val="top"/>
          </w:tcPr>
          <w:p>
            <w:pPr>
              <w:spacing w:before="28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CN11-1278/G4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8"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18</w:t>
            </w:r>
          </w:p>
        </w:tc>
        <w:tc>
          <w:tcPr>
            <w:tcW w:w="2910" w:type="dxa"/>
            <w:vAlign w:val="top"/>
          </w:tcPr>
          <w:p>
            <w:pPr>
              <w:spacing w:before="99" w:line="180" w:lineRule="auto"/>
              <w:ind w:firstLine="8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世界汉语教学</w:t>
            </w:r>
          </w:p>
        </w:tc>
        <w:tc>
          <w:tcPr>
            <w:tcW w:w="3008" w:type="dxa"/>
            <w:vAlign w:val="top"/>
          </w:tcPr>
          <w:p>
            <w:pPr>
              <w:spacing w:before="98" w:line="180" w:lineRule="auto"/>
              <w:ind w:firstLine="8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北京语言大学</w:t>
            </w:r>
          </w:p>
        </w:tc>
        <w:tc>
          <w:tcPr>
            <w:tcW w:w="1982" w:type="dxa"/>
            <w:tcBorders>
              <w:right w:val="single" w:color="000000" w:sz="6" w:space="0"/>
            </w:tcBorders>
            <w:vAlign w:val="top"/>
          </w:tcPr>
          <w:p>
            <w:pPr>
              <w:spacing w:before="126" w:line="180" w:lineRule="auto"/>
              <w:ind w:firstLine="3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CN11-1473/H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9"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19</w:t>
            </w:r>
          </w:p>
        </w:tc>
        <w:tc>
          <w:tcPr>
            <w:tcW w:w="2910" w:type="dxa"/>
            <w:vAlign w:val="top"/>
          </w:tcPr>
          <w:p>
            <w:pPr>
              <w:spacing w:before="98" w:line="180" w:lineRule="auto"/>
              <w:ind w:firstLine="7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语言教学与研究</w:t>
            </w:r>
          </w:p>
        </w:tc>
        <w:tc>
          <w:tcPr>
            <w:tcW w:w="3008" w:type="dxa"/>
            <w:vAlign w:val="top"/>
          </w:tcPr>
          <w:p>
            <w:pPr>
              <w:spacing w:before="99" w:line="180" w:lineRule="auto"/>
              <w:ind w:firstLine="8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北京语言大学</w:t>
            </w:r>
          </w:p>
        </w:tc>
        <w:tc>
          <w:tcPr>
            <w:tcW w:w="1982" w:type="dxa"/>
            <w:tcBorders>
              <w:right w:val="single" w:color="000000" w:sz="6" w:space="0"/>
            </w:tcBorders>
            <w:vAlign w:val="top"/>
          </w:tcPr>
          <w:p>
            <w:pPr>
              <w:spacing w:before="127" w:line="180" w:lineRule="auto"/>
              <w:ind w:firstLine="3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CN11-1472/H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4" w:type="dxa"/>
            <w:tcBorders>
              <w:left w:val="single" w:color="000000" w:sz="6" w:space="0"/>
            </w:tcBorders>
            <w:vAlign w:val="top"/>
          </w:tcPr>
          <w:p>
            <w:pPr>
              <w:spacing w:before="130"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2910" w:type="dxa"/>
            <w:vAlign w:val="top"/>
          </w:tcPr>
          <w:p>
            <w:pPr>
              <w:spacing w:before="99" w:line="180" w:lineRule="auto"/>
              <w:ind w:firstLine="102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外语教学</w:t>
            </w:r>
          </w:p>
        </w:tc>
        <w:tc>
          <w:tcPr>
            <w:tcW w:w="3008" w:type="dxa"/>
            <w:vAlign w:val="top"/>
          </w:tcPr>
          <w:p>
            <w:pPr>
              <w:spacing w:before="100" w:line="180" w:lineRule="auto"/>
              <w:ind w:firstLine="76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西安外国语大学</w:t>
            </w:r>
          </w:p>
        </w:tc>
        <w:tc>
          <w:tcPr>
            <w:tcW w:w="1982" w:type="dxa"/>
            <w:tcBorders>
              <w:right w:val="single" w:color="000000" w:sz="6" w:space="0"/>
            </w:tcBorders>
            <w:vAlign w:val="top"/>
          </w:tcPr>
          <w:p>
            <w:pPr>
              <w:spacing w:before="128" w:line="180" w:lineRule="auto"/>
              <w:ind w:firstLine="3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CN61-1023/H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31"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p>
        </w:tc>
        <w:tc>
          <w:tcPr>
            <w:tcW w:w="2910" w:type="dxa"/>
            <w:vAlign w:val="top"/>
          </w:tcPr>
          <w:p>
            <w:pPr>
              <w:spacing w:before="99" w:line="180" w:lineRule="auto"/>
              <w:ind w:firstLine="5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外语教学理论与实践</w:t>
            </w:r>
          </w:p>
        </w:tc>
        <w:tc>
          <w:tcPr>
            <w:tcW w:w="3008" w:type="dxa"/>
            <w:vAlign w:val="top"/>
          </w:tcPr>
          <w:p>
            <w:pPr>
              <w:spacing w:before="99" w:line="180" w:lineRule="auto"/>
              <w:ind w:firstLine="45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华东师范大学外语学院</w:t>
            </w:r>
          </w:p>
        </w:tc>
        <w:tc>
          <w:tcPr>
            <w:tcW w:w="1982" w:type="dxa"/>
            <w:tcBorders>
              <w:right w:val="single" w:color="000000" w:sz="6" w:space="0"/>
            </w:tcBorders>
            <w:vAlign w:val="top"/>
          </w:tcPr>
          <w:p>
            <w:pPr>
              <w:spacing w:before="128" w:line="180" w:lineRule="auto"/>
              <w:ind w:firstLine="3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CN31-1964/H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32"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tc>
        <w:tc>
          <w:tcPr>
            <w:tcW w:w="2910" w:type="dxa"/>
            <w:vAlign w:val="top"/>
          </w:tcPr>
          <w:p>
            <w:pPr>
              <w:spacing w:before="100" w:line="180" w:lineRule="auto"/>
              <w:ind w:firstLine="7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外语教学与研究</w:t>
            </w:r>
          </w:p>
        </w:tc>
        <w:tc>
          <w:tcPr>
            <w:tcW w:w="3008" w:type="dxa"/>
            <w:vAlign w:val="top"/>
          </w:tcPr>
          <w:p>
            <w:pPr>
              <w:spacing w:before="101" w:line="180" w:lineRule="auto"/>
              <w:ind w:firstLine="7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北京外国语大学</w:t>
            </w:r>
          </w:p>
        </w:tc>
        <w:tc>
          <w:tcPr>
            <w:tcW w:w="1982" w:type="dxa"/>
            <w:tcBorders>
              <w:right w:val="single" w:color="000000" w:sz="6" w:space="0"/>
            </w:tcBorders>
            <w:vAlign w:val="top"/>
          </w:tcPr>
          <w:p>
            <w:pPr>
              <w:spacing w:before="128"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CN11-1251/G4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33"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p>
        </w:tc>
        <w:tc>
          <w:tcPr>
            <w:tcW w:w="2910" w:type="dxa"/>
            <w:vAlign w:val="top"/>
          </w:tcPr>
          <w:p>
            <w:pPr>
              <w:spacing w:before="102" w:line="180" w:lineRule="auto"/>
              <w:ind w:firstLine="7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外语与外语教学</w:t>
            </w:r>
          </w:p>
        </w:tc>
        <w:tc>
          <w:tcPr>
            <w:tcW w:w="3008" w:type="dxa"/>
            <w:vAlign w:val="top"/>
          </w:tcPr>
          <w:p>
            <w:pPr>
              <w:spacing w:before="103" w:line="180" w:lineRule="auto"/>
              <w:ind w:firstLine="7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大连外国语大学</w:t>
            </w:r>
          </w:p>
        </w:tc>
        <w:tc>
          <w:tcPr>
            <w:tcW w:w="1982" w:type="dxa"/>
            <w:tcBorders>
              <w:right w:val="single" w:color="000000" w:sz="6" w:space="0"/>
            </w:tcBorders>
            <w:vAlign w:val="top"/>
          </w:tcPr>
          <w:p>
            <w:pPr>
              <w:spacing w:before="131" w:line="180" w:lineRule="auto"/>
              <w:ind w:firstLine="3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CN21-1060/H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834" w:type="dxa"/>
            <w:tcBorders>
              <w:left w:val="single" w:color="000000" w:sz="6" w:space="0"/>
              <w:bottom w:val="single" w:color="000000" w:sz="6" w:space="0"/>
            </w:tcBorders>
            <w:vAlign w:val="top"/>
          </w:tcPr>
          <w:p>
            <w:pPr>
              <w:spacing w:before="134"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p>
        </w:tc>
        <w:tc>
          <w:tcPr>
            <w:tcW w:w="2910" w:type="dxa"/>
            <w:tcBorders>
              <w:bottom w:val="single" w:color="000000" w:sz="6" w:space="0"/>
            </w:tcBorders>
            <w:vAlign w:val="top"/>
          </w:tcPr>
          <w:p>
            <w:pPr>
              <w:spacing w:before="104" w:line="180" w:lineRule="auto"/>
              <w:ind w:firstLine="102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历史教学</w:t>
            </w:r>
          </w:p>
        </w:tc>
        <w:tc>
          <w:tcPr>
            <w:tcW w:w="3008" w:type="dxa"/>
            <w:tcBorders>
              <w:bottom w:val="single" w:color="000000" w:sz="6" w:space="0"/>
            </w:tcBorders>
            <w:vAlign w:val="top"/>
          </w:tcPr>
          <w:p>
            <w:pPr>
              <w:spacing w:before="104" w:line="180" w:lineRule="auto"/>
              <w:ind w:firstLine="9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历史教学社</w:t>
            </w:r>
          </w:p>
        </w:tc>
        <w:tc>
          <w:tcPr>
            <w:tcW w:w="1982" w:type="dxa"/>
            <w:tcBorders>
              <w:bottom w:val="single" w:color="000000" w:sz="6" w:space="0"/>
              <w:right w:val="single" w:color="000000" w:sz="6" w:space="0"/>
            </w:tcBorders>
            <w:vAlign w:val="top"/>
          </w:tcPr>
          <w:p>
            <w:pPr>
              <w:spacing w:before="132"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CN12-1010/G4</w:t>
            </w:r>
          </w:p>
        </w:tc>
      </w:tr>
    </w:tbl>
    <w:p>
      <w:pPr>
        <w:spacing w:before="213"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326</w:t>
      </w:r>
    </w:p>
    <w:p>
      <w:pPr>
        <w:sectPr>
          <w:footerReference r:id="rId330"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910"/>
        <w:gridCol w:w="3008"/>
        <w:gridCol w:w="1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34" w:type="dxa"/>
            <w:tcBorders>
              <w:top w:val="single" w:color="000000" w:sz="6" w:space="0"/>
              <w:left w:val="single" w:color="000000" w:sz="6" w:space="0"/>
            </w:tcBorders>
            <w:vAlign w:val="top"/>
          </w:tcPr>
          <w:p>
            <w:pPr>
              <w:spacing w:before="87" w:line="180" w:lineRule="auto"/>
              <w:ind w:firstLine="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910" w:type="dxa"/>
            <w:tcBorders>
              <w:top w:val="single" w:color="000000" w:sz="6" w:space="0"/>
            </w:tcBorders>
            <w:vAlign w:val="top"/>
          </w:tcPr>
          <w:p>
            <w:pPr>
              <w:spacing w:before="87" w:line="180" w:lineRule="auto"/>
              <w:ind w:firstLine="1032"/>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3008" w:type="dxa"/>
            <w:tcBorders>
              <w:top w:val="single" w:color="000000" w:sz="6" w:space="0"/>
            </w:tcBorders>
            <w:vAlign w:val="top"/>
          </w:tcPr>
          <w:p>
            <w:pPr>
              <w:spacing w:before="87" w:line="180" w:lineRule="auto"/>
              <w:ind w:firstLine="77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1982" w:type="dxa"/>
            <w:tcBorders>
              <w:top w:val="single" w:color="000000" w:sz="6" w:space="0"/>
              <w:right w:val="single" w:color="000000" w:sz="6" w:space="0"/>
            </w:tcBorders>
            <w:vAlign w:val="top"/>
          </w:tcPr>
          <w:p>
            <w:pPr>
              <w:spacing w:before="87" w:line="180" w:lineRule="auto"/>
              <w:ind w:firstLine="713"/>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15"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25</w:t>
            </w:r>
          </w:p>
        </w:tc>
        <w:tc>
          <w:tcPr>
            <w:tcW w:w="2910" w:type="dxa"/>
            <w:vAlign w:val="top"/>
          </w:tcPr>
          <w:p>
            <w:pPr>
              <w:spacing w:before="85" w:line="180" w:lineRule="auto"/>
              <w:ind w:firstLine="7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心理发展与教育</w:t>
            </w:r>
          </w:p>
        </w:tc>
        <w:tc>
          <w:tcPr>
            <w:tcW w:w="3008" w:type="dxa"/>
            <w:vAlign w:val="top"/>
          </w:tcPr>
          <w:p>
            <w:pPr>
              <w:spacing w:before="88" w:line="180" w:lineRule="auto"/>
              <w:ind w:firstLine="8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北京师范大学</w:t>
            </w:r>
          </w:p>
        </w:tc>
        <w:tc>
          <w:tcPr>
            <w:tcW w:w="1982" w:type="dxa"/>
            <w:tcBorders>
              <w:right w:val="single" w:color="000000" w:sz="6" w:space="0"/>
            </w:tcBorders>
            <w:vAlign w:val="top"/>
          </w:tcPr>
          <w:p>
            <w:pPr>
              <w:spacing w:before="116" w:line="180" w:lineRule="auto"/>
              <w:ind w:firstLine="3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CN11-1608/B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34" w:type="dxa"/>
            <w:tcBorders>
              <w:left w:val="single" w:color="000000" w:sz="6" w:space="0"/>
            </w:tcBorders>
            <w:vAlign w:val="top"/>
          </w:tcPr>
          <w:p>
            <w:pPr>
              <w:spacing w:before="274"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26</w:t>
            </w:r>
          </w:p>
        </w:tc>
        <w:tc>
          <w:tcPr>
            <w:tcW w:w="2910" w:type="dxa"/>
            <w:vAlign w:val="top"/>
          </w:tcPr>
          <w:p>
            <w:pPr>
              <w:spacing w:before="243" w:line="180" w:lineRule="auto"/>
              <w:ind w:firstLine="8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学前教育研究</w:t>
            </w:r>
          </w:p>
        </w:tc>
        <w:tc>
          <w:tcPr>
            <w:tcW w:w="3008" w:type="dxa"/>
            <w:vAlign w:val="top"/>
          </w:tcPr>
          <w:p>
            <w:pPr>
              <w:spacing w:before="88" w:line="252" w:lineRule="auto"/>
              <w:ind w:left="1191" w:right="132" w:hanging="103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中国学前教育研究会、长沙师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范学校</w:t>
            </w:r>
          </w:p>
        </w:tc>
        <w:tc>
          <w:tcPr>
            <w:tcW w:w="1982" w:type="dxa"/>
            <w:tcBorders>
              <w:right w:val="single" w:color="000000" w:sz="6" w:space="0"/>
            </w:tcBorders>
            <w:vAlign w:val="top"/>
          </w:tcPr>
          <w:p>
            <w:pPr>
              <w:spacing w:before="27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CN43-1038/G4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0"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27</w:t>
            </w:r>
          </w:p>
        </w:tc>
        <w:tc>
          <w:tcPr>
            <w:tcW w:w="2910" w:type="dxa"/>
            <w:vAlign w:val="top"/>
          </w:tcPr>
          <w:p>
            <w:pPr>
              <w:spacing w:before="87" w:line="180" w:lineRule="auto"/>
              <w:ind w:firstLine="83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中国特殊教育</w:t>
            </w:r>
          </w:p>
        </w:tc>
        <w:tc>
          <w:tcPr>
            <w:tcW w:w="3008" w:type="dxa"/>
            <w:vAlign w:val="top"/>
          </w:tcPr>
          <w:p>
            <w:pPr>
              <w:spacing w:before="87" w:line="180" w:lineRule="auto"/>
              <w:ind w:firstLine="57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中央教育科学研究所</w:t>
            </w:r>
          </w:p>
        </w:tc>
        <w:tc>
          <w:tcPr>
            <w:tcW w:w="1982" w:type="dxa"/>
            <w:tcBorders>
              <w:right w:val="single" w:color="000000" w:sz="6" w:space="0"/>
            </w:tcBorders>
            <w:vAlign w:val="top"/>
          </w:tcPr>
          <w:p>
            <w:pPr>
              <w:spacing w:before="117"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CN11-3826/G4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0"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28</w:t>
            </w:r>
          </w:p>
        </w:tc>
        <w:tc>
          <w:tcPr>
            <w:tcW w:w="2910" w:type="dxa"/>
            <w:vAlign w:val="top"/>
          </w:tcPr>
          <w:p>
            <w:pPr>
              <w:spacing w:before="87"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教育研究与实验</w:t>
            </w:r>
          </w:p>
        </w:tc>
        <w:tc>
          <w:tcPr>
            <w:tcW w:w="3008" w:type="dxa"/>
            <w:vAlign w:val="top"/>
          </w:tcPr>
          <w:p>
            <w:pPr>
              <w:spacing w:before="89" w:line="180" w:lineRule="auto"/>
              <w:ind w:firstLine="8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华中师范大学</w:t>
            </w:r>
          </w:p>
        </w:tc>
        <w:tc>
          <w:tcPr>
            <w:tcW w:w="1982" w:type="dxa"/>
            <w:tcBorders>
              <w:right w:val="single" w:color="000000" w:sz="6" w:space="0"/>
            </w:tcBorders>
            <w:vAlign w:val="top"/>
          </w:tcPr>
          <w:p>
            <w:pPr>
              <w:spacing w:before="118"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CN42-1041/G4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2"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29</w:t>
            </w:r>
          </w:p>
        </w:tc>
        <w:tc>
          <w:tcPr>
            <w:tcW w:w="2910" w:type="dxa"/>
            <w:vAlign w:val="top"/>
          </w:tcPr>
          <w:p>
            <w:pPr>
              <w:spacing w:before="89" w:line="180" w:lineRule="auto"/>
              <w:ind w:firstLine="6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高等工程教育研究</w:t>
            </w:r>
          </w:p>
        </w:tc>
        <w:tc>
          <w:tcPr>
            <w:tcW w:w="3008" w:type="dxa"/>
            <w:vAlign w:val="top"/>
          </w:tcPr>
          <w:p>
            <w:pPr>
              <w:spacing w:before="89" w:line="180" w:lineRule="auto"/>
              <w:ind w:firstLine="7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华中科技大学等</w:t>
            </w:r>
          </w:p>
        </w:tc>
        <w:tc>
          <w:tcPr>
            <w:tcW w:w="1982" w:type="dxa"/>
            <w:tcBorders>
              <w:right w:val="single" w:color="000000" w:sz="6" w:space="0"/>
            </w:tcBorders>
            <w:vAlign w:val="top"/>
          </w:tcPr>
          <w:p>
            <w:pPr>
              <w:spacing w:before="120"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CN42-1026/G4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2"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c>
          <w:tcPr>
            <w:tcW w:w="2910" w:type="dxa"/>
            <w:vAlign w:val="top"/>
          </w:tcPr>
          <w:p>
            <w:pPr>
              <w:spacing w:before="90" w:line="180" w:lineRule="auto"/>
              <w:ind w:firstLine="83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电化教育研究</w:t>
            </w:r>
          </w:p>
        </w:tc>
        <w:tc>
          <w:tcPr>
            <w:tcW w:w="3008" w:type="dxa"/>
            <w:vAlign w:val="top"/>
          </w:tcPr>
          <w:p>
            <w:pPr>
              <w:spacing w:before="89" w:line="180" w:lineRule="auto"/>
              <w:ind w:firstLine="7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西北师范大学等</w:t>
            </w:r>
          </w:p>
        </w:tc>
        <w:tc>
          <w:tcPr>
            <w:tcW w:w="1982" w:type="dxa"/>
            <w:tcBorders>
              <w:right w:val="single" w:color="000000" w:sz="6" w:space="0"/>
            </w:tcBorders>
            <w:vAlign w:val="top"/>
          </w:tcPr>
          <w:p>
            <w:pPr>
              <w:spacing w:before="121"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CN62-1022/G4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3"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31</w:t>
            </w:r>
          </w:p>
        </w:tc>
        <w:tc>
          <w:tcPr>
            <w:tcW w:w="2910" w:type="dxa"/>
            <w:vAlign w:val="top"/>
          </w:tcPr>
          <w:p>
            <w:pPr>
              <w:spacing w:before="93" w:line="180" w:lineRule="auto"/>
              <w:ind w:firstLine="8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外语电化教学</w:t>
            </w:r>
          </w:p>
        </w:tc>
        <w:tc>
          <w:tcPr>
            <w:tcW w:w="3008" w:type="dxa"/>
            <w:vAlign w:val="top"/>
          </w:tcPr>
          <w:p>
            <w:pPr>
              <w:spacing w:before="93" w:line="180" w:lineRule="auto"/>
              <w:ind w:firstLine="76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上海外国语大学</w:t>
            </w:r>
          </w:p>
        </w:tc>
        <w:tc>
          <w:tcPr>
            <w:tcW w:w="1982" w:type="dxa"/>
            <w:tcBorders>
              <w:right w:val="single" w:color="000000" w:sz="6" w:space="0"/>
            </w:tcBorders>
            <w:vAlign w:val="top"/>
          </w:tcPr>
          <w:p>
            <w:pPr>
              <w:spacing w:before="121"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CN31-1036/G4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834" w:type="dxa"/>
            <w:tcBorders>
              <w:left w:val="single" w:color="000000" w:sz="6" w:space="0"/>
            </w:tcBorders>
            <w:vAlign w:val="top"/>
          </w:tcPr>
          <w:p>
            <w:pPr>
              <w:spacing w:before="305"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32</w:t>
            </w:r>
          </w:p>
        </w:tc>
        <w:tc>
          <w:tcPr>
            <w:tcW w:w="2910" w:type="dxa"/>
            <w:vAlign w:val="top"/>
          </w:tcPr>
          <w:p>
            <w:pPr>
              <w:spacing w:before="272" w:line="180" w:lineRule="auto"/>
              <w:ind w:firstLine="8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开放教育研究</w:t>
            </w:r>
          </w:p>
        </w:tc>
        <w:tc>
          <w:tcPr>
            <w:tcW w:w="3008" w:type="dxa"/>
            <w:vAlign w:val="top"/>
          </w:tcPr>
          <w:p>
            <w:pPr>
              <w:spacing w:before="93" w:line="363" w:lineRule="exact"/>
              <w:ind w:firstLine="66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2"/>
                <w:sz w:val="21"/>
                <w:szCs w:val="21"/>
              </w:rPr>
              <w:t>上海远程教育集团</w:t>
            </w:r>
          </w:p>
          <w:p>
            <w:pPr>
              <w:spacing w:line="204" w:lineRule="auto"/>
              <w:ind w:firstLine="8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上海电视大学</w:t>
            </w:r>
          </w:p>
        </w:tc>
        <w:tc>
          <w:tcPr>
            <w:tcW w:w="1982" w:type="dxa"/>
            <w:tcBorders>
              <w:right w:val="single" w:color="000000" w:sz="6" w:space="0"/>
            </w:tcBorders>
            <w:vAlign w:val="top"/>
          </w:tcPr>
          <w:p>
            <w:pPr>
              <w:spacing w:before="30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CN31-1724/G4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5"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33</w:t>
            </w:r>
          </w:p>
        </w:tc>
        <w:tc>
          <w:tcPr>
            <w:tcW w:w="2910" w:type="dxa"/>
            <w:vAlign w:val="top"/>
          </w:tcPr>
          <w:p>
            <w:pPr>
              <w:spacing w:before="92" w:line="180" w:lineRule="auto"/>
              <w:ind w:firstLine="8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远程教育杂志</w:t>
            </w:r>
          </w:p>
        </w:tc>
        <w:tc>
          <w:tcPr>
            <w:tcW w:w="3008" w:type="dxa"/>
            <w:vAlign w:val="top"/>
          </w:tcPr>
          <w:p>
            <w:pPr>
              <w:spacing w:before="93" w:line="180" w:lineRule="auto"/>
              <w:ind w:firstLine="66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浙江广播电视大学</w:t>
            </w:r>
          </w:p>
        </w:tc>
        <w:tc>
          <w:tcPr>
            <w:tcW w:w="1982" w:type="dxa"/>
            <w:tcBorders>
              <w:right w:val="single" w:color="000000" w:sz="6" w:space="0"/>
            </w:tcBorders>
            <w:vAlign w:val="top"/>
          </w:tcPr>
          <w:p>
            <w:pPr>
              <w:spacing w:before="12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CN33-1304/G4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5"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34</w:t>
            </w:r>
          </w:p>
        </w:tc>
        <w:tc>
          <w:tcPr>
            <w:tcW w:w="2910" w:type="dxa"/>
            <w:vAlign w:val="top"/>
          </w:tcPr>
          <w:p>
            <w:pPr>
              <w:spacing w:before="92" w:line="180" w:lineRule="auto"/>
              <w:ind w:firstLine="6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现代远程教育研究</w:t>
            </w:r>
          </w:p>
        </w:tc>
        <w:tc>
          <w:tcPr>
            <w:tcW w:w="3008" w:type="dxa"/>
            <w:vAlign w:val="top"/>
          </w:tcPr>
          <w:p>
            <w:pPr>
              <w:spacing w:before="94" w:line="180" w:lineRule="auto"/>
              <w:ind w:firstLine="68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四川广播电视大学</w:t>
            </w:r>
          </w:p>
        </w:tc>
        <w:tc>
          <w:tcPr>
            <w:tcW w:w="1982" w:type="dxa"/>
            <w:tcBorders>
              <w:right w:val="single" w:color="000000" w:sz="6" w:space="0"/>
            </w:tcBorders>
            <w:vAlign w:val="top"/>
          </w:tcPr>
          <w:p>
            <w:pPr>
              <w:spacing w:before="123"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CN51-1580/G4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5"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35</w:t>
            </w:r>
          </w:p>
        </w:tc>
        <w:tc>
          <w:tcPr>
            <w:tcW w:w="2910" w:type="dxa"/>
            <w:vAlign w:val="top"/>
          </w:tcPr>
          <w:p>
            <w:pPr>
              <w:spacing w:before="95" w:line="180" w:lineRule="auto"/>
              <w:ind w:firstLine="83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中国远程教育</w:t>
            </w:r>
          </w:p>
        </w:tc>
        <w:tc>
          <w:tcPr>
            <w:tcW w:w="3008" w:type="dxa"/>
            <w:vAlign w:val="top"/>
          </w:tcPr>
          <w:p>
            <w:pPr>
              <w:spacing w:before="95" w:line="180" w:lineRule="auto"/>
              <w:ind w:firstLine="68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中央广播电视大学</w:t>
            </w:r>
          </w:p>
        </w:tc>
        <w:tc>
          <w:tcPr>
            <w:tcW w:w="1982" w:type="dxa"/>
            <w:tcBorders>
              <w:right w:val="single" w:color="000000" w:sz="6" w:space="0"/>
            </w:tcBorders>
            <w:vAlign w:val="top"/>
          </w:tcPr>
          <w:p>
            <w:pPr>
              <w:spacing w:before="125"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CN11-4089/G4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7"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36</w:t>
            </w:r>
          </w:p>
        </w:tc>
        <w:tc>
          <w:tcPr>
            <w:tcW w:w="2910" w:type="dxa"/>
            <w:vAlign w:val="top"/>
          </w:tcPr>
          <w:p>
            <w:pPr>
              <w:spacing w:before="95" w:line="180" w:lineRule="auto"/>
              <w:ind w:firstLine="82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高校教育管理</w:t>
            </w:r>
          </w:p>
        </w:tc>
        <w:tc>
          <w:tcPr>
            <w:tcW w:w="3008" w:type="dxa"/>
            <w:vAlign w:val="top"/>
          </w:tcPr>
          <w:p>
            <w:pPr>
              <w:spacing w:before="96" w:line="180" w:lineRule="auto"/>
              <w:ind w:firstLine="10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江苏大学</w:t>
            </w:r>
          </w:p>
        </w:tc>
        <w:tc>
          <w:tcPr>
            <w:tcW w:w="1982" w:type="dxa"/>
            <w:tcBorders>
              <w:right w:val="single" w:color="000000" w:sz="6" w:space="0"/>
            </w:tcBorders>
            <w:vAlign w:val="top"/>
          </w:tcPr>
          <w:p>
            <w:pPr>
              <w:spacing w:before="126" w:line="180" w:lineRule="auto"/>
              <w:ind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CN32-1774/G4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9"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37</w:t>
            </w:r>
          </w:p>
        </w:tc>
        <w:tc>
          <w:tcPr>
            <w:tcW w:w="2910" w:type="dxa"/>
            <w:vAlign w:val="top"/>
          </w:tcPr>
          <w:p>
            <w:pPr>
              <w:spacing w:before="96" w:line="180" w:lineRule="auto"/>
              <w:ind w:firstLine="8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法学教育研究</w:t>
            </w:r>
          </w:p>
        </w:tc>
        <w:tc>
          <w:tcPr>
            <w:tcW w:w="3008" w:type="dxa"/>
            <w:vAlign w:val="top"/>
          </w:tcPr>
          <w:p>
            <w:pPr>
              <w:spacing w:before="99" w:line="180" w:lineRule="auto"/>
              <w:ind w:firstLine="8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西北政法大学</w:t>
            </w:r>
          </w:p>
        </w:tc>
        <w:tc>
          <w:tcPr>
            <w:tcW w:w="1982" w:type="dxa"/>
            <w:tcBorders>
              <w:right w:val="single" w:color="000000" w:sz="6" w:space="0"/>
            </w:tcBorders>
            <w:vAlign w:val="top"/>
          </w:tcPr>
          <w:p>
            <w:pPr>
              <w:spacing w:before="96"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法律出版社（集刊）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6"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38</w:t>
            </w:r>
          </w:p>
        </w:tc>
        <w:tc>
          <w:tcPr>
            <w:tcW w:w="2910" w:type="dxa"/>
            <w:vAlign w:val="top"/>
          </w:tcPr>
          <w:p>
            <w:pPr>
              <w:spacing w:before="253" w:line="180" w:lineRule="auto"/>
              <w:ind w:firstLine="6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现代基础教育研究</w:t>
            </w:r>
          </w:p>
        </w:tc>
        <w:tc>
          <w:tcPr>
            <w:tcW w:w="3008" w:type="dxa"/>
            <w:vAlign w:val="top"/>
          </w:tcPr>
          <w:p>
            <w:pPr>
              <w:spacing w:before="256" w:line="180" w:lineRule="auto"/>
              <w:ind w:firstLine="87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上海师范大学</w:t>
            </w:r>
          </w:p>
        </w:tc>
        <w:tc>
          <w:tcPr>
            <w:tcW w:w="1982" w:type="dxa"/>
            <w:tcBorders>
              <w:right w:val="single" w:color="000000" w:sz="6" w:space="0"/>
            </w:tcBorders>
            <w:vAlign w:val="top"/>
          </w:tcPr>
          <w:p>
            <w:pPr>
              <w:spacing w:before="98" w:line="180" w:lineRule="auto"/>
              <w:ind w:firstLine="2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上海教育出版社</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8"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39</w:t>
            </w:r>
          </w:p>
        </w:tc>
        <w:tc>
          <w:tcPr>
            <w:tcW w:w="2910" w:type="dxa"/>
            <w:vAlign w:val="top"/>
          </w:tcPr>
          <w:p>
            <w:pPr>
              <w:spacing w:before="255" w:line="180" w:lineRule="auto"/>
              <w:ind w:firstLine="83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中国教育科学</w:t>
            </w:r>
          </w:p>
        </w:tc>
        <w:tc>
          <w:tcPr>
            <w:tcW w:w="3008" w:type="dxa"/>
            <w:vAlign w:val="top"/>
          </w:tcPr>
          <w:p>
            <w:pPr>
              <w:spacing w:before="256" w:line="180" w:lineRule="auto"/>
              <w:ind w:firstLine="36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中国教育学会教育学分会</w:t>
            </w:r>
          </w:p>
        </w:tc>
        <w:tc>
          <w:tcPr>
            <w:tcW w:w="1982" w:type="dxa"/>
            <w:tcBorders>
              <w:right w:val="single" w:color="000000" w:sz="6" w:space="0"/>
            </w:tcBorders>
            <w:vAlign w:val="top"/>
          </w:tcPr>
          <w:p>
            <w:pPr>
              <w:spacing w:before="99" w:line="180" w:lineRule="auto"/>
              <w:ind w:firstLine="25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人民教育出版社</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834" w:type="dxa"/>
            <w:tcBorders>
              <w:left w:val="single" w:color="000000" w:sz="6" w:space="0"/>
            </w:tcBorders>
            <w:vAlign w:val="top"/>
          </w:tcPr>
          <w:p>
            <w:pPr>
              <w:spacing w:before="288"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40</w:t>
            </w:r>
          </w:p>
        </w:tc>
        <w:tc>
          <w:tcPr>
            <w:tcW w:w="2910" w:type="dxa"/>
            <w:vAlign w:val="top"/>
          </w:tcPr>
          <w:p>
            <w:pPr>
              <w:spacing w:before="256" w:line="180" w:lineRule="auto"/>
              <w:ind w:firstLine="4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中国教育：研究与评论</w:t>
            </w:r>
          </w:p>
        </w:tc>
        <w:tc>
          <w:tcPr>
            <w:tcW w:w="3008" w:type="dxa"/>
            <w:vAlign w:val="top"/>
          </w:tcPr>
          <w:p>
            <w:pPr>
              <w:spacing w:before="256" w:line="180" w:lineRule="auto"/>
              <w:ind w:firstLine="24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华东师范大学教育科学学院</w:t>
            </w:r>
          </w:p>
        </w:tc>
        <w:tc>
          <w:tcPr>
            <w:tcW w:w="1982" w:type="dxa"/>
            <w:tcBorders>
              <w:right w:val="single" w:color="000000" w:sz="6" w:space="0"/>
            </w:tcBorders>
            <w:vAlign w:val="top"/>
          </w:tcPr>
          <w:p>
            <w:pPr>
              <w:spacing w:before="100" w:line="180" w:lineRule="auto"/>
              <w:ind w:firstLine="2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教育科学出版社</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34" w:type="dxa"/>
            <w:tcBorders>
              <w:left w:val="single" w:color="000000" w:sz="6" w:space="0"/>
            </w:tcBorders>
            <w:vAlign w:val="top"/>
          </w:tcPr>
          <w:p>
            <w:pPr>
              <w:spacing w:before="289"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p>
        </w:tc>
        <w:tc>
          <w:tcPr>
            <w:tcW w:w="2910" w:type="dxa"/>
            <w:vAlign w:val="top"/>
          </w:tcPr>
          <w:p>
            <w:pPr>
              <w:spacing w:before="256" w:line="180" w:lineRule="auto"/>
              <w:ind w:firstLine="62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中国教育法制评论</w:t>
            </w:r>
          </w:p>
        </w:tc>
        <w:tc>
          <w:tcPr>
            <w:tcW w:w="3008" w:type="dxa"/>
            <w:vAlign w:val="top"/>
          </w:tcPr>
          <w:p>
            <w:pPr>
              <w:spacing w:before="256" w:line="180" w:lineRule="auto"/>
              <w:ind w:firstLine="45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北京师范大学教育学院</w:t>
            </w:r>
          </w:p>
        </w:tc>
        <w:tc>
          <w:tcPr>
            <w:tcW w:w="1982" w:type="dxa"/>
            <w:tcBorders>
              <w:right w:val="single" w:color="000000" w:sz="6" w:space="0"/>
            </w:tcBorders>
            <w:vAlign w:val="top"/>
          </w:tcPr>
          <w:p>
            <w:pPr>
              <w:spacing w:before="100" w:line="180" w:lineRule="auto"/>
              <w:ind w:firstLine="2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教育科学出版社</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90"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p>
        </w:tc>
        <w:tc>
          <w:tcPr>
            <w:tcW w:w="2910" w:type="dxa"/>
            <w:vAlign w:val="top"/>
          </w:tcPr>
          <w:p>
            <w:pPr>
              <w:spacing w:before="257" w:line="180" w:lineRule="auto"/>
              <w:ind w:firstLine="62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中国教育政策评论</w:t>
            </w:r>
          </w:p>
        </w:tc>
        <w:tc>
          <w:tcPr>
            <w:tcW w:w="3008" w:type="dxa"/>
            <w:vAlign w:val="top"/>
          </w:tcPr>
          <w:p>
            <w:pPr>
              <w:spacing w:before="257" w:line="180" w:lineRule="auto"/>
              <w:ind w:firstLine="57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中国教育科学研究院</w:t>
            </w:r>
          </w:p>
        </w:tc>
        <w:tc>
          <w:tcPr>
            <w:tcW w:w="1982" w:type="dxa"/>
            <w:tcBorders>
              <w:right w:val="single" w:color="000000" w:sz="6" w:space="0"/>
            </w:tcBorders>
            <w:vAlign w:val="top"/>
          </w:tcPr>
          <w:p>
            <w:pPr>
              <w:spacing w:before="101" w:line="180" w:lineRule="auto"/>
              <w:ind w:firstLine="2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教育科学出版社</w:t>
            </w:r>
          </w:p>
          <w:p>
            <w:pPr>
              <w:spacing w:before="88" w:line="180" w:lineRule="auto"/>
              <w:ind w:firstLine="50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（集刊）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rPr>
        <w:tc>
          <w:tcPr>
            <w:tcW w:w="834" w:type="dxa"/>
            <w:tcBorders>
              <w:left w:val="single" w:color="000000" w:sz="6" w:space="0"/>
              <w:bottom w:val="single" w:color="000000" w:sz="6" w:space="0"/>
            </w:tcBorders>
            <w:vAlign w:val="top"/>
          </w:tcPr>
          <w:p>
            <w:pPr>
              <w:spacing w:before="290" w:line="180" w:lineRule="auto"/>
              <w:ind w:firstLine="3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p>
        </w:tc>
        <w:tc>
          <w:tcPr>
            <w:tcW w:w="2910" w:type="dxa"/>
            <w:tcBorders>
              <w:bottom w:val="single" w:color="000000" w:sz="6" w:space="0"/>
            </w:tcBorders>
            <w:vAlign w:val="top"/>
          </w:tcPr>
          <w:p>
            <w:pPr>
              <w:spacing w:before="258" w:line="180" w:lineRule="auto"/>
              <w:ind w:firstLine="71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研究生教育论坛</w:t>
            </w:r>
          </w:p>
        </w:tc>
        <w:tc>
          <w:tcPr>
            <w:tcW w:w="3008" w:type="dxa"/>
            <w:tcBorders>
              <w:bottom w:val="single" w:color="000000" w:sz="6" w:space="0"/>
            </w:tcBorders>
            <w:vAlign w:val="top"/>
          </w:tcPr>
          <w:p>
            <w:pPr>
              <w:spacing w:before="257" w:line="180" w:lineRule="auto"/>
              <w:ind w:firstLine="14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湖南省学位与研究生教育学会</w:t>
            </w:r>
          </w:p>
        </w:tc>
        <w:tc>
          <w:tcPr>
            <w:tcW w:w="1982" w:type="dxa"/>
            <w:tcBorders>
              <w:bottom w:val="single" w:color="000000" w:sz="6" w:space="0"/>
              <w:right w:val="single" w:color="000000" w:sz="6" w:space="0"/>
            </w:tcBorders>
            <w:vAlign w:val="top"/>
          </w:tcPr>
          <w:p>
            <w:pPr>
              <w:spacing w:before="102" w:line="251" w:lineRule="auto"/>
              <w:ind w:left="888" w:right="141" w:hanging="72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限奖励年度优秀论</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z w:val="21"/>
                <w:szCs w:val="21"/>
              </w:rPr>
              <w:t>文</w:t>
            </w:r>
          </w:p>
        </w:tc>
      </w:tr>
    </w:tbl>
    <w:p>
      <w:pPr>
        <w:spacing w:line="244" w:lineRule="auto"/>
        <w:rPr>
          <w:rFonts w:ascii="Malgun Gothic"/>
          <w:sz w:val="21"/>
        </w:rPr>
      </w:pPr>
    </w:p>
    <w:p>
      <w:pPr>
        <w:spacing w:line="245" w:lineRule="auto"/>
        <w:rPr>
          <w:rFonts w:ascii="Malgun Gothic"/>
          <w:sz w:val="21"/>
        </w:rPr>
      </w:pPr>
    </w:p>
    <w:p>
      <w:pPr>
        <w:spacing w:line="245" w:lineRule="auto"/>
        <w:rPr>
          <w:rFonts w:ascii="Malgun Gothic"/>
          <w:sz w:val="21"/>
        </w:rPr>
      </w:pPr>
    </w:p>
    <w:p>
      <w:pPr>
        <w:spacing w:line="245" w:lineRule="auto"/>
        <w:rPr>
          <w:rFonts w:ascii="Malgun Gothic"/>
          <w:sz w:val="21"/>
        </w:rPr>
      </w:pPr>
    </w:p>
    <w:p>
      <w:pPr>
        <w:spacing w:line="245" w:lineRule="auto"/>
        <w:rPr>
          <w:rFonts w:ascii="Malgun Gothic"/>
          <w:sz w:val="21"/>
        </w:rPr>
      </w:pPr>
    </w:p>
    <w:p>
      <w:pPr>
        <w:spacing w:line="245" w:lineRule="auto"/>
        <w:rPr>
          <w:rFonts w:ascii="Malgun Gothic"/>
          <w:sz w:val="21"/>
        </w:rPr>
      </w:pPr>
    </w:p>
    <w:p>
      <w:pPr>
        <w:spacing w:line="245"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327</w:t>
      </w:r>
    </w:p>
    <w:p>
      <w:pPr>
        <w:sectPr>
          <w:footerReference r:id="rId331" w:type="default"/>
          <w:pgSz w:w="11905" w:h="16840"/>
          <w:pgMar w:top="1431" w:right="1577" w:bottom="400" w:left="157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7"/>
          <w:sz w:val="24"/>
          <w:szCs w:val="24"/>
        </w:rPr>
        <w:t>4</w:t>
      </w:r>
    </w:p>
    <w:p>
      <w:pPr>
        <w:spacing w:before="149" w:line="164" w:lineRule="auto"/>
        <w:ind w:firstLine="3214"/>
        <w:rPr>
          <w:rFonts w:ascii="Malgun Gothic" w:hAnsi="Malgun Gothic" w:eastAsia="Malgun Gothic" w:cs="Malgun Gothic"/>
          <w:sz w:val="28"/>
          <w:szCs w:val="28"/>
        </w:rPr>
      </w:pPr>
      <w:r>
        <w:rPr>
          <w:rFonts w:ascii="Malgun Gothic" w:hAnsi="Malgun Gothic" w:eastAsia="Malgun Gothic" w:cs="Malgun Gothic"/>
          <w:spacing w:val="-3"/>
          <w:sz w:val="28"/>
          <w:szCs w:val="28"/>
        </w:rPr>
        <w:t>D</w:t>
      </w:r>
      <w:r>
        <w:rPr>
          <w:rFonts w:ascii="Malgun Gothic" w:hAnsi="Malgun Gothic" w:eastAsia="Malgun Gothic" w:cs="Malgun Gothic"/>
          <w:spacing w:val="-15"/>
          <w:sz w:val="28"/>
          <w:szCs w:val="28"/>
        </w:rPr>
        <w:t xml:space="preserve"> </w:t>
      </w:r>
      <w:r>
        <w:rPr>
          <w:rFonts w:ascii="Microsoft JhengHei" w:hAnsi="Microsoft JhengHei" w:eastAsia="Microsoft JhengHei" w:cs="Microsoft JhengHei"/>
          <w:spacing w:val="-3"/>
          <w:sz w:val="28"/>
          <w:szCs w:val="28"/>
        </w:rPr>
        <w:t>类期刊（22</w:t>
      </w:r>
      <w:r>
        <w:rPr>
          <w:rFonts w:ascii="Microsoft JhengHei" w:hAnsi="Microsoft JhengHei" w:eastAsia="Microsoft JhengHei" w:cs="Microsoft JhengHei"/>
          <w:spacing w:val="7"/>
          <w:sz w:val="28"/>
          <w:szCs w:val="28"/>
        </w:rPr>
        <w:t xml:space="preserve"> </w:t>
      </w:r>
      <w:r>
        <w:rPr>
          <w:rFonts w:ascii="Microsoft JhengHei" w:hAnsi="Microsoft JhengHei" w:eastAsia="Microsoft JhengHei" w:cs="Microsoft JhengHei"/>
          <w:spacing w:val="-3"/>
          <w:sz w:val="28"/>
          <w:szCs w:val="28"/>
        </w:rPr>
        <w:t>种</w:t>
      </w:r>
      <w:r>
        <w:rPr>
          <w:rFonts w:ascii="Malgun Gothic" w:hAnsi="Malgun Gothic" w:eastAsia="Malgun Gothic" w:cs="Malgun Gothic"/>
          <w:spacing w:val="-3"/>
          <w:sz w:val="28"/>
          <w:szCs w:val="28"/>
        </w:rPr>
        <w:t>）</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5"/>
        <w:gridCol w:w="2665"/>
        <w:gridCol w:w="3050"/>
        <w:gridCol w:w="19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8" w:hRule="atLeast"/>
        </w:trPr>
        <w:tc>
          <w:tcPr>
            <w:tcW w:w="1055" w:type="dxa"/>
            <w:tcBorders>
              <w:top w:val="single" w:color="000000" w:sz="6" w:space="0"/>
              <w:left w:val="single" w:color="000000" w:sz="6" w:space="0"/>
            </w:tcBorders>
            <w:vAlign w:val="top"/>
          </w:tcPr>
          <w:p>
            <w:pPr>
              <w:spacing w:before="227" w:line="180" w:lineRule="auto"/>
              <w:ind w:firstLine="259"/>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665" w:type="dxa"/>
            <w:tcBorders>
              <w:top w:val="single" w:color="000000" w:sz="6" w:space="0"/>
            </w:tcBorders>
            <w:vAlign w:val="top"/>
          </w:tcPr>
          <w:p>
            <w:pPr>
              <w:spacing w:before="227" w:line="180" w:lineRule="auto"/>
              <w:ind w:firstLine="91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3050" w:type="dxa"/>
            <w:tcBorders>
              <w:top w:val="single" w:color="000000" w:sz="6" w:space="0"/>
            </w:tcBorders>
            <w:vAlign w:val="top"/>
          </w:tcPr>
          <w:p>
            <w:pPr>
              <w:spacing w:before="227" w:line="180" w:lineRule="auto"/>
              <w:ind w:firstLine="798"/>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1964" w:type="dxa"/>
            <w:tcBorders>
              <w:top w:val="single" w:color="000000" w:sz="6" w:space="0"/>
              <w:right w:val="single" w:color="000000" w:sz="6" w:space="0"/>
            </w:tcBorders>
            <w:vAlign w:val="top"/>
          </w:tcPr>
          <w:p>
            <w:pPr>
              <w:spacing w:before="227" w:line="180" w:lineRule="auto"/>
              <w:ind w:firstLine="704"/>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17" w:line="180" w:lineRule="auto"/>
              <w:ind w:firstLine="489"/>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665" w:type="dxa"/>
            <w:vAlign w:val="top"/>
          </w:tcPr>
          <w:p>
            <w:pPr>
              <w:spacing w:before="86" w:line="180" w:lineRule="auto"/>
              <w:ind w:firstLine="718"/>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中国大学教学</w:t>
            </w:r>
          </w:p>
        </w:tc>
        <w:tc>
          <w:tcPr>
            <w:tcW w:w="3050" w:type="dxa"/>
            <w:vAlign w:val="top"/>
          </w:tcPr>
          <w:p>
            <w:pPr>
              <w:spacing w:before="83" w:line="180" w:lineRule="auto"/>
              <w:ind w:firstLine="79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高等教育出版社</w:t>
            </w:r>
          </w:p>
        </w:tc>
        <w:tc>
          <w:tcPr>
            <w:tcW w:w="1964" w:type="dxa"/>
            <w:tcBorders>
              <w:right w:val="single" w:color="000000" w:sz="6" w:space="0"/>
            </w:tcBorders>
            <w:vAlign w:val="top"/>
          </w:tcPr>
          <w:p>
            <w:pPr>
              <w:spacing w:before="115"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CN11-3213/G4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055" w:type="dxa"/>
            <w:tcBorders>
              <w:left w:val="single" w:color="000000" w:sz="6" w:space="0"/>
            </w:tcBorders>
            <w:vAlign w:val="top"/>
          </w:tcPr>
          <w:p>
            <w:pPr>
              <w:spacing w:before="118" w:line="180" w:lineRule="auto"/>
              <w:ind w:firstLine="47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665" w:type="dxa"/>
            <w:vAlign w:val="top"/>
          </w:tcPr>
          <w:p>
            <w:pPr>
              <w:spacing w:before="83" w:line="180" w:lineRule="auto"/>
              <w:ind w:firstLine="7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现代教育管理</w:t>
            </w:r>
          </w:p>
        </w:tc>
        <w:tc>
          <w:tcPr>
            <w:tcW w:w="3050" w:type="dxa"/>
            <w:vAlign w:val="top"/>
          </w:tcPr>
          <w:p>
            <w:pPr>
              <w:spacing w:before="85" w:line="180" w:lineRule="auto"/>
              <w:ind w:firstLine="7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辽宁教育研究院</w:t>
            </w:r>
          </w:p>
        </w:tc>
        <w:tc>
          <w:tcPr>
            <w:tcW w:w="1964" w:type="dxa"/>
            <w:tcBorders>
              <w:right w:val="single" w:color="000000" w:sz="6" w:space="0"/>
            </w:tcBorders>
            <w:vAlign w:val="top"/>
          </w:tcPr>
          <w:p>
            <w:pPr>
              <w:spacing w:before="114"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CN21-1570/G4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18" w:line="180" w:lineRule="auto"/>
              <w:ind w:firstLine="47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665" w:type="dxa"/>
            <w:vAlign w:val="top"/>
          </w:tcPr>
          <w:p>
            <w:pPr>
              <w:spacing w:before="85" w:line="180" w:lineRule="auto"/>
              <w:ind w:firstLine="6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教育科学研究</w:t>
            </w:r>
          </w:p>
        </w:tc>
        <w:tc>
          <w:tcPr>
            <w:tcW w:w="3050" w:type="dxa"/>
            <w:vAlign w:val="top"/>
          </w:tcPr>
          <w:p>
            <w:pPr>
              <w:spacing w:before="85" w:line="180" w:lineRule="auto"/>
              <w:ind w:firstLine="47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北京市教育科学研究院</w:t>
            </w:r>
          </w:p>
        </w:tc>
        <w:tc>
          <w:tcPr>
            <w:tcW w:w="1964" w:type="dxa"/>
            <w:tcBorders>
              <w:right w:val="single" w:color="000000" w:sz="6" w:space="0"/>
            </w:tcBorders>
            <w:vAlign w:val="top"/>
          </w:tcPr>
          <w:p>
            <w:pPr>
              <w:spacing w:before="115" w:line="180" w:lineRule="auto"/>
              <w:ind w:firstLine="3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CN11-4573/D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19" w:line="180" w:lineRule="auto"/>
              <w:ind w:firstLine="46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665" w:type="dxa"/>
            <w:vAlign w:val="top"/>
          </w:tcPr>
          <w:p>
            <w:pPr>
              <w:spacing w:before="86" w:line="180" w:lineRule="auto"/>
              <w:ind w:firstLine="70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大学教育科学</w:t>
            </w:r>
          </w:p>
        </w:tc>
        <w:tc>
          <w:tcPr>
            <w:tcW w:w="3050" w:type="dxa"/>
            <w:vAlign w:val="top"/>
          </w:tcPr>
          <w:p>
            <w:pPr>
              <w:spacing w:before="85" w:line="180" w:lineRule="auto"/>
              <w:ind w:firstLine="100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湖南大学等</w:t>
            </w:r>
          </w:p>
        </w:tc>
        <w:tc>
          <w:tcPr>
            <w:tcW w:w="1964" w:type="dxa"/>
            <w:tcBorders>
              <w:right w:val="single" w:color="000000" w:sz="6" w:space="0"/>
            </w:tcBorders>
            <w:vAlign w:val="top"/>
          </w:tcPr>
          <w:p>
            <w:pPr>
              <w:spacing w:before="116"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CN43-1398/G4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055" w:type="dxa"/>
            <w:tcBorders>
              <w:left w:val="single" w:color="000000" w:sz="6" w:space="0"/>
            </w:tcBorders>
            <w:vAlign w:val="top"/>
          </w:tcPr>
          <w:p>
            <w:pPr>
              <w:spacing w:before="273" w:line="180" w:lineRule="auto"/>
              <w:ind w:firstLine="47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665" w:type="dxa"/>
            <w:vAlign w:val="top"/>
          </w:tcPr>
          <w:p>
            <w:pPr>
              <w:spacing w:before="243" w:line="180" w:lineRule="auto"/>
              <w:ind w:firstLine="69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教育学术月刊</w:t>
            </w:r>
          </w:p>
        </w:tc>
        <w:tc>
          <w:tcPr>
            <w:tcW w:w="3050" w:type="dxa"/>
            <w:vAlign w:val="top"/>
          </w:tcPr>
          <w:p>
            <w:pPr>
              <w:spacing w:before="88" w:line="251" w:lineRule="auto"/>
              <w:ind w:left="1107" w:right="96" w:hanging="996"/>
              <w:rPr>
                <w:rFonts w:ascii="方正书宋简体" w:hAnsi="方正书宋简体" w:eastAsia="方正书宋简体" w:cs="方正书宋简体"/>
                <w:sz w:val="21"/>
                <w:szCs w:val="21"/>
              </w:rPr>
            </w:pPr>
            <w:r>
              <w:rPr>
                <w:rFonts w:ascii="方正书宋简体" w:hAnsi="方正书宋简体" w:eastAsia="方正书宋简体" w:cs="方正书宋简体"/>
                <w:spacing w:val="-8"/>
                <w:sz w:val="21"/>
                <w:szCs w:val="21"/>
              </w:rPr>
              <w:t>江西省教育学会、江西省教育科</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学研究所</w:t>
            </w:r>
          </w:p>
        </w:tc>
        <w:tc>
          <w:tcPr>
            <w:tcW w:w="1964" w:type="dxa"/>
            <w:tcBorders>
              <w:right w:val="single" w:color="000000" w:sz="6" w:space="0"/>
            </w:tcBorders>
            <w:vAlign w:val="top"/>
          </w:tcPr>
          <w:p>
            <w:pPr>
              <w:spacing w:before="274"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CN36-1301/G4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18" w:line="180" w:lineRule="auto"/>
              <w:ind w:firstLine="47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2665" w:type="dxa"/>
            <w:vAlign w:val="top"/>
          </w:tcPr>
          <w:p>
            <w:pPr>
              <w:spacing w:before="87" w:line="180" w:lineRule="auto"/>
              <w:ind w:firstLine="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教育理论与实践</w:t>
            </w:r>
          </w:p>
        </w:tc>
        <w:tc>
          <w:tcPr>
            <w:tcW w:w="3050" w:type="dxa"/>
            <w:vAlign w:val="top"/>
          </w:tcPr>
          <w:p>
            <w:pPr>
              <w:spacing w:before="87" w:line="180" w:lineRule="auto"/>
              <w:ind w:firstLine="49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山西省教育科学研究院</w:t>
            </w:r>
          </w:p>
        </w:tc>
        <w:tc>
          <w:tcPr>
            <w:tcW w:w="1964" w:type="dxa"/>
            <w:tcBorders>
              <w:right w:val="single" w:color="000000" w:sz="6" w:space="0"/>
            </w:tcBorders>
            <w:vAlign w:val="top"/>
          </w:tcPr>
          <w:p>
            <w:pPr>
              <w:spacing w:before="117"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CN14-1027/G4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3" w:line="180" w:lineRule="auto"/>
              <w:ind w:firstLine="4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2665" w:type="dxa"/>
            <w:vAlign w:val="top"/>
          </w:tcPr>
          <w:p>
            <w:pPr>
              <w:spacing w:before="87" w:line="180" w:lineRule="auto"/>
              <w:ind w:firstLine="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黑龙江高教研究</w:t>
            </w:r>
          </w:p>
        </w:tc>
        <w:tc>
          <w:tcPr>
            <w:tcW w:w="3050" w:type="dxa"/>
            <w:vAlign w:val="top"/>
          </w:tcPr>
          <w:p>
            <w:pPr>
              <w:spacing w:before="87" w:line="180" w:lineRule="auto"/>
              <w:ind w:firstLine="69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哈尔滨师范大学等</w:t>
            </w:r>
          </w:p>
        </w:tc>
        <w:tc>
          <w:tcPr>
            <w:tcW w:w="1964" w:type="dxa"/>
            <w:tcBorders>
              <w:right w:val="single" w:color="000000" w:sz="6" w:space="0"/>
            </w:tcBorders>
            <w:vAlign w:val="top"/>
          </w:tcPr>
          <w:p>
            <w:pPr>
              <w:spacing w:before="118" w:line="180" w:lineRule="auto"/>
              <w:ind w:firstLine="3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CN23-1074/G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55" w:type="dxa"/>
            <w:tcBorders>
              <w:left w:val="single" w:color="000000" w:sz="6" w:space="0"/>
            </w:tcBorders>
            <w:vAlign w:val="top"/>
          </w:tcPr>
          <w:p>
            <w:pPr>
              <w:spacing w:before="121" w:line="180" w:lineRule="auto"/>
              <w:ind w:firstLine="47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665" w:type="dxa"/>
            <w:vAlign w:val="top"/>
          </w:tcPr>
          <w:p>
            <w:pPr>
              <w:spacing w:before="89" w:line="180" w:lineRule="auto"/>
              <w:ind w:firstLine="5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高教发展与评估</w:t>
            </w:r>
          </w:p>
        </w:tc>
        <w:tc>
          <w:tcPr>
            <w:tcW w:w="3050" w:type="dxa"/>
            <w:vAlign w:val="top"/>
          </w:tcPr>
          <w:p>
            <w:pPr>
              <w:spacing w:before="88" w:line="180" w:lineRule="auto"/>
              <w:ind w:firstLine="7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武汉理工大学等</w:t>
            </w:r>
          </w:p>
        </w:tc>
        <w:tc>
          <w:tcPr>
            <w:tcW w:w="1964" w:type="dxa"/>
            <w:tcBorders>
              <w:right w:val="single" w:color="000000" w:sz="6" w:space="0"/>
            </w:tcBorders>
            <w:vAlign w:val="top"/>
          </w:tcPr>
          <w:p>
            <w:pPr>
              <w:spacing w:before="119"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CN42-1731/G4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3" w:line="180" w:lineRule="auto"/>
              <w:ind w:firstLine="47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2665" w:type="dxa"/>
            <w:vAlign w:val="top"/>
          </w:tcPr>
          <w:p>
            <w:pPr>
              <w:spacing w:before="89" w:line="180" w:lineRule="auto"/>
              <w:ind w:firstLine="715"/>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民族教育研究</w:t>
            </w:r>
          </w:p>
        </w:tc>
        <w:tc>
          <w:tcPr>
            <w:tcW w:w="3050" w:type="dxa"/>
            <w:vAlign w:val="top"/>
          </w:tcPr>
          <w:p>
            <w:pPr>
              <w:spacing w:before="89" w:line="180" w:lineRule="auto"/>
              <w:ind w:firstLine="9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中央民族大学</w:t>
            </w:r>
          </w:p>
        </w:tc>
        <w:tc>
          <w:tcPr>
            <w:tcW w:w="1964" w:type="dxa"/>
            <w:tcBorders>
              <w:right w:val="single" w:color="000000" w:sz="6" w:space="0"/>
            </w:tcBorders>
            <w:vAlign w:val="top"/>
          </w:tcPr>
          <w:p>
            <w:pPr>
              <w:spacing w:before="121"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CN11-2688/G4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055" w:type="dxa"/>
            <w:tcBorders>
              <w:left w:val="single" w:color="000000" w:sz="6" w:space="0"/>
            </w:tcBorders>
            <w:vAlign w:val="top"/>
          </w:tcPr>
          <w:p>
            <w:pPr>
              <w:spacing w:before="279"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2665" w:type="dxa"/>
            <w:vAlign w:val="top"/>
          </w:tcPr>
          <w:p>
            <w:pPr>
              <w:spacing w:before="91" w:line="251" w:lineRule="auto"/>
              <w:ind w:left="1013" w:right="110" w:hanging="912"/>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河北师范大学学报（教育科</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z w:val="21"/>
                <w:szCs w:val="21"/>
              </w:rPr>
              <w:t>学版）</w:t>
            </w:r>
          </w:p>
        </w:tc>
        <w:tc>
          <w:tcPr>
            <w:tcW w:w="3050" w:type="dxa"/>
            <w:vAlign w:val="top"/>
          </w:tcPr>
          <w:p>
            <w:pPr>
              <w:spacing w:before="249" w:line="180" w:lineRule="auto"/>
              <w:ind w:firstLine="8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河北师范大学</w:t>
            </w:r>
          </w:p>
        </w:tc>
        <w:tc>
          <w:tcPr>
            <w:tcW w:w="1964" w:type="dxa"/>
            <w:tcBorders>
              <w:right w:val="single" w:color="000000" w:sz="6" w:space="0"/>
            </w:tcBorders>
            <w:vAlign w:val="top"/>
          </w:tcPr>
          <w:p>
            <w:pPr>
              <w:spacing w:before="277" w:line="180" w:lineRule="auto"/>
              <w:ind w:firstLine="3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CN13-1286/G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55" w:type="dxa"/>
            <w:tcBorders>
              <w:left w:val="single" w:color="000000" w:sz="6" w:space="0"/>
            </w:tcBorders>
            <w:vAlign w:val="top"/>
          </w:tcPr>
          <w:p>
            <w:pPr>
              <w:spacing w:before="123"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2665" w:type="dxa"/>
            <w:vAlign w:val="top"/>
          </w:tcPr>
          <w:p>
            <w:pPr>
              <w:spacing w:before="90" w:line="180" w:lineRule="auto"/>
              <w:ind w:firstLine="5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外国中小学教育</w:t>
            </w:r>
          </w:p>
        </w:tc>
        <w:tc>
          <w:tcPr>
            <w:tcW w:w="3050" w:type="dxa"/>
            <w:vAlign w:val="top"/>
          </w:tcPr>
          <w:p>
            <w:pPr>
              <w:spacing w:before="92" w:line="180" w:lineRule="auto"/>
              <w:ind w:firstLine="8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上海师范大学</w:t>
            </w:r>
          </w:p>
        </w:tc>
        <w:tc>
          <w:tcPr>
            <w:tcW w:w="1964" w:type="dxa"/>
            <w:tcBorders>
              <w:right w:val="single" w:color="000000" w:sz="6" w:space="0"/>
            </w:tcBorders>
            <w:vAlign w:val="top"/>
          </w:tcPr>
          <w:p>
            <w:pPr>
              <w:spacing w:before="120"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CN31-1037/G4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4"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12</w:t>
            </w:r>
          </w:p>
        </w:tc>
        <w:tc>
          <w:tcPr>
            <w:tcW w:w="2665" w:type="dxa"/>
            <w:vAlign w:val="top"/>
          </w:tcPr>
          <w:p>
            <w:pPr>
              <w:spacing w:before="91" w:line="180" w:lineRule="auto"/>
              <w:ind w:firstLine="9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基础教育</w:t>
            </w:r>
          </w:p>
        </w:tc>
        <w:tc>
          <w:tcPr>
            <w:tcW w:w="3050" w:type="dxa"/>
            <w:vAlign w:val="top"/>
          </w:tcPr>
          <w:p>
            <w:pPr>
              <w:spacing w:before="92" w:line="180" w:lineRule="auto"/>
              <w:ind w:firstLine="8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w:t>
            </w:r>
          </w:p>
        </w:tc>
        <w:tc>
          <w:tcPr>
            <w:tcW w:w="1964" w:type="dxa"/>
            <w:tcBorders>
              <w:right w:val="single" w:color="000000" w:sz="6" w:space="0"/>
            </w:tcBorders>
            <w:vAlign w:val="top"/>
          </w:tcPr>
          <w:p>
            <w:pPr>
              <w:spacing w:before="122"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CN31-1914/G4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4"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13</w:t>
            </w:r>
          </w:p>
        </w:tc>
        <w:tc>
          <w:tcPr>
            <w:tcW w:w="2665" w:type="dxa"/>
            <w:vAlign w:val="top"/>
          </w:tcPr>
          <w:p>
            <w:pPr>
              <w:spacing w:before="93" w:line="180" w:lineRule="auto"/>
              <w:ind w:firstLine="4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思想政治教育研究</w:t>
            </w:r>
          </w:p>
        </w:tc>
        <w:tc>
          <w:tcPr>
            <w:tcW w:w="3050" w:type="dxa"/>
            <w:vAlign w:val="top"/>
          </w:tcPr>
          <w:p>
            <w:pPr>
              <w:spacing w:before="93" w:line="180" w:lineRule="auto"/>
              <w:ind w:firstLine="80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哈尔滨理工大学</w:t>
            </w:r>
          </w:p>
        </w:tc>
        <w:tc>
          <w:tcPr>
            <w:tcW w:w="1964" w:type="dxa"/>
            <w:tcBorders>
              <w:right w:val="single" w:color="000000" w:sz="6" w:space="0"/>
            </w:tcBorders>
            <w:vAlign w:val="top"/>
          </w:tcPr>
          <w:p>
            <w:pPr>
              <w:spacing w:before="123"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CN23-1076/G4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55" w:type="dxa"/>
            <w:tcBorders>
              <w:left w:val="single" w:color="000000" w:sz="6" w:space="0"/>
            </w:tcBorders>
            <w:vAlign w:val="top"/>
          </w:tcPr>
          <w:p>
            <w:pPr>
              <w:spacing w:before="126"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14</w:t>
            </w:r>
          </w:p>
        </w:tc>
        <w:tc>
          <w:tcPr>
            <w:tcW w:w="2665" w:type="dxa"/>
            <w:vAlign w:val="top"/>
          </w:tcPr>
          <w:p>
            <w:pPr>
              <w:spacing w:before="92" w:line="180" w:lineRule="auto"/>
              <w:ind w:firstLine="3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学校党建与思想教育</w:t>
            </w:r>
          </w:p>
        </w:tc>
        <w:tc>
          <w:tcPr>
            <w:tcW w:w="3050" w:type="dxa"/>
            <w:vAlign w:val="top"/>
          </w:tcPr>
          <w:p>
            <w:pPr>
              <w:spacing w:before="92" w:line="180" w:lineRule="auto"/>
              <w:ind w:firstLine="4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湖北长江报刊传媒集团</w:t>
            </w:r>
          </w:p>
        </w:tc>
        <w:tc>
          <w:tcPr>
            <w:tcW w:w="1964" w:type="dxa"/>
            <w:tcBorders>
              <w:right w:val="single" w:color="000000" w:sz="6" w:space="0"/>
            </w:tcBorders>
            <w:vAlign w:val="top"/>
          </w:tcPr>
          <w:p>
            <w:pPr>
              <w:spacing w:before="124" w:line="180" w:lineRule="auto"/>
              <w:ind w:firstLine="3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CN42-1422/D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4"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15</w:t>
            </w:r>
          </w:p>
        </w:tc>
        <w:tc>
          <w:tcPr>
            <w:tcW w:w="2665" w:type="dxa"/>
            <w:vAlign w:val="top"/>
          </w:tcPr>
          <w:p>
            <w:pPr>
              <w:spacing w:before="98" w:line="180" w:lineRule="auto"/>
              <w:ind w:firstLine="9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汉语学习</w:t>
            </w:r>
          </w:p>
        </w:tc>
        <w:tc>
          <w:tcPr>
            <w:tcW w:w="3050" w:type="dxa"/>
            <w:vAlign w:val="top"/>
          </w:tcPr>
          <w:p>
            <w:pPr>
              <w:spacing w:before="97" w:line="180" w:lineRule="auto"/>
              <w:ind w:firstLine="110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延边大学</w:t>
            </w:r>
          </w:p>
        </w:tc>
        <w:tc>
          <w:tcPr>
            <w:tcW w:w="1964" w:type="dxa"/>
            <w:tcBorders>
              <w:right w:val="single" w:color="000000" w:sz="6" w:space="0"/>
            </w:tcBorders>
            <w:vAlign w:val="top"/>
          </w:tcPr>
          <w:p>
            <w:pPr>
              <w:spacing w:before="125" w:line="180" w:lineRule="auto"/>
              <w:ind w:firstLine="3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CN22-1026/H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26"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16</w:t>
            </w:r>
          </w:p>
        </w:tc>
        <w:tc>
          <w:tcPr>
            <w:tcW w:w="2665" w:type="dxa"/>
            <w:vAlign w:val="top"/>
          </w:tcPr>
          <w:p>
            <w:pPr>
              <w:spacing w:before="97" w:line="180" w:lineRule="auto"/>
              <w:ind w:firstLine="5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华文教学与研究</w:t>
            </w:r>
          </w:p>
        </w:tc>
        <w:tc>
          <w:tcPr>
            <w:tcW w:w="3050" w:type="dxa"/>
            <w:vAlign w:val="top"/>
          </w:tcPr>
          <w:p>
            <w:pPr>
              <w:spacing w:before="96" w:line="180" w:lineRule="auto"/>
              <w:ind w:firstLine="69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暨南大学华文学院</w:t>
            </w:r>
          </w:p>
        </w:tc>
        <w:tc>
          <w:tcPr>
            <w:tcW w:w="1964" w:type="dxa"/>
            <w:tcBorders>
              <w:right w:val="single" w:color="000000" w:sz="6" w:space="0"/>
            </w:tcBorders>
            <w:vAlign w:val="top"/>
          </w:tcPr>
          <w:p>
            <w:pPr>
              <w:spacing w:before="126"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CN44-1669/G4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1055" w:type="dxa"/>
            <w:tcBorders>
              <w:left w:val="single" w:color="000000" w:sz="6" w:space="0"/>
            </w:tcBorders>
            <w:vAlign w:val="top"/>
          </w:tcPr>
          <w:p>
            <w:pPr>
              <w:spacing w:before="146"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17</w:t>
            </w:r>
          </w:p>
        </w:tc>
        <w:tc>
          <w:tcPr>
            <w:tcW w:w="2665" w:type="dxa"/>
            <w:vAlign w:val="top"/>
          </w:tcPr>
          <w:p>
            <w:pPr>
              <w:spacing w:before="113" w:line="180" w:lineRule="auto"/>
              <w:ind w:firstLine="7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中国俄语教育</w:t>
            </w:r>
          </w:p>
        </w:tc>
        <w:tc>
          <w:tcPr>
            <w:tcW w:w="3050" w:type="dxa"/>
            <w:vAlign w:val="top"/>
          </w:tcPr>
          <w:p>
            <w:pPr>
              <w:spacing w:before="115" w:line="180" w:lineRule="auto"/>
              <w:ind w:firstLine="7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北京外国语大学</w:t>
            </w:r>
          </w:p>
        </w:tc>
        <w:tc>
          <w:tcPr>
            <w:tcW w:w="1964" w:type="dxa"/>
            <w:tcBorders>
              <w:right w:val="single" w:color="000000" w:sz="6" w:space="0"/>
            </w:tcBorders>
            <w:vAlign w:val="top"/>
          </w:tcPr>
          <w:p>
            <w:pPr>
              <w:spacing w:before="144" w:line="180" w:lineRule="auto"/>
              <w:ind w:firstLine="3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CN11-2727/H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055" w:type="dxa"/>
            <w:tcBorders>
              <w:left w:val="single" w:color="000000" w:sz="6" w:space="0"/>
            </w:tcBorders>
            <w:vAlign w:val="top"/>
          </w:tcPr>
          <w:p>
            <w:pPr>
              <w:spacing w:before="147"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18</w:t>
            </w:r>
          </w:p>
        </w:tc>
        <w:tc>
          <w:tcPr>
            <w:tcW w:w="2665" w:type="dxa"/>
            <w:vAlign w:val="top"/>
          </w:tcPr>
          <w:p>
            <w:pPr>
              <w:spacing w:before="116" w:line="180" w:lineRule="auto"/>
              <w:ind w:firstLine="637"/>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日语学习与研究</w:t>
            </w:r>
          </w:p>
        </w:tc>
        <w:tc>
          <w:tcPr>
            <w:tcW w:w="3050" w:type="dxa"/>
            <w:vAlign w:val="top"/>
          </w:tcPr>
          <w:p>
            <w:pPr>
              <w:spacing w:before="115" w:line="180" w:lineRule="auto"/>
              <w:ind w:firstLine="6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对外经济贸易大学</w:t>
            </w:r>
          </w:p>
        </w:tc>
        <w:tc>
          <w:tcPr>
            <w:tcW w:w="1964" w:type="dxa"/>
            <w:tcBorders>
              <w:right w:val="single" w:color="000000" w:sz="6" w:space="0"/>
            </w:tcBorders>
            <w:vAlign w:val="top"/>
          </w:tcPr>
          <w:p>
            <w:pPr>
              <w:spacing w:before="145" w:line="180" w:lineRule="auto"/>
              <w:ind w:firstLine="3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CN11-1619/H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55" w:type="dxa"/>
            <w:tcBorders>
              <w:left w:val="single" w:color="000000" w:sz="6" w:space="0"/>
            </w:tcBorders>
            <w:vAlign w:val="top"/>
          </w:tcPr>
          <w:p>
            <w:pPr>
              <w:spacing w:before="131" w:line="180" w:lineRule="auto"/>
              <w:ind w:firstLine="436"/>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19</w:t>
            </w:r>
          </w:p>
        </w:tc>
        <w:tc>
          <w:tcPr>
            <w:tcW w:w="2665" w:type="dxa"/>
            <w:vAlign w:val="top"/>
          </w:tcPr>
          <w:p>
            <w:pPr>
              <w:spacing w:before="98" w:line="180" w:lineRule="auto"/>
              <w:ind w:firstLine="6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数学教育学报</w:t>
            </w:r>
          </w:p>
        </w:tc>
        <w:tc>
          <w:tcPr>
            <w:tcW w:w="3050" w:type="dxa"/>
            <w:vAlign w:val="top"/>
          </w:tcPr>
          <w:p>
            <w:pPr>
              <w:spacing w:before="98" w:line="180" w:lineRule="auto"/>
              <w:ind w:firstLine="18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中国教育学会、天津师范大学</w:t>
            </w:r>
          </w:p>
        </w:tc>
        <w:tc>
          <w:tcPr>
            <w:tcW w:w="1964" w:type="dxa"/>
            <w:tcBorders>
              <w:right w:val="single" w:color="000000" w:sz="6" w:space="0"/>
            </w:tcBorders>
            <w:vAlign w:val="top"/>
          </w:tcPr>
          <w:p>
            <w:pPr>
              <w:spacing w:before="128"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CN12-1194/G4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55" w:type="dxa"/>
            <w:tcBorders>
              <w:left w:val="single" w:color="000000" w:sz="6" w:space="0"/>
            </w:tcBorders>
            <w:vAlign w:val="top"/>
          </w:tcPr>
          <w:p>
            <w:pPr>
              <w:spacing w:before="132" w:line="180" w:lineRule="auto"/>
              <w:ind w:firstLine="4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2665" w:type="dxa"/>
            <w:vAlign w:val="top"/>
          </w:tcPr>
          <w:p>
            <w:pPr>
              <w:spacing w:before="103" w:line="180" w:lineRule="auto"/>
              <w:ind w:firstLine="6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历史教学问题</w:t>
            </w:r>
          </w:p>
        </w:tc>
        <w:tc>
          <w:tcPr>
            <w:tcW w:w="3050" w:type="dxa"/>
            <w:vAlign w:val="top"/>
          </w:tcPr>
          <w:p>
            <w:pPr>
              <w:spacing w:before="101" w:line="180" w:lineRule="auto"/>
              <w:ind w:firstLine="8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w:t>
            </w:r>
          </w:p>
        </w:tc>
        <w:tc>
          <w:tcPr>
            <w:tcW w:w="1964" w:type="dxa"/>
            <w:tcBorders>
              <w:right w:val="single" w:color="000000" w:sz="6" w:space="0"/>
            </w:tcBorders>
            <w:vAlign w:val="top"/>
          </w:tcPr>
          <w:p>
            <w:pPr>
              <w:spacing w:before="130" w:line="180" w:lineRule="auto"/>
              <w:ind w:firstLine="33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CN31-1016/G4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55" w:type="dxa"/>
            <w:tcBorders>
              <w:left w:val="single" w:color="000000" w:sz="6" w:space="0"/>
            </w:tcBorders>
            <w:vAlign w:val="top"/>
          </w:tcPr>
          <w:p>
            <w:pPr>
              <w:spacing w:before="134" w:line="180" w:lineRule="auto"/>
              <w:ind w:firstLine="4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p>
        </w:tc>
        <w:tc>
          <w:tcPr>
            <w:tcW w:w="2665" w:type="dxa"/>
            <w:vAlign w:val="top"/>
          </w:tcPr>
          <w:p>
            <w:pPr>
              <w:spacing w:before="100" w:line="180" w:lineRule="auto"/>
              <w:ind w:firstLine="7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中国高校科技</w:t>
            </w:r>
          </w:p>
        </w:tc>
        <w:tc>
          <w:tcPr>
            <w:tcW w:w="3050" w:type="dxa"/>
            <w:vAlign w:val="top"/>
          </w:tcPr>
          <w:p>
            <w:pPr>
              <w:spacing w:before="100" w:line="180" w:lineRule="auto"/>
              <w:ind w:firstLine="58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教育部科技发展中心</w:t>
            </w:r>
          </w:p>
        </w:tc>
        <w:tc>
          <w:tcPr>
            <w:tcW w:w="1964" w:type="dxa"/>
            <w:tcBorders>
              <w:right w:val="single" w:color="000000" w:sz="6" w:space="0"/>
            </w:tcBorders>
            <w:vAlign w:val="top"/>
          </w:tcPr>
          <w:p>
            <w:pPr>
              <w:spacing w:before="131" w:line="180" w:lineRule="auto"/>
              <w:ind w:firstLine="38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CN10-1017/N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55" w:type="dxa"/>
            <w:tcBorders>
              <w:left w:val="single" w:color="000000" w:sz="6" w:space="0"/>
              <w:bottom w:val="single" w:color="000000" w:sz="6" w:space="0"/>
            </w:tcBorders>
            <w:vAlign w:val="top"/>
          </w:tcPr>
          <w:p>
            <w:pPr>
              <w:spacing w:before="135" w:line="180" w:lineRule="auto"/>
              <w:ind w:firstLine="4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tc>
        <w:tc>
          <w:tcPr>
            <w:tcW w:w="2665" w:type="dxa"/>
            <w:tcBorders>
              <w:bottom w:val="single" w:color="000000" w:sz="6" w:space="0"/>
            </w:tcBorders>
            <w:vAlign w:val="top"/>
          </w:tcPr>
          <w:p>
            <w:pPr>
              <w:spacing w:before="101" w:line="180" w:lineRule="auto"/>
              <w:ind w:firstLine="59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现代远距离教育</w:t>
            </w:r>
          </w:p>
        </w:tc>
        <w:tc>
          <w:tcPr>
            <w:tcW w:w="3050" w:type="dxa"/>
            <w:tcBorders>
              <w:bottom w:val="single" w:color="000000" w:sz="6" w:space="0"/>
            </w:tcBorders>
            <w:vAlign w:val="top"/>
          </w:tcPr>
          <w:p>
            <w:pPr>
              <w:spacing w:before="103" w:line="180" w:lineRule="auto"/>
              <w:ind w:firstLine="5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黑龙江广播电视大学</w:t>
            </w:r>
          </w:p>
        </w:tc>
        <w:tc>
          <w:tcPr>
            <w:tcW w:w="1964" w:type="dxa"/>
            <w:tcBorders>
              <w:bottom w:val="single" w:color="000000" w:sz="6" w:space="0"/>
              <w:right w:val="single" w:color="000000" w:sz="6" w:space="0"/>
            </w:tcBorders>
            <w:vAlign w:val="top"/>
          </w:tcPr>
          <w:p>
            <w:pPr>
              <w:spacing w:before="133" w:line="180" w:lineRule="auto"/>
              <w:ind w:firstLine="3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CN23-1066/G4</w:t>
            </w:r>
          </w:p>
        </w:tc>
      </w:tr>
    </w:tbl>
    <w:p>
      <w:pPr>
        <w:spacing w:line="264" w:lineRule="auto"/>
        <w:rPr>
          <w:rFonts w:ascii="Malgun Gothic"/>
          <w:sz w:val="21"/>
        </w:rPr>
      </w:pPr>
    </w:p>
    <w:p>
      <w:pPr>
        <w:spacing w:line="264" w:lineRule="auto"/>
        <w:rPr>
          <w:rFonts w:ascii="Malgun Gothic"/>
          <w:sz w:val="21"/>
        </w:rPr>
      </w:pPr>
    </w:p>
    <w:p>
      <w:pPr>
        <w:spacing w:line="264" w:lineRule="auto"/>
        <w:rPr>
          <w:rFonts w:ascii="Malgun Gothic"/>
          <w:sz w:val="21"/>
        </w:rPr>
      </w:pPr>
    </w:p>
    <w:p>
      <w:pPr>
        <w:spacing w:line="264" w:lineRule="auto"/>
        <w:rPr>
          <w:rFonts w:ascii="Malgun Gothic"/>
          <w:sz w:val="21"/>
        </w:rPr>
      </w:pPr>
    </w:p>
    <w:p>
      <w:pPr>
        <w:spacing w:line="265"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328</w:t>
      </w:r>
    </w:p>
    <w:p>
      <w:pPr>
        <w:sectPr>
          <w:footerReference r:id="rId332" w:type="default"/>
          <w:pgSz w:w="11905" w:h="16840"/>
          <w:pgMar w:top="1431" w:right="1577" w:bottom="400" w:left="1578"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附件</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7"/>
          <w:sz w:val="24"/>
          <w:szCs w:val="24"/>
        </w:rPr>
        <w:t>5</w:t>
      </w:r>
    </w:p>
    <w:p>
      <w:pPr>
        <w:spacing w:before="149" w:line="164" w:lineRule="auto"/>
        <w:ind w:firstLine="3234"/>
        <w:rPr>
          <w:rFonts w:ascii="Malgun Gothic" w:hAnsi="Malgun Gothic" w:eastAsia="Malgun Gothic" w:cs="Malgun Gothic"/>
          <w:sz w:val="28"/>
          <w:szCs w:val="28"/>
        </w:rPr>
      </w:pPr>
      <w:r>
        <w:rPr>
          <w:rFonts w:ascii="Malgun Gothic" w:hAnsi="Malgun Gothic" w:eastAsia="Malgun Gothic" w:cs="Malgun Gothic"/>
          <w:spacing w:val="-2"/>
          <w:sz w:val="28"/>
          <w:szCs w:val="28"/>
        </w:rPr>
        <w:t>E</w:t>
      </w:r>
      <w:r>
        <w:rPr>
          <w:rFonts w:ascii="Malgun Gothic" w:hAnsi="Malgun Gothic" w:eastAsia="Malgun Gothic" w:cs="Malgun Gothic"/>
          <w:spacing w:val="-11"/>
          <w:sz w:val="28"/>
          <w:szCs w:val="28"/>
        </w:rPr>
        <w:t xml:space="preserve"> </w:t>
      </w:r>
      <w:r>
        <w:rPr>
          <w:rFonts w:ascii="Microsoft JhengHei" w:hAnsi="Microsoft JhengHei" w:eastAsia="Microsoft JhengHei" w:cs="Microsoft JhengHei"/>
          <w:spacing w:val="-2"/>
          <w:sz w:val="28"/>
          <w:szCs w:val="28"/>
        </w:rPr>
        <w:t>类期刊（32</w:t>
      </w:r>
      <w:r>
        <w:rPr>
          <w:rFonts w:ascii="Microsoft JhengHei" w:hAnsi="Microsoft JhengHei" w:eastAsia="Microsoft JhengHei" w:cs="Microsoft JhengHei"/>
          <w:spacing w:val="6"/>
          <w:w w:val="101"/>
          <w:sz w:val="28"/>
          <w:szCs w:val="28"/>
        </w:rPr>
        <w:t xml:space="preserve"> </w:t>
      </w:r>
      <w:r>
        <w:rPr>
          <w:rFonts w:ascii="Microsoft JhengHei" w:hAnsi="Microsoft JhengHei" w:eastAsia="Microsoft JhengHei" w:cs="Microsoft JhengHei"/>
          <w:spacing w:val="-2"/>
          <w:sz w:val="28"/>
          <w:szCs w:val="28"/>
        </w:rPr>
        <w:t>种</w:t>
      </w:r>
      <w:r>
        <w:rPr>
          <w:rFonts w:ascii="Malgun Gothic" w:hAnsi="Malgun Gothic" w:eastAsia="Malgun Gothic" w:cs="Malgun Gothic"/>
          <w:spacing w:val="-2"/>
          <w:sz w:val="28"/>
          <w:szCs w:val="28"/>
        </w:rPr>
        <w:t>）</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419"/>
        <w:gridCol w:w="3295"/>
        <w:gridCol w:w="2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34" w:type="dxa"/>
            <w:tcBorders>
              <w:top w:val="single" w:color="000000" w:sz="6" w:space="0"/>
              <w:left w:val="single" w:color="000000" w:sz="6" w:space="0"/>
            </w:tcBorders>
            <w:vAlign w:val="top"/>
          </w:tcPr>
          <w:p>
            <w:pPr>
              <w:spacing w:before="87" w:line="180" w:lineRule="auto"/>
              <w:ind w:firstLine="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419" w:type="dxa"/>
            <w:tcBorders>
              <w:top w:val="single" w:color="000000" w:sz="6" w:space="0"/>
            </w:tcBorders>
            <w:vAlign w:val="top"/>
          </w:tcPr>
          <w:p>
            <w:pPr>
              <w:spacing w:before="87" w:line="180" w:lineRule="auto"/>
              <w:ind w:firstLine="78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3295" w:type="dxa"/>
            <w:tcBorders>
              <w:top w:val="single" w:color="000000" w:sz="6" w:space="0"/>
            </w:tcBorders>
            <w:vAlign w:val="top"/>
          </w:tcPr>
          <w:p>
            <w:pPr>
              <w:spacing w:before="87" w:line="180" w:lineRule="auto"/>
              <w:ind w:firstLine="92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2186" w:type="dxa"/>
            <w:tcBorders>
              <w:top w:val="single" w:color="000000" w:sz="6" w:space="0"/>
              <w:right w:val="single" w:color="000000" w:sz="6" w:space="0"/>
            </w:tcBorders>
            <w:vAlign w:val="top"/>
          </w:tcPr>
          <w:p>
            <w:pPr>
              <w:spacing w:before="87" w:line="180" w:lineRule="auto"/>
              <w:ind w:firstLine="815"/>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18" w:line="180" w:lineRule="auto"/>
              <w:ind w:firstLine="37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1</w:t>
            </w:r>
          </w:p>
        </w:tc>
        <w:tc>
          <w:tcPr>
            <w:tcW w:w="2419" w:type="dxa"/>
            <w:vAlign w:val="top"/>
          </w:tcPr>
          <w:p>
            <w:pPr>
              <w:spacing w:before="85" w:line="180" w:lineRule="auto"/>
              <w:ind w:firstLine="78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人民教育</w:t>
            </w:r>
          </w:p>
        </w:tc>
        <w:tc>
          <w:tcPr>
            <w:tcW w:w="3295" w:type="dxa"/>
            <w:vAlign w:val="top"/>
          </w:tcPr>
          <w:p>
            <w:pPr>
              <w:spacing w:before="85" w:line="180" w:lineRule="auto"/>
              <w:ind w:firstLine="93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中国教育报刊社</w:t>
            </w:r>
          </w:p>
        </w:tc>
        <w:tc>
          <w:tcPr>
            <w:tcW w:w="2186" w:type="dxa"/>
            <w:tcBorders>
              <w:right w:val="single" w:color="000000" w:sz="6" w:space="0"/>
            </w:tcBorders>
            <w:vAlign w:val="top"/>
          </w:tcPr>
          <w:p>
            <w:pPr>
              <w:spacing w:before="11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CN11-1199/G4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76"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2</w:t>
            </w:r>
          </w:p>
        </w:tc>
        <w:tc>
          <w:tcPr>
            <w:tcW w:w="2419" w:type="dxa"/>
            <w:vAlign w:val="top"/>
          </w:tcPr>
          <w:p>
            <w:pPr>
              <w:spacing w:before="241"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当代教育科学</w:t>
            </w:r>
          </w:p>
        </w:tc>
        <w:tc>
          <w:tcPr>
            <w:tcW w:w="3295" w:type="dxa"/>
            <w:vAlign w:val="top"/>
          </w:tcPr>
          <w:p>
            <w:pPr>
              <w:spacing w:before="87" w:line="252" w:lineRule="auto"/>
              <w:ind w:left="1330" w:right="98" w:hanging="12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2"/>
                <w:sz w:val="21"/>
                <w:szCs w:val="21"/>
              </w:rPr>
              <w:t>山东省教育学会、</w:t>
            </w:r>
            <w:r>
              <w:rPr>
                <w:rFonts w:ascii="方正书宋简体" w:hAnsi="方正书宋简体" w:eastAsia="方正书宋简体" w:cs="方正书宋简体"/>
                <w:spacing w:val="44"/>
                <w:w w:val="101"/>
                <w:sz w:val="21"/>
                <w:szCs w:val="21"/>
              </w:rPr>
              <w:t xml:space="preserve"> </w:t>
            </w:r>
            <w:r>
              <w:rPr>
                <w:rFonts w:ascii="方正书宋简体" w:hAnsi="方正书宋简体" w:eastAsia="方正书宋简体" w:cs="方正书宋简体"/>
                <w:spacing w:val="-12"/>
                <w:sz w:val="21"/>
                <w:szCs w:val="21"/>
              </w:rPr>
              <w:t>山东省教育科学</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研究所</w:t>
            </w:r>
          </w:p>
        </w:tc>
        <w:tc>
          <w:tcPr>
            <w:tcW w:w="2186" w:type="dxa"/>
            <w:tcBorders>
              <w:right w:val="single" w:color="000000" w:sz="6" w:space="0"/>
            </w:tcBorders>
            <w:vAlign w:val="top"/>
          </w:tcPr>
          <w:p>
            <w:pPr>
              <w:spacing w:before="273"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CN37-1408/G4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8" w:hRule="atLeast"/>
        </w:trPr>
        <w:tc>
          <w:tcPr>
            <w:tcW w:w="834" w:type="dxa"/>
            <w:tcBorders>
              <w:left w:val="single" w:color="000000" w:sz="6" w:space="0"/>
            </w:tcBorders>
            <w:vAlign w:val="top"/>
          </w:tcPr>
          <w:p>
            <w:pPr>
              <w:spacing w:before="236" w:line="180" w:lineRule="auto"/>
              <w:ind w:firstLine="36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3</w:t>
            </w:r>
          </w:p>
        </w:tc>
        <w:tc>
          <w:tcPr>
            <w:tcW w:w="2419" w:type="dxa"/>
            <w:vAlign w:val="top"/>
          </w:tcPr>
          <w:p>
            <w:pPr>
              <w:spacing w:before="203" w:line="180" w:lineRule="auto"/>
              <w:ind w:firstLine="48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当代教育与文化</w:t>
            </w:r>
          </w:p>
        </w:tc>
        <w:tc>
          <w:tcPr>
            <w:tcW w:w="3295" w:type="dxa"/>
            <w:vAlign w:val="top"/>
          </w:tcPr>
          <w:p>
            <w:pPr>
              <w:spacing w:before="207" w:line="180" w:lineRule="auto"/>
              <w:ind w:firstLine="10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西北师范大学</w:t>
            </w:r>
          </w:p>
        </w:tc>
        <w:tc>
          <w:tcPr>
            <w:tcW w:w="2186" w:type="dxa"/>
            <w:tcBorders>
              <w:right w:val="single" w:color="000000" w:sz="6" w:space="0"/>
            </w:tcBorders>
            <w:vAlign w:val="top"/>
          </w:tcPr>
          <w:p>
            <w:pPr>
              <w:spacing w:before="23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CN62-1202/G4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34" w:type="dxa"/>
            <w:tcBorders>
              <w:left w:val="single" w:color="000000" w:sz="6" w:space="0"/>
            </w:tcBorders>
            <w:vAlign w:val="top"/>
          </w:tcPr>
          <w:p>
            <w:pPr>
              <w:spacing w:before="278" w:line="180" w:lineRule="auto"/>
              <w:ind w:firstLine="35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4</w:t>
            </w:r>
          </w:p>
        </w:tc>
        <w:tc>
          <w:tcPr>
            <w:tcW w:w="2419" w:type="dxa"/>
            <w:vAlign w:val="top"/>
          </w:tcPr>
          <w:p>
            <w:pPr>
              <w:spacing w:before="244" w:line="180" w:lineRule="auto"/>
              <w:ind w:firstLine="7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教育评论</w:t>
            </w:r>
          </w:p>
        </w:tc>
        <w:tc>
          <w:tcPr>
            <w:tcW w:w="3295" w:type="dxa"/>
            <w:vAlign w:val="top"/>
          </w:tcPr>
          <w:p>
            <w:pPr>
              <w:spacing w:before="87" w:line="252" w:lineRule="auto"/>
              <w:ind w:left="1329" w:right="98" w:hanging="122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福建省教育学会、福建省教育科学</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研究院</w:t>
            </w:r>
          </w:p>
        </w:tc>
        <w:tc>
          <w:tcPr>
            <w:tcW w:w="2186" w:type="dxa"/>
            <w:tcBorders>
              <w:right w:val="single" w:color="000000" w:sz="6" w:space="0"/>
            </w:tcBorders>
            <w:vAlign w:val="top"/>
          </w:tcPr>
          <w:p>
            <w:pPr>
              <w:spacing w:before="274"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CN35-1015/G4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834" w:type="dxa"/>
            <w:tcBorders>
              <w:left w:val="single" w:color="000000" w:sz="6" w:space="0"/>
            </w:tcBorders>
            <w:vAlign w:val="top"/>
          </w:tcPr>
          <w:p>
            <w:pPr>
              <w:spacing w:before="236"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5</w:t>
            </w:r>
          </w:p>
        </w:tc>
        <w:tc>
          <w:tcPr>
            <w:tcW w:w="2419" w:type="dxa"/>
            <w:vAlign w:val="top"/>
          </w:tcPr>
          <w:p>
            <w:pPr>
              <w:spacing w:before="205" w:line="180" w:lineRule="auto"/>
              <w:ind w:firstLine="7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教育探索</w:t>
            </w:r>
          </w:p>
        </w:tc>
        <w:tc>
          <w:tcPr>
            <w:tcW w:w="3295" w:type="dxa"/>
            <w:vAlign w:val="top"/>
          </w:tcPr>
          <w:p>
            <w:pPr>
              <w:spacing w:before="206" w:line="180" w:lineRule="auto"/>
              <w:ind w:firstLine="49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黑龙江省教育科学研究院</w:t>
            </w:r>
          </w:p>
        </w:tc>
        <w:tc>
          <w:tcPr>
            <w:tcW w:w="2186" w:type="dxa"/>
            <w:tcBorders>
              <w:right w:val="single" w:color="000000" w:sz="6" w:space="0"/>
            </w:tcBorders>
            <w:vAlign w:val="top"/>
          </w:tcPr>
          <w:p>
            <w:pPr>
              <w:spacing w:before="236"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CN23-1134/G4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34" w:type="dxa"/>
            <w:tcBorders>
              <w:left w:val="single" w:color="000000" w:sz="6" w:space="0"/>
            </w:tcBorders>
            <w:vAlign w:val="top"/>
          </w:tcPr>
          <w:p>
            <w:pPr>
              <w:spacing w:before="238" w:line="180" w:lineRule="auto"/>
              <w:ind w:firstLine="361"/>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6</w:t>
            </w:r>
          </w:p>
        </w:tc>
        <w:tc>
          <w:tcPr>
            <w:tcW w:w="2419" w:type="dxa"/>
            <w:vAlign w:val="top"/>
          </w:tcPr>
          <w:p>
            <w:pPr>
              <w:spacing w:before="205"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当代教育论坛</w:t>
            </w:r>
          </w:p>
        </w:tc>
        <w:tc>
          <w:tcPr>
            <w:tcW w:w="3295" w:type="dxa"/>
            <w:vAlign w:val="top"/>
          </w:tcPr>
          <w:p>
            <w:pPr>
              <w:spacing w:before="206" w:line="180" w:lineRule="auto"/>
              <w:ind w:firstLine="60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湖南省教育科学研究院</w:t>
            </w:r>
          </w:p>
        </w:tc>
        <w:tc>
          <w:tcPr>
            <w:tcW w:w="2186" w:type="dxa"/>
            <w:tcBorders>
              <w:right w:val="single" w:color="000000" w:sz="6" w:space="0"/>
            </w:tcBorders>
            <w:vAlign w:val="top"/>
          </w:tcPr>
          <w:p>
            <w:pPr>
              <w:spacing w:before="237"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CN43-1391/G4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7" w:hRule="atLeast"/>
        </w:trPr>
        <w:tc>
          <w:tcPr>
            <w:tcW w:w="834" w:type="dxa"/>
            <w:tcBorders>
              <w:left w:val="single" w:color="000000" w:sz="6" w:space="0"/>
            </w:tcBorders>
            <w:vAlign w:val="top"/>
          </w:tcPr>
          <w:p>
            <w:pPr>
              <w:spacing w:before="243" w:line="180" w:lineRule="auto"/>
              <w:ind w:firstLine="35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7</w:t>
            </w:r>
          </w:p>
        </w:tc>
        <w:tc>
          <w:tcPr>
            <w:tcW w:w="2419" w:type="dxa"/>
            <w:vAlign w:val="top"/>
          </w:tcPr>
          <w:p>
            <w:pPr>
              <w:spacing w:before="207" w:line="180" w:lineRule="auto"/>
              <w:ind w:firstLine="7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高教论坛</w:t>
            </w:r>
          </w:p>
        </w:tc>
        <w:tc>
          <w:tcPr>
            <w:tcW w:w="3295" w:type="dxa"/>
            <w:vAlign w:val="top"/>
          </w:tcPr>
          <w:p>
            <w:pPr>
              <w:spacing w:before="207" w:line="180" w:lineRule="auto"/>
              <w:ind w:firstLine="8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广西高等教育学会</w:t>
            </w:r>
          </w:p>
        </w:tc>
        <w:tc>
          <w:tcPr>
            <w:tcW w:w="2186" w:type="dxa"/>
            <w:tcBorders>
              <w:right w:val="single" w:color="000000" w:sz="6" w:space="0"/>
            </w:tcBorders>
            <w:vAlign w:val="top"/>
          </w:tcPr>
          <w:p>
            <w:pPr>
              <w:spacing w:before="237"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CN45-1312/G4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0" w:line="180" w:lineRule="auto"/>
              <w:ind w:firstLine="36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8</w:t>
            </w:r>
          </w:p>
        </w:tc>
        <w:tc>
          <w:tcPr>
            <w:tcW w:w="2419" w:type="dxa"/>
            <w:vAlign w:val="top"/>
          </w:tcPr>
          <w:p>
            <w:pPr>
              <w:spacing w:before="247" w:line="180" w:lineRule="auto"/>
              <w:ind w:firstLine="5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上海教育科研</w:t>
            </w:r>
          </w:p>
        </w:tc>
        <w:tc>
          <w:tcPr>
            <w:tcW w:w="3295" w:type="dxa"/>
            <w:vAlign w:val="top"/>
          </w:tcPr>
          <w:p>
            <w:pPr>
              <w:spacing w:before="92" w:line="251" w:lineRule="auto"/>
              <w:ind w:left="1330" w:right="171" w:hanging="115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上海市教育科学研究院普通教育</w:t>
            </w:r>
            <w:r>
              <w:rPr>
                <w:rFonts w:ascii="方正书宋简体" w:hAnsi="方正书宋简体" w:eastAsia="方正书宋简体" w:cs="方正书宋简体"/>
                <w:spacing w:val="9"/>
                <w:sz w:val="21"/>
                <w:szCs w:val="21"/>
              </w:rPr>
              <w:t xml:space="preserve"> </w:t>
            </w:r>
            <w:r>
              <w:rPr>
                <w:rFonts w:ascii="方正书宋简体" w:hAnsi="方正书宋简体" w:eastAsia="方正书宋简体" w:cs="方正书宋简体"/>
                <w:spacing w:val="-1"/>
                <w:sz w:val="21"/>
                <w:szCs w:val="21"/>
              </w:rPr>
              <w:t>研究所</w:t>
            </w:r>
          </w:p>
        </w:tc>
        <w:tc>
          <w:tcPr>
            <w:tcW w:w="2186" w:type="dxa"/>
            <w:tcBorders>
              <w:right w:val="single" w:color="000000" w:sz="6" w:space="0"/>
            </w:tcBorders>
            <w:vAlign w:val="top"/>
          </w:tcPr>
          <w:p>
            <w:pPr>
              <w:spacing w:before="278"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CN31-1059/G4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834" w:type="dxa"/>
            <w:tcBorders>
              <w:left w:val="single" w:color="000000" w:sz="6" w:space="0"/>
            </w:tcBorders>
            <w:vAlign w:val="top"/>
          </w:tcPr>
          <w:p>
            <w:pPr>
              <w:spacing w:before="305" w:line="180" w:lineRule="auto"/>
              <w:ind w:firstLine="36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9</w:t>
            </w:r>
          </w:p>
        </w:tc>
        <w:tc>
          <w:tcPr>
            <w:tcW w:w="2419" w:type="dxa"/>
            <w:vAlign w:val="top"/>
          </w:tcPr>
          <w:p>
            <w:pPr>
              <w:spacing w:before="271" w:line="180" w:lineRule="auto"/>
              <w:ind w:firstLine="57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现代教育科学</w:t>
            </w:r>
          </w:p>
        </w:tc>
        <w:tc>
          <w:tcPr>
            <w:tcW w:w="3295" w:type="dxa"/>
            <w:vAlign w:val="top"/>
          </w:tcPr>
          <w:p>
            <w:pPr>
              <w:spacing w:before="91" w:line="226" w:lineRule="auto"/>
              <w:ind w:left="809" w:right="611" w:hanging="20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吉林省高等教育学会、</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吉林省教育科学院</w:t>
            </w:r>
          </w:p>
        </w:tc>
        <w:tc>
          <w:tcPr>
            <w:tcW w:w="2186" w:type="dxa"/>
            <w:tcBorders>
              <w:right w:val="single" w:color="000000" w:sz="6" w:space="0"/>
            </w:tcBorders>
            <w:vAlign w:val="top"/>
          </w:tcPr>
          <w:p>
            <w:pPr>
              <w:spacing w:before="303"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CN22-1339/G4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34" w:type="dxa"/>
            <w:tcBorders>
              <w:left w:val="single" w:color="000000" w:sz="6" w:space="0"/>
            </w:tcBorders>
            <w:vAlign w:val="top"/>
          </w:tcPr>
          <w:p>
            <w:pPr>
              <w:spacing w:before="242"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10</w:t>
            </w:r>
          </w:p>
        </w:tc>
        <w:tc>
          <w:tcPr>
            <w:tcW w:w="2419" w:type="dxa"/>
            <w:vAlign w:val="top"/>
          </w:tcPr>
          <w:p>
            <w:pPr>
              <w:spacing w:before="210" w:line="180" w:lineRule="auto"/>
              <w:ind w:firstLine="7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教育导刊</w:t>
            </w:r>
          </w:p>
        </w:tc>
        <w:tc>
          <w:tcPr>
            <w:tcW w:w="3295" w:type="dxa"/>
            <w:vAlign w:val="top"/>
          </w:tcPr>
          <w:p>
            <w:pPr>
              <w:spacing w:before="210" w:line="180" w:lineRule="auto"/>
              <w:ind w:firstLine="59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广州市教育科学研究所</w:t>
            </w:r>
          </w:p>
        </w:tc>
        <w:tc>
          <w:tcPr>
            <w:tcW w:w="2186" w:type="dxa"/>
            <w:tcBorders>
              <w:right w:val="single" w:color="000000" w:sz="6" w:space="0"/>
            </w:tcBorders>
            <w:vAlign w:val="top"/>
          </w:tcPr>
          <w:p>
            <w:pPr>
              <w:spacing w:before="240"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CN44-1371/G4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834" w:type="dxa"/>
            <w:tcBorders>
              <w:left w:val="single" w:color="000000" w:sz="6" w:space="0"/>
            </w:tcBorders>
            <w:vAlign w:val="top"/>
          </w:tcPr>
          <w:p>
            <w:pPr>
              <w:spacing w:before="243"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11</w:t>
            </w:r>
          </w:p>
        </w:tc>
        <w:tc>
          <w:tcPr>
            <w:tcW w:w="2419" w:type="dxa"/>
            <w:vAlign w:val="top"/>
          </w:tcPr>
          <w:p>
            <w:pPr>
              <w:spacing w:before="210" w:line="180" w:lineRule="auto"/>
              <w:ind w:firstLine="54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煤炭高等教育</w:t>
            </w:r>
          </w:p>
        </w:tc>
        <w:tc>
          <w:tcPr>
            <w:tcW w:w="3295" w:type="dxa"/>
            <w:vAlign w:val="top"/>
          </w:tcPr>
          <w:p>
            <w:pPr>
              <w:spacing w:before="210" w:line="180" w:lineRule="auto"/>
              <w:ind w:firstLine="82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中国煤炭教育协会</w:t>
            </w:r>
          </w:p>
        </w:tc>
        <w:tc>
          <w:tcPr>
            <w:tcW w:w="2186" w:type="dxa"/>
            <w:tcBorders>
              <w:right w:val="single" w:color="000000" w:sz="6" w:space="0"/>
            </w:tcBorders>
            <w:vAlign w:val="top"/>
          </w:tcPr>
          <w:p>
            <w:pPr>
              <w:spacing w:before="240"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CN32-1365/G4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834" w:type="dxa"/>
            <w:tcBorders>
              <w:left w:val="single" w:color="000000" w:sz="6" w:space="0"/>
            </w:tcBorders>
            <w:vAlign w:val="top"/>
          </w:tcPr>
          <w:p>
            <w:pPr>
              <w:spacing w:before="244"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12</w:t>
            </w:r>
          </w:p>
        </w:tc>
        <w:tc>
          <w:tcPr>
            <w:tcW w:w="2419" w:type="dxa"/>
            <w:vAlign w:val="top"/>
          </w:tcPr>
          <w:p>
            <w:pPr>
              <w:spacing w:before="211" w:line="180" w:lineRule="auto"/>
              <w:ind w:firstLine="57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重庆高教研究</w:t>
            </w:r>
          </w:p>
        </w:tc>
        <w:tc>
          <w:tcPr>
            <w:tcW w:w="3295" w:type="dxa"/>
            <w:vAlign w:val="top"/>
          </w:tcPr>
          <w:p>
            <w:pPr>
              <w:spacing w:before="210" w:line="180" w:lineRule="auto"/>
              <w:ind w:firstLine="70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重庆市高等教育学会</w:t>
            </w:r>
          </w:p>
        </w:tc>
        <w:tc>
          <w:tcPr>
            <w:tcW w:w="2186" w:type="dxa"/>
            <w:tcBorders>
              <w:right w:val="single" w:color="000000" w:sz="6" w:space="0"/>
            </w:tcBorders>
            <w:vAlign w:val="top"/>
          </w:tcPr>
          <w:p>
            <w:pPr>
              <w:spacing w:before="240"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CN50-1028/G4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4"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13</w:t>
            </w:r>
          </w:p>
        </w:tc>
        <w:tc>
          <w:tcPr>
            <w:tcW w:w="2419" w:type="dxa"/>
            <w:vAlign w:val="top"/>
          </w:tcPr>
          <w:p>
            <w:pPr>
              <w:spacing w:before="93" w:line="251" w:lineRule="auto"/>
              <w:ind w:left="678" w:right="114" w:hanging="556"/>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内蒙古师范大学学报（教</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z w:val="21"/>
                <w:szCs w:val="21"/>
              </w:rPr>
              <w:t>育科学版）</w:t>
            </w:r>
          </w:p>
        </w:tc>
        <w:tc>
          <w:tcPr>
            <w:tcW w:w="3295" w:type="dxa"/>
            <w:vAlign w:val="top"/>
          </w:tcPr>
          <w:p>
            <w:pPr>
              <w:spacing w:before="250" w:line="180" w:lineRule="auto"/>
              <w:ind w:firstLine="934"/>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内蒙古师范大学</w:t>
            </w:r>
          </w:p>
        </w:tc>
        <w:tc>
          <w:tcPr>
            <w:tcW w:w="2186" w:type="dxa"/>
            <w:tcBorders>
              <w:right w:val="single" w:color="000000" w:sz="6" w:space="0"/>
            </w:tcBorders>
            <w:vAlign w:val="top"/>
          </w:tcPr>
          <w:p>
            <w:pPr>
              <w:spacing w:before="281"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CN15-1215/G4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834" w:type="dxa"/>
            <w:tcBorders>
              <w:left w:val="single" w:color="000000" w:sz="6" w:space="0"/>
            </w:tcBorders>
            <w:vAlign w:val="top"/>
          </w:tcPr>
          <w:p>
            <w:pPr>
              <w:spacing w:before="285"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14</w:t>
            </w:r>
          </w:p>
        </w:tc>
        <w:tc>
          <w:tcPr>
            <w:tcW w:w="2419" w:type="dxa"/>
            <w:vAlign w:val="top"/>
          </w:tcPr>
          <w:p>
            <w:pPr>
              <w:spacing w:before="252" w:line="180" w:lineRule="auto"/>
              <w:ind w:firstLine="57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高等理科教育</w:t>
            </w:r>
          </w:p>
        </w:tc>
        <w:tc>
          <w:tcPr>
            <w:tcW w:w="3295" w:type="dxa"/>
            <w:vAlign w:val="top"/>
          </w:tcPr>
          <w:p>
            <w:pPr>
              <w:spacing w:before="96" w:line="251" w:lineRule="auto"/>
              <w:ind w:left="1543" w:right="98" w:hanging="143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全国高等理科教育研究会、兰州大</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z w:val="21"/>
                <w:szCs w:val="21"/>
              </w:rPr>
              <w:t>学</w:t>
            </w:r>
          </w:p>
        </w:tc>
        <w:tc>
          <w:tcPr>
            <w:tcW w:w="2186" w:type="dxa"/>
            <w:tcBorders>
              <w:right w:val="single" w:color="000000" w:sz="6" w:space="0"/>
            </w:tcBorders>
            <w:vAlign w:val="top"/>
          </w:tcPr>
          <w:p>
            <w:pPr>
              <w:spacing w:before="283"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CN62-1028/G4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7"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15</w:t>
            </w:r>
          </w:p>
        </w:tc>
        <w:tc>
          <w:tcPr>
            <w:tcW w:w="2419" w:type="dxa"/>
            <w:vAlign w:val="top"/>
          </w:tcPr>
          <w:p>
            <w:pPr>
              <w:spacing w:before="97" w:line="180" w:lineRule="auto"/>
              <w:ind w:firstLine="57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高等农业教育</w:t>
            </w:r>
          </w:p>
        </w:tc>
        <w:tc>
          <w:tcPr>
            <w:tcW w:w="3295" w:type="dxa"/>
            <w:vAlign w:val="top"/>
          </w:tcPr>
          <w:p>
            <w:pPr>
              <w:spacing w:before="98" w:line="180" w:lineRule="auto"/>
              <w:ind w:firstLine="101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沈阳农业大学</w:t>
            </w:r>
          </w:p>
        </w:tc>
        <w:tc>
          <w:tcPr>
            <w:tcW w:w="2186" w:type="dxa"/>
            <w:tcBorders>
              <w:right w:val="single" w:color="000000" w:sz="6" w:space="0"/>
            </w:tcBorders>
            <w:vAlign w:val="top"/>
          </w:tcPr>
          <w:p>
            <w:pPr>
              <w:spacing w:before="128"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CN21-1088/G4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29"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16</w:t>
            </w:r>
          </w:p>
        </w:tc>
        <w:tc>
          <w:tcPr>
            <w:tcW w:w="2419" w:type="dxa"/>
            <w:vAlign w:val="top"/>
          </w:tcPr>
          <w:p>
            <w:pPr>
              <w:spacing w:before="98" w:line="180" w:lineRule="auto"/>
              <w:ind w:firstLine="5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基础医学教育</w:t>
            </w:r>
          </w:p>
        </w:tc>
        <w:tc>
          <w:tcPr>
            <w:tcW w:w="3295" w:type="dxa"/>
            <w:vAlign w:val="top"/>
          </w:tcPr>
          <w:p>
            <w:pPr>
              <w:spacing w:before="99" w:line="180" w:lineRule="auto"/>
              <w:ind w:firstLine="103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山西医科大学</w:t>
            </w:r>
          </w:p>
        </w:tc>
        <w:tc>
          <w:tcPr>
            <w:tcW w:w="2186" w:type="dxa"/>
            <w:tcBorders>
              <w:right w:val="single" w:color="000000" w:sz="6" w:space="0"/>
            </w:tcBorders>
            <w:vAlign w:val="top"/>
          </w:tcPr>
          <w:p>
            <w:pPr>
              <w:spacing w:before="129" w:line="180" w:lineRule="auto"/>
              <w:ind w:firstLine="49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CN14-1364/R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trPr>
        <w:tc>
          <w:tcPr>
            <w:tcW w:w="834" w:type="dxa"/>
            <w:tcBorders>
              <w:left w:val="single" w:color="000000" w:sz="6" w:space="0"/>
            </w:tcBorders>
            <w:vAlign w:val="top"/>
          </w:tcPr>
          <w:p>
            <w:pPr>
              <w:spacing w:before="312"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17</w:t>
            </w:r>
          </w:p>
        </w:tc>
        <w:tc>
          <w:tcPr>
            <w:tcW w:w="2419" w:type="dxa"/>
            <w:vAlign w:val="top"/>
          </w:tcPr>
          <w:p>
            <w:pPr>
              <w:spacing w:before="279" w:line="180" w:lineRule="auto"/>
              <w:ind w:firstLine="57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教育财会研究</w:t>
            </w:r>
          </w:p>
        </w:tc>
        <w:tc>
          <w:tcPr>
            <w:tcW w:w="3295" w:type="dxa"/>
            <w:vAlign w:val="top"/>
          </w:tcPr>
          <w:p>
            <w:pPr>
              <w:spacing w:before="99" w:line="362" w:lineRule="exact"/>
              <w:ind w:firstLine="72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position w:val="12"/>
                <w:sz w:val="21"/>
                <w:szCs w:val="21"/>
              </w:rPr>
              <w:t>中国教育会计学会、</w:t>
            </w:r>
          </w:p>
          <w:p>
            <w:pPr>
              <w:spacing w:line="204" w:lineRule="auto"/>
              <w:ind w:firstLine="10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华中师范大学</w:t>
            </w:r>
          </w:p>
        </w:tc>
        <w:tc>
          <w:tcPr>
            <w:tcW w:w="2186" w:type="dxa"/>
            <w:tcBorders>
              <w:right w:val="single" w:color="000000" w:sz="6" w:space="0"/>
            </w:tcBorders>
            <w:vAlign w:val="top"/>
          </w:tcPr>
          <w:p>
            <w:pPr>
              <w:spacing w:before="309" w:line="180" w:lineRule="auto"/>
              <w:ind w:firstLine="5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CN42-1346/F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834" w:type="dxa"/>
            <w:tcBorders>
              <w:left w:val="single" w:color="000000" w:sz="6" w:space="0"/>
            </w:tcBorders>
            <w:vAlign w:val="top"/>
          </w:tcPr>
          <w:p>
            <w:pPr>
              <w:spacing w:before="132"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18</w:t>
            </w:r>
          </w:p>
        </w:tc>
        <w:tc>
          <w:tcPr>
            <w:tcW w:w="2419" w:type="dxa"/>
            <w:vAlign w:val="top"/>
          </w:tcPr>
          <w:p>
            <w:pPr>
              <w:spacing w:before="99" w:line="180" w:lineRule="auto"/>
              <w:ind w:firstLine="36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高等财经教育研究</w:t>
            </w:r>
          </w:p>
        </w:tc>
        <w:tc>
          <w:tcPr>
            <w:tcW w:w="3295" w:type="dxa"/>
            <w:vAlign w:val="top"/>
          </w:tcPr>
          <w:p>
            <w:pPr>
              <w:spacing w:before="102" w:line="180" w:lineRule="auto"/>
              <w:ind w:firstLine="103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山西财经大学</w:t>
            </w:r>
          </w:p>
        </w:tc>
        <w:tc>
          <w:tcPr>
            <w:tcW w:w="2186" w:type="dxa"/>
            <w:tcBorders>
              <w:right w:val="single" w:color="000000" w:sz="6" w:space="0"/>
            </w:tcBorders>
            <w:vAlign w:val="top"/>
          </w:tcPr>
          <w:p>
            <w:pPr>
              <w:spacing w:before="130"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CN14-1361/G4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34" w:type="dxa"/>
            <w:tcBorders>
              <w:left w:val="single" w:color="000000" w:sz="6" w:space="0"/>
              <w:bottom w:val="single" w:color="000000" w:sz="6" w:space="0"/>
            </w:tcBorders>
            <w:vAlign w:val="top"/>
          </w:tcPr>
          <w:p>
            <w:pPr>
              <w:spacing w:before="133" w:line="180" w:lineRule="auto"/>
              <w:ind w:firstLine="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19</w:t>
            </w:r>
          </w:p>
        </w:tc>
        <w:tc>
          <w:tcPr>
            <w:tcW w:w="2419" w:type="dxa"/>
            <w:tcBorders>
              <w:bottom w:val="single" w:color="000000" w:sz="6" w:space="0"/>
            </w:tcBorders>
            <w:vAlign w:val="top"/>
          </w:tcPr>
          <w:p>
            <w:pPr>
              <w:spacing w:before="102"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山东外语教学</w:t>
            </w:r>
          </w:p>
        </w:tc>
        <w:tc>
          <w:tcPr>
            <w:tcW w:w="3295" w:type="dxa"/>
            <w:tcBorders>
              <w:bottom w:val="single" w:color="000000" w:sz="6" w:space="0"/>
            </w:tcBorders>
            <w:vAlign w:val="top"/>
          </w:tcPr>
          <w:p>
            <w:pPr>
              <w:spacing w:before="103" w:line="180" w:lineRule="auto"/>
              <w:ind w:firstLine="103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山东师范大学</w:t>
            </w:r>
          </w:p>
        </w:tc>
        <w:tc>
          <w:tcPr>
            <w:tcW w:w="2186" w:type="dxa"/>
            <w:tcBorders>
              <w:bottom w:val="single" w:color="000000" w:sz="6" w:space="0"/>
              <w:right w:val="single" w:color="000000" w:sz="6" w:space="0"/>
            </w:tcBorders>
            <w:vAlign w:val="top"/>
          </w:tcPr>
          <w:p>
            <w:pPr>
              <w:spacing w:before="131"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CN37-1026/G4</w:t>
            </w:r>
          </w:p>
        </w:tc>
      </w:tr>
    </w:tbl>
    <w:p>
      <w:pPr>
        <w:spacing w:before="385"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329</w:t>
      </w:r>
    </w:p>
    <w:p>
      <w:pPr>
        <w:sectPr>
          <w:footerReference r:id="rId333" w:type="default"/>
          <w:pgSz w:w="11905" w:h="16840"/>
          <w:pgMar w:top="1431" w:right="1577" w:bottom="400" w:left="1578" w:header="0" w:footer="0" w:gutter="0"/>
          <w:cols w:space="720" w:num="1"/>
        </w:sectPr>
      </w:pPr>
    </w:p>
    <w:p/>
    <w:p>
      <w:pPr>
        <w:spacing w:line="28" w:lineRule="exact"/>
      </w:pP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419"/>
        <w:gridCol w:w="3295"/>
        <w:gridCol w:w="2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834" w:type="dxa"/>
            <w:tcBorders>
              <w:top w:val="single" w:color="000000" w:sz="6" w:space="0"/>
              <w:left w:val="single" w:color="000000" w:sz="6" w:space="0"/>
            </w:tcBorders>
            <w:vAlign w:val="top"/>
          </w:tcPr>
          <w:p>
            <w:pPr>
              <w:spacing w:before="87" w:line="180" w:lineRule="auto"/>
              <w:ind w:firstLine="148"/>
              <w:rPr>
                <w:rFonts w:ascii="Microsoft JhengHei" w:hAnsi="Microsoft JhengHei" w:eastAsia="Microsoft JhengHei" w:cs="Microsoft JhengHei"/>
                <w:sz w:val="21"/>
                <w:szCs w:val="21"/>
              </w:rPr>
            </w:pPr>
            <w:r>
              <w:rPr>
                <w:rFonts w:ascii="Microsoft JhengHei" w:hAnsi="Microsoft JhengHei" w:eastAsia="Microsoft JhengHei" w:cs="Microsoft JhengHei"/>
                <w:spacing w:val="-3"/>
                <w:sz w:val="21"/>
                <w:szCs w:val="21"/>
              </w:rPr>
              <w:t>序</w:t>
            </w:r>
            <w:r>
              <w:rPr>
                <w:rFonts w:ascii="Microsoft JhengHei" w:hAnsi="Microsoft JhengHei" w:eastAsia="Microsoft JhengHei" w:cs="Microsoft JhengHei"/>
                <w:spacing w:val="7"/>
                <w:sz w:val="21"/>
                <w:szCs w:val="21"/>
              </w:rPr>
              <w:t xml:space="preserve">  </w:t>
            </w:r>
            <w:r>
              <w:rPr>
                <w:rFonts w:ascii="Microsoft JhengHei" w:hAnsi="Microsoft JhengHei" w:eastAsia="Microsoft JhengHei" w:cs="Microsoft JhengHei"/>
                <w:spacing w:val="-3"/>
                <w:sz w:val="21"/>
                <w:szCs w:val="21"/>
              </w:rPr>
              <w:t>号</w:t>
            </w:r>
          </w:p>
        </w:tc>
        <w:tc>
          <w:tcPr>
            <w:tcW w:w="2419" w:type="dxa"/>
            <w:tcBorders>
              <w:top w:val="single" w:color="000000" w:sz="6" w:space="0"/>
            </w:tcBorders>
            <w:vAlign w:val="top"/>
          </w:tcPr>
          <w:p>
            <w:pPr>
              <w:spacing w:before="87" w:line="180" w:lineRule="auto"/>
              <w:ind w:firstLine="786"/>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期刊名称</w:t>
            </w:r>
          </w:p>
        </w:tc>
        <w:tc>
          <w:tcPr>
            <w:tcW w:w="3295" w:type="dxa"/>
            <w:tcBorders>
              <w:top w:val="single" w:color="000000" w:sz="6" w:space="0"/>
            </w:tcBorders>
            <w:vAlign w:val="top"/>
          </w:tcPr>
          <w:p>
            <w:pPr>
              <w:spacing w:before="87" w:line="180" w:lineRule="auto"/>
              <w:ind w:firstLine="920"/>
              <w:rPr>
                <w:rFonts w:ascii="Microsoft JhengHei" w:hAnsi="Microsoft JhengHei" w:eastAsia="Microsoft JhengHei" w:cs="Microsoft JhengHei"/>
                <w:sz w:val="21"/>
                <w:szCs w:val="21"/>
              </w:rPr>
            </w:pPr>
            <w:r>
              <w:rPr>
                <w:rFonts w:ascii="Microsoft JhengHei" w:hAnsi="Microsoft JhengHei" w:eastAsia="Microsoft JhengHei" w:cs="Microsoft JhengHei"/>
                <w:spacing w:val="-2"/>
                <w:sz w:val="21"/>
                <w:szCs w:val="21"/>
              </w:rPr>
              <w:t>主办（管）单位</w:t>
            </w:r>
          </w:p>
        </w:tc>
        <w:tc>
          <w:tcPr>
            <w:tcW w:w="2186" w:type="dxa"/>
            <w:tcBorders>
              <w:top w:val="single" w:color="000000" w:sz="6" w:space="0"/>
              <w:right w:val="single" w:color="000000" w:sz="6" w:space="0"/>
            </w:tcBorders>
            <w:vAlign w:val="top"/>
          </w:tcPr>
          <w:p>
            <w:pPr>
              <w:spacing w:before="87" w:line="180" w:lineRule="auto"/>
              <w:ind w:firstLine="815"/>
              <w:rPr>
                <w:rFonts w:ascii="Microsoft JhengHei" w:hAnsi="Microsoft JhengHei" w:eastAsia="Microsoft JhengHei" w:cs="Microsoft JhengHei"/>
                <w:sz w:val="21"/>
                <w:szCs w:val="21"/>
              </w:rPr>
            </w:pPr>
            <w:r>
              <w:rPr>
                <w:rFonts w:ascii="Microsoft JhengHei" w:hAnsi="Microsoft JhengHei" w:eastAsia="Microsoft JhengHei" w:cs="Microsoft JhengHei"/>
                <w:spacing w:val="-6"/>
                <w:sz w:val="21"/>
                <w:szCs w:val="21"/>
              </w:rPr>
              <w:t>CN</w:t>
            </w:r>
            <w:r>
              <w:rPr>
                <w:rFonts w:ascii="Microsoft JhengHei" w:hAnsi="Microsoft JhengHei" w:eastAsia="Microsoft JhengHei" w:cs="Microsoft JhengHei"/>
                <w:spacing w:val="14"/>
                <w:sz w:val="21"/>
                <w:szCs w:val="21"/>
              </w:rPr>
              <w:t xml:space="preserve"> </w:t>
            </w:r>
            <w:r>
              <w:rPr>
                <w:rFonts w:ascii="Microsoft JhengHei" w:hAnsi="Microsoft JhengHei" w:eastAsia="Microsoft JhengHei" w:cs="Microsoft JhengHei"/>
                <w:spacing w:val="-6"/>
                <w:sz w:val="21"/>
                <w:szCs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17"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20</w:t>
            </w:r>
          </w:p>
        </w:tc>
        <w:tc>
          <w:tcPr>
            <w:tcW w:w="2419" w:type="dxa"/>
            <w:vAlign w:val="top"/>
          </w:tcPr>
          <w:p>
            <w:pPr>
              <w:spacing w:before="88" w:line="180" w:lineRule="auto"/>
              <w:ind w:firstLine="78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大学物理</w:t>
            </w:r>
          </w:p>
        </w:tc>
        <w:tc>
          <w:tcPr>
            <w:tcW w:w="3295" w:type="dxa"/>
            <w:vAlign w:val="top"/>
          </w:tcPr>
          <w:p>
            <w:pPr>
              <w:spacing w:before="88" w:line="180" w:lineRule="auto"/>
              <w:ind w:firstLine="103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中国物理学会</w:t>
            </w:r>
          </w:p>
        </w:tc>
        <w:tc>
          <w:tcPr>
            <w:tcW w:w="2186" w:type="dxa"/>
            <w:tcBorders>
              <w:right w:val="single" w:color="000000" w:sz="6" w:space="0"/>
            </w:tcBorders>
            <w:vAlign w:val="top"/>
          </w:tcPr>
          <w:p>
            <w:pPr>
              <w:spacing w:before="11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CN11-1910/O4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47"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p>
        </w:tc>
        <w:tc>
          <w:tcPr>
            <w:tcW w:w="2419" w:type="dxa"/>
            <w:vAlign w:val="top"/>
          </w:tcPr>
          <w:p>
            <w:pPr>
              <w:spacing w:before="114" w:line="180" w:lineRule="auto"/>
              <w:ind w:firstLine="7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化学教育</w:t>
            </w:r>
          </w:p>
        </w:tc>
        <w:tc>
          <w:tcPr>
            <w:tcW w:w="3295" w:type="dxa"/>
            <w:vAlign w:val="top"/>
          </w:tcPr>
          <w:p>
            <w:pPr>
              <w:spacing w:before="118" w:line="180" w:lineRule="auto"/>
              <w:ind w:firstLine="114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中国化学会</w:t>
            </w:r>
          </w:p>
        </w:tc>
        <w:tc>
          <w:tcPr>
            <w:tcW w:w="2186" w:type="dxa"/>
            <w:tcBorders>
              <w:right w:val="single" w:color="000000" w:sz="6" w:space="0"/>
            </w:tcBorders>
            <w:vAlign w:val="top"/>
          </w:tcPr>
          <w:p>
            <w:pPr>
              <w:spacing w:before="14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CN11-1923/O6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48"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tc>
        <w:tc>
          <w:tcPr>
            <w:tcW w:w="2419" w:type="dxa"/>
            <w:vAlign w:val="top"/>
          </w:tcPr>
          <w:p>
            <w:pPr>
              <w:spacing w:before="115" w:line="180" w:lineRule="auto"/>
              <w:ind w:firstLine="67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生物学教育</w:t>
            </w:r>
          </w:p>
        </w:tc>
        <w:tc>
          <w:tcPr>
            <w:tcW w:w="3295" w:type="dxa"/>
            <w:vAlign w:val="top"/>
          </w:tcPr>
          <w:p>
            <w:pPr>
              <w:spacing w:before="116" w:line="180" w:lineRule="auto"/>
              <w:ind w:firstLine="10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华东师范大学</w:t>
            </w:r>
          </w:p>
        </w:tc>
        <w:tc>
          <w:tcPr>
            <w:tcW w:w="2186" w:type="dxa"/>
            <w:tcBorders>
              <w:right w:val="single" w:color="000000" w:sz="6" w:space="0"/>
            </w:tcBorders>
            <w:vAlign w:val="top"/>
          </w:tcPr>
          <w:p>
            <w:pPr>
              <w:spacing w:before="146"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CN31-1009/G4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49"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p>
        </w:tc>
        <w:tc>
          <w:tcPr>
            <w:tcW w:w="2419" w:type="dxa"/>
            <w:vAlign w:val="top"/>
          </w:tcPr>
          <w:p>
            <w:pPr>
              <w:spacing w:before="114" w:line="180" w:lineRule="auto"/>
              <w:ind w:firstLine="4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体育研究与教育</w:t>
            </w:r>
          </w:p>
        </w:tc>
        <w:tc>
          <w:tcPr>
            <w:tcW w:w="3295" w:type="dxa"/>
            <w:vAlign w:val="top"/>
          </w:tcPr>
          <w:p>
            <w:pPr>
              <w:spacing w:before="119" w:line="180" w:lineRule="auto"/>
              <w:ind w:firstLine="103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山西师范大学</w:t>
            </w:r>
          </w:p>
        </w:tc>
        <w:tc>
          <w:tcPr>
            <w:tcW w:w="2186" w:type="dxa"/>
            <w:tcBorders>
              <w:right w:val="single" w:color="000000" w:sz="6" w:space="0"/>
            </w:tcBorders>
            <w:vAlign w:val="top"/>
          </w:tcPr>
          <w:p>
            <w:pPr>
              <w:spacing w:before="147"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CN14-1366/G8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50"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p>
        </w:tc>
        <w:tc>
          <w:tcPr>
            <w:tcW w:w="2419" w:type="dxa"/>
            <w:vAlign w:val="top"/>
          </w:tcPr>
          <w:p>
            <w:pPr>
              <w:spacing w:before="117" w:line="180" w:lineRule="auto"/>
              <w:ind w:firstLine="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中国军事教育</w:t>
            </w:r>
          </w:p>
        </w:tc>
        <w:tc>
          <w:tcPr>
            <w:tcW w:w="3295" w:type="dxa"/>
            <w:vAlign w:val="top"/>
          </w:tcPr>
          <w:p>
            <w:pPr>
              <w:spacing w:before="117" w:line="180" w:lineRule="auto"/>
              <w:ind w:firstLine="82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中国军事教育学会</w:t>
            </w:r>
          </w:p>
        </w:tc>
        <w:tc>
          <w:tcPr>
            <w:tcW w:w="2186" w:type="dxa"/>
            <w:tcBorders>
              <w:right w:val="single" w:color="000000" w:sz="6" w:space="0"/>
            </w:tcBorders>
            <w:vAlign w:val="top"/>
          </w:tcPr>
          <w:p>
            <w:pPr>
              <w:spacing w:before="148"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CN13-1290/G4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48"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25</w:t>
            </w:r>
          </w:p>
        </w:tc>
        <w:tc>
          <w:tcPr>
            <w:tcW w:w="2419" w:type="dxa"/>
            <w:vAlign w:val="top"/>
          </w:tcPr>
          <w:p>
            <w:pPr>
              <w:spacing w:before="118" w:line="180" w:lineRule="auto"/>
              <w:ind w:firstLine="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中国音乐教育</w:t>
            </w:r>
          </w:p>
        </w:tc>
        <w:tc>
          <w:tcPr>
            <w:tcW w:w="3295" w:type="dxa"/>
            <w:vAlign w:val="top"/>
          </w:tcPr>
          <w:p>
            <w:pPr>
              <w:spacing w:before="121" w:line="180" w:lineRule="auto"/>
              <w:ind w:firstLine="9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人民音乐出版社</w:t>
            </w:r>
          </w:p>
        </w:tc>
        <w:tc>
          <w:tcPr>
            <w:tcW w:w="2186" w:type="dxa"/>
            <w:tcBorders>
              <w:right w:val="single" w:color="000000" w:sz="6" w:space="0"/>
            </w:tcBorders>
            <w:vAlign w:val="top"/>
          </w:tcPr>
          <w:p>
            <w:pPr>
              <w:spacing w:before="148" w:line="180" w:lineRule="auto"/>
              <w:ind w:firstLine="5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CN11-2543/J</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834" w:type="dxa"/>
            <w:tcBorders>
              <w:left w:val="single" w:color="000000" w:sz="6" w:space="0"/>
            </w:tcBorders>
            <w:vAlign w:val="top"/>
          </w:tcPr>
          <w:p>
            <w:pPr>
              <w:spacing w:before="150"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26</w:t>
            </w:r>
          </w:p>
        </w:tc>
        <w:tc>
          <w:tcPr>
            <w:tcW w:w="2419" w:type="dxa"/>
            <w:vAlign w:val="top"/>
          </w:tcPr>
          <w:p>
            <w:pPr>
              <w:spacing w:before="119" w:line="180" w:lineRule="auto"/>
              <w:ind w:firstLine="593"/>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中国美术教育</w:t>
            </w:r>
          </w:p>
        </w:tc>
        <w:tc>
          <w:tcPr>
            <w:tcW w:w="3295" w:type="dxa"/>
            <w:vAlign w:val="top"/>
          </w:tcPr>
          <w:p>
            <w:pPr>
              <w:spacing w:before="120" w:line="180" w:lineRule="auto"/>
              <w:ind w:firstLine="101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南京师范大学</w:t>
            </w:r>
          </w:p>
        </w:tc>
        <w:tc>
          <w:tcPr>
            <w:tcW w:w="2186" w:type="dxa"/>
            <w:tcBorders>
              <w:right w:val="single" w:color="000000" w:sz="6" w:space="0"/>
            </w:tcBorders>
            <w:vAlign w:val="top"/>
          </w:tcPr>
          <w:p>
            <w:pPr>
              <w:spacing w:before="150"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CN32-1300/G4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4" w:type="dxa"/>
            <w:tcBorders>
              <w:left w:val="single" w:color="000000" w:sz="6" w:space="0"/>
            </w:tcBorders>
            <w:vAlign w:val="top"/>
          </w:tcPr>
          <w:p>
            <w:pPr>
              <w:spacing w:before="126"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27</w:t>
            </w:r>
          </w:p>
        </w:tc>
        <w:tc>
          <w:tcPr>
            <w:tcW w:w="2419" w:type="dxa"/>
            <w:vAlign w:val="top"/>
          </w:tcPr>
          <w:p>
            <w:pPr>
              <w:spacing w:before="94" w:line="180" w:lineRule="auto"/>
              <w:ind w:firstLine="6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教学与管理</w:t>
            </w:r>
          </w:p>
        </w:tc>
        <w:tc>
          <w:tcPr>
            <w:tcW w:w="3295" w:type="dxa"/>
            <w:vAlign w:val="top"/>
          </w:tcPr>
          <w:p>
            <w:pPr>
              <w:spacing w:before="94" w:line="180" w:lineRule="auto"/>
              <w:ind w:firstLine="101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太原师范学院</w:t>
            </w:r>
          </w:p>
        </w:tc>
        <w:tc>
          <w:tcPr>
            <w:tcW w:w="2186" w:type="dxa"/>
            <w:tcBorders>
              <w:right w:val="single" w:color="000000" w:sz="6" w:space="0"/>
            </w:tcBorders>
            <w:vAlign w:val="top"/>
          </w:tcPr>
          <w:p>
            <w:pPr>
              <w:spacing w:before="123"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CN14-1024/G4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4" w:type="dxa"/>
            <w:tcBorders>
              <w:left w:val="single" w:color="000000" w:sz="6" w:space="0"/>
            </w:tcBorders>
            <w:vAlign w:val="top"/>
          </w:tcPr>
          <w:p>
            <w:pPr>
              <w:spacing w:before="127"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28</w:t>
            </w:r>
          </w:p>
        </w:tc>
        <w:tc>
          <w:tcPr>
            <w:tcW w:w="2419" w:type="dxa"/>
            <w:vAlign w:val="top"/>
          </w:tcPr>
          <w:p>
            <w:pPr>
              <w:spacing w:before="93" w:line="180" w:lineRule="auto"/>
              <w:ind w:firstLine="58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当代教师教育</w:t>
            </w:r>
          </w:p>
        </w:tc>
        <w:tc>
          <w:tcPr>
            <w:tcW w:w="3295" w:type="dxa"/>
            <w:vAlign w:val="top"/>
          </w:tcPr>
          <w:p>
            <w:pPr>
              <w:spacing w:before="95" w:line="180" w:lineRule="auto"/>
              <w:ind w:firstLine="102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陕西师范大学</w:t>
            </w:r>
          </w:p>
        </w:tc>
        <w:tc>
          <w:tcPr>
            <w:tcW w:w="2186" w:type="dxa"/>
            <w:tcBorders>
              <w:right w:val="single" w:color="000000" w:sz="6" w:space="0"/>
            </w:tcBorders>
            <w:vAlign w:val="top"/>
          </w:tcPr>
          <w:p>
            <w:pPr>
              <w:spacing w:before="125"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CN61-1469/G4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834" w:type="dxa"/>
            <w:tcBorders>
              <w:left w:val="single" w:color="000000" w:sz="6" w:space="0"/>
            </w:tcBorders>
            <w:vAlign w:val="top"/>
          </w:tcPr>
          <w:p>
            <w:pPr>
              <w:spacing w:before="129"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29</w:t>
            </w:r>
          </w:p>
        </w:tc>
        <w:tc>
          <w:tcPr>
            <w:tcW w:w="2419" w:type="dxa"/>
            <w:vAlign w:val="top"/>
          </w:tcPr>
          <w:p>
            <w:pPr>
              <w:spacing w:before="100" w:line="180" w:lineRule="auto"/>
              <w:ind w:firstLine="80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中国考试</w:t>
            </w:r>
          </w:p>
        </w:tc>
        <w:tc>
          <w:tcPr>
            <w:tcW w:w="3295" w:type="dxa"/>
            <w:vAlign w:val="top"/>
          </w:tcPr>
          <w:p>
            <w:pPr>
              <w:spacing w:before="96" w:line="180" w:lineRule="auto"/>
              <w:ind w:firstLine="912"/>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教育部考试中心</w:t>
            </w:r>
          </w:p>
        </w:tc>
        <w:tc>
          <w:tcPr>
            <w:tcW w:w="2186" w:type="dxa"/>
            <w:tcBorders>
              <w:right w:val="single" w:color="000000" w:sz="6" w:space="0"/>
            </w:tcBorders>
            <w:vAlign w:val="top"/>
          </w:tcPr>
          <w:p>
            <w:pPr>
              <w:spacing w:before="127"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CN11-3303/G4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834" w:type="dxa"/>
            <w:tcBorders>
              <w:left w:val="single" w:color="000000" w:sz="6" w:space="0"/>
            </w:tcBorders>
            <w:vAlign w:val="top"/>
          </w:tcPr>
          <w:p>
            <w:pPr>
              <w:spacing w:before="286"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30</w:t>
            </w:r>
          </w:p>
        </w:tc>
        <w:tc>
          <w:tcPr>
            <w:tcW w:w="2419" w:type="dxa"/>
            <w:vAlign w:val="top"/>
          </w:tcPr>
          <w:p>
            <w:pPr>
              <w:spacing w:before="254" w:line="180" w:lineRule="auto"/>
              <w:ind w:firstLine="67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教育与考试</w:t>
            </w:r>
          </w:p>
        </w:tc>
        <w:tc>
          <w:tcPr>
            <w:tcW w:w="3295" w:type="dxa"/>
            <w:vAlign w:val="top"/>
          </w:tcPr>
          <w:p>
            <w:pPr>
              <w:spacing w:before="96" w:line="252" w:lineRule="auto"/>
              <w:ind w:left="1224" w:right="98" w:hanging="112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福建省教育考试院、厦门大学考试</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
                <w:sz w:val="21"/>
                <w:szCs w:val="21"/>
              </w:rPr>
              <w:t>研究中心</w:t>
            </w:r>
          </w:p>
        </w:tc>
        <w:tc>
          <w:tcPr>
            <w:tcW w:w="2186" w:type="dxa"/>
            <w:tcBorders>
              <w:right w:val="single" w:color="000000" w:sz="6" w:space="0"/>
            </w:tcBorders>
            <w:vAlign w:val="top"/>
          </w:tcPr>
          <w:p>
            <w:pPr>
              <w:spacing w:before="284" w:line="180" w:lineRule="auto"/>
              <w:ind w:firstLine="44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CN35-1290/G4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834" w:type="dxa"/>
            <w:tcBorders>
              <w:left w:val="single" w:color="000000" w:sz="6" w:space="0"/>
            </w:tcBorders>
            <w:vAlign w:val="top"/>
          </w:tcPr>
          <w:p>
            <w:pPr>
              <w:spacing w:before="131"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31</w:t>
            </w:r>
          </w:p>
        </w:tc>
        <w:tc>
          <w:tcPr>
            <w:tcW w:w="2419" w:type="dxa"/>
            <w:vAlign w:val="top"/>
          </w:tcPr>
          <w:p>
            <w:pPr>
              <w:spacing w:before="100" w:line="180" w:lineRule="auto"/>
              <w:ind w:firstLine="47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实验技术与管理</w:t>
            </w:r>
          </w:p>
        </w:tc>
        <w:tc>
          <w:tcPr>
            <w:tcW w:w="3295" w:type="dxa"/>
            <w:vAlign w:val="top"/>
          </w:tcPr>
          <w:p>
            <w:pPr>
              <w:spacing w:before="100" w:line="180" w:lineRule="auto"/>
              <w:ind w:firstLine="123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清华大学</w:t>
            </w:r>
          </w:p>
        </w:tc>
        <w:tc>
          <w:tcPr>
            <w:tcW w:w="2186" w:type="dxa"/>
            <w:tcBorders>
              <w:right w:val="single" w:color="000000" w:sz="6" w:space="0"/>
            </w:tcBorders>
            <w:vAlign w:val="top"/>
          </w:tcPr>
          <w:p>
            <w:pPr>
              <w:spacing w:before="130" w:line="180" w:lineRule="auto"/>
              <w:ind w:firstLine="5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CN11-2034/T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8" w:hRule="atLeast"/>
        </w:trPr>
        <w:tc>
          <w:tcPr>
            <w:tcW w:w="834" w:type="dxa"/>
            <w:tcBorders>
              <w:left w:val="single" w:color="000000" w:sz="6" w:space="0"/>
              <w:bottom w:val="single" w:color="000000" w:sz="6" w:space="0"/>
            </w:tcBorders>
            <w:vAlign w:val="top"/>
          </w:tcPr>
          <w:p>
            <w:pPr>
              <w:spacing w:before="289" w:line="180" w:lineRule="auto"/>
              <w:ind w:firstLine="312"/>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32</w:t>
            </w:r>
          </w:p>
        </w:tc>
        <w:tc>
          <w:tcPr>
            <w:tcW w:w="2419" w:type="dxa"/>
            <w:tcBorders>
              <w:bottom w:val="single" w:color="000000" w:sz="6" w:space="0"/>
            </w:tcBorders>
            <w:vAlign w:val="top"/>
          </w:tcPr>
          <w:p>
            <w:pPr>
              <w:spacing w:before="256" w:line="180" w:lineRule="auto"/>
              <w:ind w:firstLine="36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实验室研究与探索</w:t>
            </w:r>
          </w:p>
        </w:tc>
        <w:tc>
          <w:tcPr>
            <w:tcW w:w="3295" w:type="dxa"/>
            <w:tcBorders>
              <w:bottom w:val="single" w:color="000000" w:sz="6" w:space="0"/>
            </w:tcBorders>
            <w:vAlign w:val="top"/>
          </w:tcPr>
          <w:p>
            <w:pPr>
              <w:spacing w:before="100" w:line="252" w:lineRule="auto"/>
              <w:ind w:left="1226" w:right="98" w:hanging="112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全国高校实验室工作研究会、上海</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
                <w:sz w:val="21"/>
                <w:szCs w:val="21"/>
              </w:rPr>
              <w:t>交通大学</w:t>
            </w:r>
          </w:p>
        </w:tc>
        <w:tc>
          <w:tcPr>
            <w:tcW w:w="2186" w:type="dxa"/>
            <w:tcBorders>
              <w:bottom w:val="single" w:color="000000" w:sz="6" w:space="0"/>
              <w:right w:val="single" w:color="000000" w:sz="6" w:space="0"/>
            </w:tcBorders>
            <w:vAlign w:val="top"/>
          </w:tcPr>
          <w:p>
            <w:pPr>
              <w:spacing w:before="287" w:line="180" w:lineRule="auto"/>
              <w:ind w:firstLine="5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CN31-1707/T</w:t>
            </w:r>
          </w:p>
        </w:tc>
      </w:tr>
    </w:tbl>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before="61"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330</w:t>
      </w:r>
    </w:p>
    <w:p>
      <w:pPr>
        <w:sectPr>
          <w:footerReference r:id="rId334" w:type="default"/>
          <w:pgSz w:w="11905" w:h="16840"/>
          <w:pgMar w:top="1431" w:right="1577" w:bottom="400" w:left="1578" w:header="0" w:footer="0" w:gutter="0"/>
          <w:cols w:space="720" w:num="1"/>
        </w:sectPr>
      </w:pPr>
    </w:p>
    <w:p>
      <w:pPr>
        <w:spacing w:before="338" w:line="180" w:lineRule="auto"/>
        <w:ind w:firstLine="197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吉首大学优秀教学成果奖评选办法</w:t>
      </w:r>
    </w:p>
    <w:p>
      <w:pPr>
        <w:spacing w:before="96" w:line="184" w:lineRule="auto"/>
        <w:ind w:firstLine="3433"/>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43" w:lineRule="auto"/>
        <w:rPr>
          <w:rFonts w:ascii="Malgun Gothic"/>
          <w:sz w:val="21"/>
        </w:rPr>
      </w:pPr>
    </w:p>
    <w:p>
      <w:pPr>
        <w:spacing w:before="104" w:line="180" w:lineRule="auto"/>
        <w:ind w:firstLine="3655"/>
        <w:rPr>
          <w:rFonts w:ascii="Microsoft JhengHei" w:hAnsi="Microsoft JhengHei" w:eastAsia="Microsoft JhengHei" w:cs="Microsoft JhengHei"/>
          <w:sz w:val="24"/>
          <w:szCs w:val="24"/>
        </w:rPr>
      </w:pPr>
      <w:r>
        <w:rPr>
          <w:rFonts w:ascii="Microsoft JhengHei" w:hAnsi="Microsoft JhengHei" w:eastAsia="Microsoft JhengHei" w:cs="Microsoft JhengHei"/>
          <w:spacing w:val="-5"/>
          <w:sz w:val="24"/>
          <w:szCs w:val="24"/>
        </w:rPr>
        <w:t>第一章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5"/>
          <w:sz w:val="24"/>
          <w:szCs w:val="24"/>
        </w:rPr>
        <w:t>总则</w:t>
      </w:r>
    </w:p>
    <w:p>
      <w:pPr>
        <w:spacing w:before="124" w:line="290" w:lineRule="auto"/>
        <w:ind w:left="3" w:right="95"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第一条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为表彰在人才培养、教学改革、教材编写和实验实践教学中获得突出</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成绩或取得优秀教学成果的先进个人或集体，</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3"/>
          <w:sz w:val="24"/>
          <w:szCs w:val="24"/>
        </w:rPr>
        <w:t>充分调动广大教职工积极性，深化我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校教育教学改革，推动专业建设，提高教育教学质量，更好地培养高素质人才，根</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7"/>
          <w:sz w:val="24"/>
          <w:szCs w:val="24"/>
        </w:rPr>
        <w:t>据《吉首大学教学奖励办法》，特制定本办法。</w:t>
      </w:r>
    </w:p>
    <w:p>
      <w:pPr>
        <w:spacing w:before="1" w:line="201" w:lineRule="auto"/>
        <w:ind w:firstLine="305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第二章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评选对象与范围</w:t>
      </w:r>
    </w:p>
    <w:p>
      <w:pPr>
        <w:spacing w:before="87" w:line="272" w:lineRule="auto"/>
        <w:ind w:left="4" w:right="82" w:firstLine="486"/>
        <w:rPr>
          <w:rFonts w:ascii="方正书宋简体" w:hAnsi="方正书宋简体" w:eastAsia="方正书宋简体" w:cs="方正书宋简体"/>
          <w:sz w:val="24"/>
          <w:szCs w:val="24"/>
        </w:rPr>
      </w:pPr>
      <w:r>
        <w:rPr>
          <w:rFonts w:ascii="Microsoft JhengHei" w:hAnsi="Microsoft JhengHei" w:eastAsia="Microsoft JhengHei" w:cs="Microsoft JhengHei"/>
          <w:spacing w:val="-21"/>
          <w:sz w:val="24"/>
          <w:szCs w:val="24"/>
        </w:rPr>
        <w:t>第二条</w:t>
      </w:r>
      <w:r>
        <w:rPr>
          <w:rFonts w:ascii="Microsoft JhengHei" w:hAnsi="Microsoft JhengHei" w:eastAsia="Microsoft JhengHei" w:cs="Microsoft JhengHei"/>
          <w:spacing w:val="3"/>
          <w:sz w:val="24"/>
          <w:szCs w:val="24"/>
        </w:rPr>
        <w:t xml:space="preserve">    </w:t>
      </w:r>
      <w:r>
        <w:rPr>
          <w:rFonts w:ascii="方正书宋简体" w:hAnsi="方正书宋简体" w:eastAsia="方正书宋简体" w:cs="方正书宋简体"/>
          <w:spacing w:val="-21"/>
          <w:sz w:val="24"/>
          <w:szCs w:val="24"/>
        </w:rPr>
        <w:t>评选对象：</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21"/>
          <w:sz w:val="24"/>
          <w:szCs w:val="24"/>
        </w:rPr>
        <w:t>从事全日制本科、专科及成人高等教育教学工作的教师、教学管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理人员、教学辅助人员均可参加评奖。可以是个人，也可以是取得教学成果的集体。</w:t>
      </w:r>
    </w:p>
    <w:p>
      <w:pPr>
        <w:spacing w:before="13" w:line="195" w:lineRule="auto"/>
        <w:ind w:firstLine="491"/>
        <w:rPr>
          <w:rFonts w:ascii="方正书宋简体" w:hAnsi="方正书宋简体" w:eastAsia="方正书宋简体" w:cs="方正书宋简体"/>
          <w:sz w:val="24"/>
          <w:szCs w:val="24"/>
        </w:rPr>
      </w:pPr>
      <w:r>
        <w:rPr>
          <w:rFonts w:ascii="Microsoft JhengHei" w:hAnsi="Microsoft JhengHei" w:eastAsia="Microsoft JhengHei" w:cs="Microsoft JhengHei"/>
          <w:spacing w:val="-5"/>
          <w:sz w:val="24"/>
          <w:szCs w:val="24"/>
        </w:rPr>
        <w:t>第三条</w:t>
      </w:r>
      <w:r>
        <w:rPr>
          <w:rFonts w:ascii="Microsoft JhengHei" w:hAnsi="Microsoft JhengHei" w:eastAsia="Microsoft JhengHei" w:cs="Microsoft JhengHei"/>
          <w:spacing w:val="1"/>
          <w:sz w:val="24"/>
          <w:szCs w:val="24"/>
        </w:rPr>
        <w:t xml:space="preserve">    </w:t>
      </w:r>
      <w:r>
        <w:rPr>
          <w:rFonts w:ascii="方正书宋简体" w:hAnsi="方正书宋简体" w:eastAsia="方正书宋简体" w:cs="方正书宋简体"/>
          <w:spacing w:val="-5"/>
          <w:sz w:val="24"/>
          <w:szCs w:val="24"/>
        </w:rPr>
        <w:t>评选内容与范围：</w:t>
      </w:r>
    </w:p>
    <w:p>
      <w:pPr>
        <w:spacing w:before="115" w:line="247" w:lineRule="auto"/>
        <w:ind w:left="3" w:right="95"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（一）</w:t>
      </w:r>
      <w:r>
        <w:rPr>
          <w:rFonts w:ascii="方正书宋简体" w:hAnsi="方正书宋简体" w:eastAsia="方正书宋简体" w:cs="方正书宋简体"/>
          <w:spacing w:val="58"/>
          <w:w w:val="101"/>
          <w:sz w:val="24"/>
          <w:szCs w:val="24"/>
        </w:rPr>
        <w:t xml:space="preserve"> </w:t>
      </w:r>
      <w:r>
        <w:rPr>
          <w:rFonts w:ascii="方正书宋简体" w:hAnsi="方正书宋简体" w:eastAsia="方正书宋简体" w:cs="方正书宋简体"/>
          <w:spacing w:val="-13"/>
          <w:sz w:val="24"/>
          <w:szCs w:val="24"/>
        </w:rPr>
        <w:t>加强和改革马列主义理论课、思想品德课教学，</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3"/>
          <w:sz w:val="24"/>
          <w:szCs w:val="24"/>
        </w:rPr>
        <w:t>坚持教书育人，</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3"/>
          <w:sz w:val="24"/>
          <w:szCs w:val="24"/>
        </w:rPr>
        <w:t>促进学生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树立正确的政治方向和人生观方面的成果；</w:t>
      </w:r>
    </w:p>
    <w:p>
      <w:pPr>
        <w:spacing w:before="161" w:line="249" w:lineRule="auto"/>
        <w:ind w:left="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（二）根据教育目的、对象和环境，</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改革、更新教学思想、教学内容与课程体系、</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教学方法与手段、教学制度，提高教学艺术和质量方面的成果；</w:t>
      </w:r>
    </w:p>
    <w:p>
      <w:pPr>
        <w:spacing w:before="161" w:line="305" w:lineRule="auto"/>
        <w:ind w:right="104"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（三）在专业（学科）、课程、师资队伍、实验、实习基地、教材等教学基本建</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设以及坚持教学、科研、生产三结合方面的成果；</w:t>
      </w:r>
    </w:p>
    <w:p>
      <w:pPr>
        <w:spacing w:before="6" w:line="304" w:lineRule="auto"/>
        <w:ind w:left="6" w:right="96"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（四）</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调整改造专业、编制教学文件、组织教学工作，</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进行教学研究、推动教学</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改革、开展教学评估、加强学风建设、实现科学管理等方面的成果。</w:t>
      </w:r>
    </w:p>
    <w:p>
      <w:pPr>
        <w:spacing w:before="4" w:line="199"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（五）创新创业教育实践方面的成果。</w:t>
      </w:r>
    </w:p>
    <w:p>
      <w:pPr>
        <w:spacing w:before="140" w:line="180" w:lineRule="auto"/>
        <w:ind w:firstLine="305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第三章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评选等级与条件</w:t>
      </w:r>
    </w:p>
    <w:p>
      <w:pPr>
        <w:spacing w:before="124" w:line="252" w:lineRule="auto"/>
        <w:ind w:left="491" w:right="141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第四条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优秀教学成果奖设三个等级：特等奖、一等奖、二等奖。</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3"/>
          <w:sz w:val="24"/>
          <w:szCs w:val="24"/>
        </w:rPr>
        <w:t>第五条</w:t>
      </w:r>
      <w:r>
        <w:rPr>
          <w:rFonts w:ascii="Microsoft JhengHei" w:hAnsi="Microsoft JhengHei" w:eastAsia="Microsoft JhengHei" w:cs="Microsoft JhengHei"/>
          <w:spacing w:val="6"/>
          <w:w w:val="101"/>
          <w:sz w:val="24"/>
          <w:szCs w:val="24"/>
        </w:rPr>
        <w:t xml:space="preserve">    </w:t>
      </w:r>
      <w:r>
        <w:rPr>
          <w:rFonts w:ascii="方正书宋简体" w:hAnsi="方正书宋简体" w:eastAsia="方正书宋简体" w:cs="方正书宋简体"/>
          <w:spacing w:val="-3"/>
          <w:sz w:val="24"/>
          <w:szCs w:val="24"/>
        </w:rPr>
        <w:t>凡申报学校优秀教学成果奖的成果必须具备以下条件：</w:t>
      </w:r>
    </w:p>
    <w:p>
      <w:pPr>
        <w:spacing w:before="9" w:line="268" w:lineRule="auto"/>
        <w:ind w:right="81"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（一）</w:t>
      </w:r>
      <w:r>
        <w:rPr>
          <w:rFonts w:ascii="方正书宋简体" w:hAnsi="方正书宋简体" w:eastAsia="方正书宋简体" w:cs="方正书宋简体"/>
          <w:spacing w:val="48"/>
          <w:sz w:val="24"/>
          <w:szCs w:val="24"/>
        </w:rPr>
        <w:t xml:space="preserve"> </w:t>
      </w:r>
      <w:r>
        <w:rPr>
          <w:rFonts w:ascii="方正书宋简体" w:hAnsi="方正书宋简体" w:eastAsia="方正书宋简体" w:cs="方正书宋简体"/>
          <w:spacing w:val="-16"/>
          <w:sz w:val="24"/>
          <w:szCs w:val="24"/>
        </w:rPr>
        <w:t>申报优秀成果奖项目的个人或集体的主要成员必须拥护共产党的领导，热爱社</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会主义祖国，具有坚定正确的政治方向，忠诚党的教育事业，遵守职业道德，为人师表。</w:t>
      </w:r>
      <w:r>
        <w:rPr>
          <w:rFonts w:ascii="方正书宋简体" w:hAnsi="方正书宋简体" w:eastAsia="方正书宋简体" w:cs="方正书宋简体"/>
          <w:spacing w:val="23"/>
          <w:sz w:val="24"/>
          <w:szCs w:val="24"/>
        </w:rPr>
        <w:t xml:space="preserve"> </w:t>
      </w:r>
      <w:r>
        <w:rPr>
          <w:rFonts w:ascii="方正书宋简体" w:hAnsi="方正书宋简体" w:eastAsia="方正书宋简体" w:cs="方正书宋简体"/>
          <w:spacing w:val="-17"/>
          <w:sz w:val="24"/>
          <w:szCs w:val="24"/>
        </w:rPr>
        <w:t>集体成果的成员系指在集体完成的项目中做出主要贡献的成员，一般不超过五人；</w:t>
      </w:r>
    </w:p>
    <w:p>
      <w:pPr>
        <w:spacing w:before="164" w:line="248" w:lineRule="auto"/>
        <w:ind w:left="6" w:right="89"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（二）教育思想正确，符合社会主义办学方向和教育规律，符合高等教育发展、</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改革、提高方向，对贯彻落实党的教育方针，提高教育质量意义重大；</w:t>
      </w:r>
    </w:p>
    <w:p>
      <w:pPr>
        <w:spacing w:before="160"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（三）在继承已有经验（成果）的基础上有创新突破，具有较高水平；</w:t>
      </w:r>
    </w:p>
    <w:p>
      <w:pPr>
        <w:spacing w:before="162"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（四）经过两年以上实践检验，成果的社会效益、经济效益等实际效果较好；</w:t>
      </w:r>
    </w:p>
    <w:p>
      <w:pPr>
        <w:spacing w:before="217" w:line="180" w:lineRule="auto"/>
        <w:ind w:firstLine="4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331</w:t>
      </w:r>
    </w:p>
    <w:p>
      <w:pPr>
        <w:sectPr>
          <w:footerReference r:id="rId335" w:type="default"/>
          <w:pgSz w:w="11905" w:h="16840"/>
          <w:pgMar w:top="1431" w:right="1490" w:bottom="400" w:left="1588" w:header="0" w:footer="0" w:gutter="0"/>
          <w:cols w:space="720" w:num="1"/>
        </w:sectPr>
      </w:pPr>
    </w:p>
    <w:p>
      <w:pPr>
        <w:spacing w:before="415" w:line="248"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（五）在一定范围内起示范作用，</w:t>
      </w:r>
      <w:r>
        <w:rPr>
          <w:rFonts w:ascii="方正书宋简体" w:hAnsi="方正书宋简体" w:eastAsia="方正书宋简体" w:cs="方正书宋简体"/>
          <w:spacing w:val="12"/>
          <w:sz w:val="24"/>
          <w:szCs w:val="24"/>
        </w:rPr>
        <w:t xml:space="preserve">  </w:t>
      </w:r>
      <w:r>
        <w:rPr>
          <w:rFonts w:ascii="方正书宋简体" w:hAnsi="方正书宋简体" w:eastAsia="方正书宋简体" w:cs="方正书宋简体"/>
          <w:spacing w:val="-9"/>
          <w:sz w:val="24"/>
          <w:szCs w:val="24"/>
        </w:rPr>
        <w:t>其具体做法在实践中可重复、可移植、易操作，</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具有推广价值；</w:t>
      </w:r>
    </w:p>
    <w:p>
      <w:pPr>
        <w:spacing w:before="164" w:line="248" w:lineRule="auto"/>
        <w:ind w:left="5" w:right="91"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（六）</w:t>
      </w:r>
      <w:r>
        <w:rPr>
          <w:rFonts w:ascii="方正书宋简体" w:hAnsi="方正书宋简体" w:eastAsia="方正书宋简体" w:cs="方正书宋简体"/>
          <w:spacing w:val="48"/>
          <w:w w:val="101"/>
          <w:sz w:val="24"/>
          <w:szCs w:val="24"/>
        </w:rPr>
        <w:t xml:space="preserve"> </w:t>
      </w:r>
      <w:r>
        <w:rPr>
          <w:rFonts w:ascii="方正书宋简体" w:hAnsi="方正书宋简体" w:eastAsia="方正书宋简体" w:cs="方正书宋简体"/>
          <w:spacing w:val="-4"/>
          <w:sz w:val="24"/>
          <w:szCs w:val="24"/>
        </w:rPr>
        <w:t>有反应本成果较高水平的科研总结或论文（论文须在省级以上主管部门批</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sz w:val="24"/>
          <w:szCs w:val="24"/>
        </w:rPr>
        <w:t>准的刊物公开发表</w:t>
      </w:r>
      <w:r>
        <w:rPr>
          <w:rFonts w:ascii="方正书宋简体" w:hAnsi="方正书宋简体" w:eastAsia="方正书宋简体" w:cs="方正书宋简体"/>
          <w:spacing w:val="-4"/>
          <w:sz w:val="24"/>
          <w:szCs w:val="24"/>
        </w:rPr>
        <w:t>）；</w:t>
      </w:r>
    </w:p>
    <w:p>
      <w:pPr>
        <w:spacing w:before="168" w:line="257" w:lineRule="auto"/>
        <w:ind w:right="80"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（七）</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教师在连续二年内累计教学时数达</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9"/>
          <w:sz w:val="24"/>
          <w:szCs w:val="24"/>
        </w:rPr>
        <w:t>250</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9"/>
          <w:sz w:val="24"/>
          <w:szCs w:val="24"/>
        </w:rPr>
        <w:t>学时以上，</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9"/>
          <w:sz w:val="24"/>
          <w:szCs w:val="24"/>
        </w:rPr>
        <w:t>各学院正副院长、总支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正副书记达</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2"/>
          <w:sz w:val="24"/>
          <w:szCs w:val="24"/>
        </w:rPr>
        <w:t>120</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学时以上，教研室正副主任达</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2"/>
          <w:sz w:val="24"/>
          <w:szCs w:val="24"/>
        </w:rPr>
        <w:t>150</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2"/>
          <w:sz w:val="24"/>
          <w:szCs w:val="24"/>
        </w:rPr>
        <w:t>学时以上。教辅人员和教学管理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人员必须在相应岗位上连续工作二年以上。</w:t>
      </w:r>
    </w:p>
    <w:p>
      <w:pPr>
        <w:spacing w:before="202" w:line="235" w:lineRule="auto"/>
        <w:ind w:left="1" w:right="64" w:firstLine="448"/>
        <w:rPr>
          <w:rFonts w:ascii="方正书宋简体" w:hAnsi="方正书宋简体" w:eastAsia="方正书宋简体" w:cs="方正书宋简体"/>
          <w:sz w:val="24"/>
          <w:szCs w:val="24"/>
        </w:rPr>
      </w:pPr>
      <w:r>
        <w:rPr>
          <w:rFonts w:ascii="方正书宋简体" w:hAnsi="方正书宋简体" w:eastAsia="方正书宋简体" w:cs="方正书宋简体"/>
          <w:spacing w:val="-20"/>
          <w:sz w:val="24"/>
          <w:szCs w:val="24"/>
        </w:rPr>
        <w:t>在相同条件下，</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0"/>
          <w:sz w:val="24"/>
          <w:szCs w:val="24"/>
        </w:rPr>
        <w:t>对长期从事公共课、基础课教学工作的教师取得的成果以及在教学第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7"/>
          <w:sz w:val="24"/>
          <w:szCs w:val="24"/>
        </w:rPr>
        <w:t>一线长期从事本、专科教育的中青年教师优先考虑。</w:t>
      </w:r>
    </w:p>
    <w:p>
      <w:pPr>
        <w:spacing w:before="196" w:line="297" w:lineRule="auto"/>
        <w:ind w:left="1" w:right="8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（八）</w:t>
      </w:r>
      <w:r>
        <w:rPr>
          <w:rFonts w:ascii="方正书宋简体" w:hAnsi="方正书宋简体" w:eastAsia="方正书宋简体" w:cs="方正书宋简体"/>
          <w:spacing w:val="74"/>
          <w:sz w:val="24"/>
          <w:szCs w:val="24"/>
        </w:rPr>
        <w:t xml:space="preserve"> </w:t>
      </w:r>
      <w:r>
        <w:rPr>
          <w:rFonts w:ascii="方正书宋简体" w:hAnsi="方正书宋简体" w:eastAsia="方正书宋简体" w:cs="方正书宋简体"/>
          <w:spacing w:val="-9"/>
          <w:sz w:val="24"/>
          <w:szCs w:val="24"/>
        </w:rPr>
        <w:t>具备充分证明证实成果的支撑材料，</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9"/>
          <w:sz w:val="24"/>
          <w:szCs w:val="24"/>
        </w:rPr>
        <w:t>包括《吉首大学优秀教学成果奖申报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4"/>
          <w:sz w:val="24"/>
          <w:szCs w:val="24"/>
        </w:rPr>
        <w:t>书》，</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4"/>
          <w:sz w:val="24"/>
          <w:szCs w:val="24"/>
        </w:rPr>
        <w:t>1000</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4"/>
          <w:sz w:val="24"/>
          <w:szCs w:val="24"/>
        </w:rPr>
        <w:t>字以内的成果简介，</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4"/>
          <w:sz w:val="24"/>
          <w:szCs w:val="24"/>
        </w:rPr>
        <w:t>证实成果的工作总结、论文、教材、专著、图片（录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5"/>
          <w:sz w:val="24"/>
          <w:szCs w:val="24"/>
        </w:rPr>
        <w:t>象）、证书、证明等。</w:t>
      </w:r>
    </w:p>
    <w:p>
      <w:pPr>
        <w:spacing w:before="30" w:line="185" w:lineRule="auto"/>
        <w:ind w:firstLine="32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第四章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3"/>
          <w:sz w:val="24"/>
          <w:szCs w:val="24"/>
        </w:rPr>
        <w:t>评选办法和程序</w:t>
      </w:r>
    </w:p>
    <w:p>
      <w:pPr>
        <w:spacing w:before="117" w:line="272" w:lineRule="auto"/>
        <w:ind w:left="2" w:right="80" w:firstLine="485"/>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第六条</w:t>
      </w:r>
      <w:r>
        <w:rPr>
          <w:rFonts w:ascii="Microsoft JhengHei" w:hAnsi="Microsoft JhengHei" w:eastAsia="Microsoft JhengHei" w:cs="Microsoft JhengHei"/>
          <w:spacing w:val="10"/>
          <w:w w:val="101"/>
          <w:sz w:val="24"/>
          <w:szCs w:val="24"/>
        </w:rPr>
        <w:t xml:space="preserve">    </w:t>
      </w:r>
      <w:r>
        <w:rPr>
          <w:rFonts w:ascii="方正书宋简体" w:hAnsi="方正书宋简体" w:eastAsia="方正书宋简体" w:cs="方正书宋简体"/>
          <w:spacing w:val="1"/>
          <w:sz w:val="24"/>
          <w:szCs w:val="24"/>
        </w:rPr>
        <w:t>优秀教学成果奖每两年评选一次，并进行表彰和奖励，同时推荐参评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省级及以上优秀教学成果奖。</w:t>
      </w:r>
    </w:p>
    <w:p>
      <w:pPr>
        <w:spacing w:before="12" w:line="195"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第七条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7"/>
          <w:sz w:val="24"/>
          <w:szCs w:val="24"/>
        </w:rPr>
        <w:t>评选程序：</w:t>
      </w:r>
    </w:p>
    <w:p>
      <w:pPr>
        <w:spacing w:before="108"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（一）学校教务处发布优秀教学成果奖评选的相关文件；</w:t>
      </w:r>
    </w:p>
    <w:p>
      <w:pPr>
        <w:spacing w:before="160"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2"/>
          <w:sz w:val="24"/>
          <w:szCs w:val="24"/>
        </w:rPr>
        <w:t>（二）申报者本人自荐，</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2"/>
          <w:sz w:val="24"/>
          <w:szCs w:val="24"/>
        </w:rPr>
        <w:t>按要求填写《吉首大学优秀教学成果奖申报书》，提供成果；</w:t>
      </w:r>
    </w:p>
    <w:p>
      <w:pPr>
        <w:spacing w:before="162" w:line="193"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（三）学院或相关单位核实成果，签署推荐意见，统一上报学校教务处；</w:t>
      </w:r>
    </w:p>
    <w:p>
      <w:pPr>
        <w:spacing w:before="163" w:line="306" w:lineRule="auto"/>
        <w:ind w:left="5" w:right="77" w:firstLine="340"/>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（四）</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13"/>
          <w:sz w:val="24"/>
          <w:szCs w:val="24"/>
        </w:rPr>
        <w:t>学校教务处组织专家进行评审，</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3"/>
          <w:sz w:val="24"/>
          <w:szCs w:val="24"/>
        </w:rPr>
        <w:t>填写评审意见，</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3"/>
          <w:sz w:val="24"/>
          <w:szCs w:val="24"/>
        </w:rPr>
        <w:t>评定学校优秀教学成果获</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奖级别，确定省级优秀教学成果推荐名单。</w:t>
      </w:r>
    </w:p>
    <w:p>
      <w:pPr>
        <w:spacing w:before="2" w:line="219" w:lineRule="auto"/>
        <w:ind w:left="3651" w:right="317" w:hanging="3306"/>
        <w:rPr>
          <w:rFonts w:ascii="Microsoft JhengHei" w:hAnsi="Microsoft JhengHei" w:eastAsia="Microsoft JhengHei" w:cs="Microsoft JhengHei"/>
          <w:sz w:val="24"/>
          <w:szCs w:val="24"/>
        </w:rPr>
      </w:pPr>
      <w:r>
        <w:rPr>
          <w:rFonts w:ascii="方正书宋简体" w:hAnsi="方正书宋简体" w:eastAsia="方正书宋简体" w:cs="方正书宋简体"/>
          <w:spacing w:val="-1"/>
          <w:sz w:val="24"/>
          <w:szCs w:val="24"/>
        </w:rPr>
        <w:t>（五）学校教务处公示评审结果无异议后，报主管副校长批准后，行文公布。</w:t>
      </w:r>
      <w:r>
        <w:rPr>
          <w:rFonts w:ascii="方正书宋简体" w:hAnsi="方正书宋简体" w:eastAsia="方正书宋简体" w:cs="方正书宋简体"/>
          <w:spacing w:val="16"/>
          <w:sz w:val="24"/>
          <w:szCs w:val="24"/>
        </w:rPr>
        <w:t xml:space="preserve"> </w:t>
      </w:r>
      <w:r>
        <w:rPr>
          <w:rFonts w:ascii="Microsoft JhengHei" w:hAnsi="Microsoft JhengHei" w:eastAsia="Microsoft JhengHei" w:cs="Microsoft JhengHei"/>
          <w:spacing w:val="-4"/>
          <w:sz w:val="24"/>
          <w:szCs w:val="24"/>
        </w:rPr>
        <w:t>第五章</w:t>
      </w:r>
      <w:r>
        <w:rPr>
          <w:rFonts w:ascii="Microsoft JhengHei" w:hAnsi="Microsoft JhengHei" w:eastAsia="Microsoft JhengHei" w:cs="Microsoft JhengHei"/>
          <w:spacing w:val="4"/>
          <w:w w:val="101"/>
          <w:sz w:val="24"/>
          <w:szCs w:val="24"/>
        </w:rPr>
        <w:t xml:space="preserve">    </w:t>
      </w:r>
      <w:r>
        <w:rPr>
          <w:rFonts w:ascii="Microsoft JhengHei" w:hAnsi="Microsoft JhengHei" w:eastAsia="Microsoft JhengHei" w:cs="Microsoft JhengHei"/>
          <w:spacing w:val="-4"/>
          <w:sz w:val="24"/>
          <w:szCs w:val="24"/>
        </w:rPr>
        <w:t>奖励办法</w:t>
      </w:r>
    </w:p>
    <w:p>
      <w:pPr>
        <w:spacing w:before="165" w:line="273" w:lineRule="auto"/>
        <w:ind w:left="5" w:right="99" w:firstLine="482"/>
        <w:rPr>
          <w:rFonts w:ascii="方正书宋简体" w:hAnsi="方正书宋简体" w:eastAsia="方正书宋简体" w:cs="方正书宋简体"/>
          <w:sz w:val="24"/>
          <w:szCs w:val="24"/>
        </w:rPr>
      </w:pPr>
      <w:r>
        <w:rPr>
          <w:rFonts w:ascii="Microsoft JhengHei" w:hAnsi="Microsoft JhengHei" w:eastAsia="Microsoft JhengHei" w:cs="Microsoft JhengHei"/>
          <w:spacing w:val="1"/>
          <w:sz w:val="24"/>
          <w:szCs w:val="24"/>
        </w:rPr>
        <w:t>第八条</w:t>
      </w:r>
      <w:r>
        <w:rPr>
          <w:rFonts w:ascii="Microsoft JhengHei" w:hAnsi="Microsoft JhengHei" w:eastAsia="Microsoft JhengHei" w:cs="Microsoft JhengHei"/>
          <w:spacing w:val="6"/>
          <w:sz w:val="24"/>
          <w:szCs w:val="24"/>
        </w:rPr>
        <w:t xml:space="preserve">    </w:t>
      </w:r>
      <w:r>
        <w:rPr>
          <w:rFonts w:ascii="方正书宋简体" w:hAnsi="方正书宋简体" w:eastAsia="方正书宋简体" w:cs="方正书宋简体"/>
          <w:spacing w:val="1"/>
          <w:sz w:val="24"/>
          <w:szCs w:val="24"/>
        </w:rPr>
        <w:t>获得“吉首大学优秀教学成果奖”者，学校颁发获奖证书，给予适当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奖金奖励，具体按《吉首大学教学奖励办法》执行。</w:t>
      </w:r>
    </w:p>
    <w:p>
      <w:pPr>
        <w:spacing w:before="11" w:line="197"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第九条</w:t>
      </w:r>
      <w:r>
        <w:rPr>
          <w:rFonts w:ascii="Microsoft JhengHei" w:hAnsi="Microsoft JhengHei" w:eastAsia="Microsoft JhengHei" w:cs="Microsoft JhengHei"/>
          <w:spacing w:val="2"/>
          <w:sz w:val="24"/>
          <w:szCs w:val="24"/>
        </w:rPr>
        <w:t xml:space="preserve">    </w:t>
      </w:r>
      <w:r>
        <w:rPr>
          <w:rFonts w:ascii="方正书宋简体" w:hAnsi="方正书宋简体" w:eastAsia="方正书宋简体" w:cs="方正书宋简体"/>
          <w:spacing w:val="-2"/>
          <w:sz w:val="24"/>
          <w:szCs w:val="24"/>
        </w:rPr>
        <w:t>奖金归获奖者所有，任何个人或单位不得截留。</w:t>
      </w:r>
    </w:p>
    <w:p>
      <w:pPr>
        <w:spacing w:before="94" w:line="249" w:lineRule="auto"/>
        <w:ind w:left="3892" w:right="437" w:hanging="340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第十条</w:t>
      </w:r>
      <w:r>
        <w:rPr>
          <w:rFonts w:ascii="Microsoft JhengHei" w:hAnsi="Microsoft JhengHei" w:eastAsia="Microsoft JhengHei" w:cs="Microsoft JhengHei"/>
          <w:spacing w:val="5"/>
          <w:w w:val="101"/>
          <w:sz w:val="24"/>
          <w:szCs w:val="24"/>
        </w:rPr>
        <w:t xml:space="preserve">    </w:t>
      </w:r>
      <w:r>
        <w:rPr>
          <w:rFonts w:ascii="方正书宋简体" w:hAnsi="方正书宋简体" w:eastAsia="方正书宋简体" w:cs="方正书宋简体"/>
          <w:spacing w:val="-2"/>
          <w:sz w:val="24"/>
          <w:szCs w:val="24"/>
        </w:rPr>
        <w:t>获奖材料归入获奖人的档案，作为晋升、提职、聘任的重要参考。</w:t>
      </w:r>
      <w:r>
        <w:rPr>
          <w:rFonts w:ascii="方正书宋简体" w:hAnsi="方正书宋简体" w:eastAsia="方正书宋简体" w:cs="方正书宋简体"/>
          <w:spacing w:val="1"/>
          <w:sz w:val="24"/>
          <w:szCs w:val="24"/>
        </w:rPr>
        <w:t xml:space="preserve"> </w:t>
      </w:r>
      <w:r>
        <w:rPr>
          <w:rFonts w:ascii="Microsoft JhengHei" w:hAnsi="Microsoft JhengHei" w:eastAsia="Microsoft JhengHei" w:cs="Microsoft JhengHei"/>
          <w:spacing w:val="-5"/>
          <w:sz w:val="24"/>
          <w:szCs w:val="24"/>
        </w:rPr>
        <w:t>第六章</w:t>
      </w:r>
      <w:r>
        <w:rPr>
          <w:rFonts w:ascii="Microsoft JhengHei" w:hAnsi="Microsoft JhengHei" w:eastAsia="Microsoft JhengHei" w:cs="Microsoft JhengHei"/>
          <w:spacing w:val="5"/>
          <w:sz w:val="24"/>
          <w:szCs w:val="24"/>
        </w:rPr>
        <w:t xml:space="preserve">    </w:t>
      </w:r>
      <w:r>
        <w:rPr>
          <w:rFonts w:ascii="Microsoft JhengHei" w:hAnsi="Microsoft JhengHei" w:eastAsia="Microsoft JhengHei" w:cs="Microsoft JhengHei"/>
          <w:spacing w:val="-5"/>
          <w:sz w:val="24"/>
          <w:szCs w:val="24"/>
        </w:rPr>
        <w:t>其他</w:t>
      </w:r>
    </w:p>
    <w:p>
      <w:pPr>
        <w:spacing w:before="11" w:line="273" w:lineRule="auto"/>
        <w:ind w:right="78"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7"/>
          <w:sz w:val="24"/>
          <w:szCs w:val="24"/>
        </w:rPr>
        <w:t>第十一条</w:t>
      </w:r>
      <w:r>
        <w:rPr>
          <w:rFonts w:ascii="Microsoft JhengHei" w:hAnsi="Microsoft JhengHei" w:eastAsia="Microsoft JhengHei" w:cs="Microsoft JhengHei"/>
          <w:spacing w:val="7"/>
          <w:sz w:val="24"/>
          <w:szCs w:val="24"/>
        </w:rPr>
        <w:t xml:space="preserve">    </w:t>
      </w:r>
      <w:r>
        <w:rPr>
          <w:rFonts w:ascii="方正书宋简体" w:hAnsi="方正书宋简体" w:eastAsia="方正书宋简体" w:cs="方正书宋简体"/>
          <w:spacing w:val="-7"/>
          <w:sz w:val="24"/>
          <w:szCs w:val="24"/>
        </w:rPr>
        <w:t>本办法自发布之日起实施，</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7"/>
          <w:sz w:val="24"/>
          <w:szCs w:val="24"/>
        </w:rPr>
        <w:t>原</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7"/>
          <w:sz w:val="24"/>
          <w:szCs w:val="24"/>
        </w:rPr>
        <w:t>2005</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年制订的《吉首大学优秀教学成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3"/>
          <w:sz w:val="24"/>
          <w:szCs w:val="24"/>
        </w:rPr>
        <w:t>果奖评选实施办法》</w:t>
      </w:r>
      <w:r>
        <w:rPr>
          <w:rFonts w:ascii="方正书宋简体" w:hAnsi="方正书宋简体" w:eastAsia="方正书宋简体" w:cs="方正书宋简体"/>
          <w:spacing w:val="38"/>
          <w:sz w:val="24"/>
          <w:szCs w:val="24"/>
        </w:rPr>
        <w:t xml:space="preserve"> </w:t>
      </w:r>
      <w:r>
        <w:rPr>
          <w:rFonts w:ascii="方正书宋简体" w:hAnsi="方正书宋简体" w:eastAsia="方正书宋简体" w:cs="方正书宋简体"/>
          <w:spacing w:val="-13"/>
          <w:sz w:val="24"/>
          <w:szCs w:val="24"/>
        </w:rPr>
        <w:t>（试行）同时废止。</w:t>
      </w:r>
    </w:p>
    <w:p>
      <w:pPr>
        <w:spacing w:before="12" w:line="197" w:lineRule="auto"/>
        <w:ind w:firstLine="488"/>
        <w:rPr>
          <w:rFonts w:ascii="方正书宋简体" w:hAnsi="方正书宋简体" w:eastAsia="方正书宋简体" w:cs="方正书宋简体"/>
          <w:sz w:val="24"/>
          <w:szCs w:val="24"/>
        </w:rPr>
      </w:pPr>
      <w:r>
        <w:rPr>
          <w:rFonts w:ascii="Microsoft JhengHei" w:hAnsi="Microsoft JhengHei" w:eastAsia="Microsoft JhengHei" w:cs="Microsoft JhengHei"/>
          <w:spacing w:val="-3"/>
          <w:sz w:val="24"/>
          <w:szCs w:val="24"/>
        </w:rPr>
        <w:t>第十二条</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3"/>
          <w:sz w:val="24"/>
          <w:szCs w:val="24"/>
        </w:rPr>
        <w:t>本办法由学校教务处负责解释。</w:t>
      </w:r>
    </w:p>
    <w:p>
      <w:pPr>
        <w:spacing w:before="161"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332</w:t>
      </w:r>
    </w:p>
    <w:p>
      <w:pPr>
        <w:sectPr>
          <w:footerReference r:id="rId336" w:type="default"/>
          <w:pgSz w:w="11905" w:h="16840"/>
          <w:pgMar w:top="1431" w:right="1507" w:bottom="400" w:left="1591" w:header="0" w:footer="0" w:gutter="0"/>
          <w:cols w:space="720" w:num="1"/>
        </w:sectPr>
      </w:pPr>
    </w:p>
    <w:p>
      <w:pPr>
        <w:spacing w:before="349" w:line="180" w:lineRule="auto"/>
        <w:ind w:firstLine="101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吉首大学优秀本科课堂教学质量奖评选暂行办法</w:t>
      </w:r>
    </w:p>
    <w:p>
      <w:pPr>
        <w:spacing w:before="110" w:line="184" w:lineRule="auto"/>
        <w:ind w:firstLine="3133"/>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12</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81" w:lineRule="auto"/>
        <w:rPr>
          <w:rFonts w:ascii="Malgun Gothic"/>
          <w:sz w:val="21"/>
        </w:rPr>
      </w:pPr>
    </w:p>
    <w:p>
      <w:pPr>
        <w:spacing w:before="86" w:line="265" w:lineRule="auto"/>
        <w:ind w:left="1" w:right="6"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为进一步强化教学中心地位，完善教师教学考核机制，发挥教育教学评价的激</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励与导向作用，充分调动广大教师的教学积极性、创造性，促进教师积极开展教育</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教学改革，切实提高本科教学水平和质量，特制定本办法。</w:t>
      </w:r>
    </w:p>
    <w:p>
      <w:pPr>
        <w:spacing w:before="20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一、评选时间及范围</w:t>
      </w:r>
    </w:p>
    <w:p>
      <w:pPr>
        <w:spacing w:before="153" w:line="18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1、评选时间：优秀本科课堂教学质量奖每年评选一次。</w:t>
      </w:r>
    </w:p>
    <w:p>
      <w:pPr>
        <w:spacing w:before="192" w:line="239" w:lineRule="auto"/>
        <w:ind w:left="7" w:right="16"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2、评选范围：</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11"/>
          <w:sz w:val="24"/>
          <w:szCs w:val="24"/>
        </w:rPr>
        <w:t>凡在评选学年内在编并在岗、承担校内本科教育课堂教学任务（含</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实验教学</w:t>
      </w:r>
      <w:r>
        <w:rPr>
          <w:rFonts w:ascii="方正书宋简体" w:hAnsi="方正书宋简体" w:eastAsia="方正书宋简体" w:cs="方正书宋简体"/>
          <w:spacing w:val="10"/>
          <w:sz w:val="24"/>
          <w:szCs w:val="24"/>
        </w:rPr>
        <w:t>），</w:t>
      </w:r>
      <w:r>
        <w:rPr>
          <w:rFonts w:ascii="方正书宋简体" w:hAnsi="方正书宋简体" w:eastAsia="方正书宋简体" w:cs="方正书宋简体"/>
          <w:spacing w:val="-2"/>
          <w:sz w:val="24"/>
          <w:szCs w:val="24"/>
        </w:rPr>
        <w:t>全年教学工作量饱满，教学效果优秀的教师均可申报。</w:t>
      </w:r>
    </w:p>
    <w:p>
      <w:pPr>
        <w:spacing w:before="204" w:line="180" w:lineRule="auto"/>
        <w:ind w:firstLine="493"/>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二、评选条件</w:t>
      </w:r>
    </w:p>
    <w:p>
      <w:pPr>
        <w:spacing w:before="147" w:line="193" w:lineRule="auto"/>
        <w:ind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（1）热爱教育事业，教风端正，责任心强，恪尽职守。</w:t>
      </w:r>
    </w:p>
    <w:p>
      <w:pPr>
        <w:spacing w:before="180" w:line="239" w:lineRule="auto"/>
        <w:ind w:left="12" w:right="8" w:firstLine="33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（2）课堂教学理念先进，教学水平高，教学方法好，教学效果好，能有效管理</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和调控课堂，教学水平与质量得到学生、同行和专家普遍好评。</w:t>
      </w:r>
    </w:p>
    <w:p>
      <w:pPr>
        <w:spacing w:before="213" w:line="316" w:lineRule="auto"/>
        <w:ind w:left="1" w:right="5"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（3）</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2"/>
          <w:sz w:val="24"/>
          <w:szCs w:val="24"/>
        </w:rPr>
        <w:t>长期工作在本科教学一线（3</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2"/>
          <w:sz w:val="24"/>
          <w:szCs w:val="24"/>
        </w:rPr>
        <w:t>年以上）</w:t>
      </w:r>
      <w:r>
        <w:rPr>
          <w:rFonts w:ascii="方正书宋简体" w:hAnsi="方正书宋简体" w:eastAsia="方正书宋简体" w:cs="方正书宋简体"/>
          <w:spacing w:val="54"/>
          <w:sz w:val="24"/>
          <w:szCs w:val="24"/>
        </w:rPr>
        <w:t xml:space="preserve"> </w:t>
      </w:r>
      <w:r>
        <w:rPr>
          <w:rFonts w:ascii="方正书宋简体" w:hAnsi="方正书宋简体" w:eastAsia="方正书宋简体" w:cs="方正书宋简体"/>
          <w:spacing w:val="-12"/>
          <w:sz w:val="24"/>
          <w:szCs w:val="24"/>
        </w:rPr>
        <w:t>的在岗教师，</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2"/>
          <w:sz w:val="24"/>
          <w:szCs w:val="24"/>
        </w:rPr>
        <w:t>至少主讲一门全日制本</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科课程，近</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3"/>
          <w:sz w:val="24"/>
          <w:szCs w:val="24"/>
        </w:rPr>
        <w:t>年每年任务课时不少于</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3"/>
          <w:sz w:val="24"/>
          <w:szCs w:val="24"/>
        </w:rPr>
        <w:t>160</w:t>
      </w:r>
      <w:r>
        <w:rPr>
          <w:rFonts w:ascii="方正书宋简体" w:hAnsi="方正书宋简体" w:eastAsia="方正书宋简体" w:cs="方正书宋简体"/>
          <w:spacing w:val="31"/>
          <w:w w:val="101"/>
          <w:sz w:val="24"/>
          <w:szCs w:val="24"/>
        </w:rPr>
        <w:t xml:space="preserve"> </w:t>
      </w:r>
      <w:r>
        <w:rPr>
          <w:rFonts w:ascii="方正书宋简体" w:hAnsi="方正书宋简体" w:eastAsia="方正书宋简体" w:cs="方正书宋简体"/>
          <w:spacing w:val="-3"/>
          <w:sz w:val="24"/>
          <w:szCs w:val="24"/>
        </w:rPr>
        <w:t>学时（含理论课和实验课</w:t>
      </w:r>
      <w:r>
        <w:rPr>
          <w:rFonts w:ascii="方正书宋简体" w:hAnsi="方正书宋简体" w:eastAsia="方正书宋简体" w:cs="方正书宋简体"/>
          <w:spacing w:val="15"/>
          <w:sz w:val="24"/>
          <w:szCs w:val="24"/>
        </w:rPr>
        <w:t>），</w:t>
      </w:r>
      <w:r>
        <w:rPr>
          <w:rFonts w:ascii="方正书宋简体" w:hAnsi="方正书宋简体" w:eastAsia="方正书宋简体" w:cs="方正书宋简体"/>
          <w:spacing w:val="-3"/>
          <w:sz w:val="24"/>
          <w:szCs w:val="24"/>
        </w:rPr>
        <w:t>学生评教、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同行专家评价优秀，参评年度内在教学督导督查中无不良记录且无教学事故。</w:t>
      </w:r>
    </w:p>
    <w:p>
      <w:pPr>
        <w:spacing w:before="1" w:line="239" w:lineRule="auto"/>
        <w:ind w:left="7" w:right="8" w:firstLine="34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（4）优先推荐大胆改革课程教学，</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3"/>
          <w:sz w:val="24"/>
          <w:szCs w:val="24"/>
        </w:rPr>
        <w:t>显现高校课堂特色，注重学生创新创业能力</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培养的任课教师。近</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年获得省级课堂教学竞赛一等奖者可直接参评。</w:t>
      </w:r>
    </w:p>
    <w:p>
      <w:pPr>
        <w:spacing w:before="205" w:line="180" w:lineRule="auto"/>
        <w:ind w:firstLine="496"/>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三、评选办法</w:t>
      </w:r>
    </w:p>
    <w:p>
      <w:pPr>
        <w:spacing w:before="150" w:line="315" w:lineRule="auto"/>
        <w:ind w:left="1"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优秀教学质量奖评选主要从教师教学规范、学生评教、同行和专家（含督导）</w:t>
      </w:r>
      <w:r>
        <w:rPr>
          <w:rFonts w:ascii="方正书宋简体" w:hAnsi="方正书宋简体" w:eastAsia="方正书宋简体" w:cs="方正书宋简体"/>
          <w:spacing w:val="24"/>
          <w:sz w:val="24"/>
          <w:szCs w:val="24"/>
        </w:rPr>
        <w:t xml:space="preserve"> </w:t>
      </w:r>
      <w:r>
        <w:rPr>
          <w:rFonts w:ascii="方正书宋简体" w:hAnsi="方正书宋简体" w:eastAsia="方正书宋简体" w:cs="方正书宋简体"/>
          <w:spacing w:val="-1"/>
          <w:sz w:val="24"/>
          <w:szCs w:val="24"/>
        </w:rPr>
        <w:t>评价和教学工作业绩等四个方面进行综合评价（以下分值供参考）。</w:t>
      </w:r>
    </w:p>
    <w:p>
      <w:pPr>
        <w:spacing w:before="5" w:line="200" w:lineRule="auto"/>
        <w:ind w:firstLine="50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1、课程教学规范（20</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2"/>
          <w:sz w:val="24"/>
          <w:szCs w:val="24"/>
        </w:rPr>
        <w:t>分）</w:t>
      </w:r>
    </w:p>
    <w:p>
      <w:pPr>
        <w:spacing w:before="162" w:line="315" w:lineRule="auto"/>
        <w:ind w:right="6" w:firstLine="51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由专家对教师课前准备、教学大纲、教案、课件及教学参考资料、教学方法、</w:t>
      </w:r>
      <w:r>
        <w:rPr>
          <w:rFonts w:ascii="方正书宋简体" w:hAnsi="方正书宋简体" w:eastAsia="方正书宋简体" w:cs="方正书宋简体"/>
          <w:spacing w:val="31"/>
          <w:sz w:val="24"/>
          <w:szCs w:val="24"/>
        </w:rPr>
        <w:t xml:space="preserve"> </w:t>
      </w:r>
      <w:r>
        <w:rPr>
          <w:rFonts w:ascii="方正书宋简体" w:hAnsi="方正书宋简体" w:eastAsia="方正书宋简体" w:cs="方正书宋简体"/>
          <w:spacing w:val="-2"/>
          <w:sz w:val="24"/>
          <w:szCs w:val="24"/>
        </w:rPr>
        <w:t>课堂管理、课程训练及批改、课程考核方式、</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2"/>
          <w:sz w:val="24"/>
          <w:szCs w:val="24"/>
        </w:rPr>
        <w:t>试题及试卷分析等全方位进行检查和</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评价。相关资料由申报教师提供。</w:t>
      </w:r>
    </w:p>
    <w:p>
      <w:pPr>
        <w:spacing w:before="5" w:line="200" w:lineRule="auto"/>
        <w:ind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2、学生评教（30</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
          <w:sz w:val="24"/>
          <w:szCs w:val="24"/>
        </w:rPr>
        <w:t>分）</w:t>
      </w:r>
    </w:p>
    <w:p>
      <w:pPr>
        <w:spacing w:before="158" w:line="316" w:lineRule="auto"/>
        <w:ind w:left="3" w:right="8"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近三年学生评教得分和学生的意见、建议等评语，由教学管理部门提供数据或</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组织学生评教。其中，评分</w:t>
      </w:r>
      <w:r>
        <w:rPr>
          <w:rFonts w:ascii="方正书宋简体" w:hAnsi="方正书宋简体" w:eastAsia="方正书宋简体" w:cs="方正书宋简体"/>
          <w:spacing w:val="41"/>
          <w:w w:val="101"/>
          <w:sz w:val="24"/>
          <w:szCs w:val="24"/>
        </w:rPr>
        <w:t xml:space="preserve"> </w:t>
      </w:r>
      <w:r>
        <w:rPr>
          <w:rFonts w:ascii="方正书宋简体" w:hAnsi="方正书宋简体" w:eastAsia="方正书宋简体" w:cs="方正书宋简体"/>
          <w:spacing w:val="-2"/>
          <w:sz w:val="24"/>
          <w:szCs w:val="24"/>
        </w:rPr>
        <w:t>95</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分及以上为</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2"/>
          <w:sz w:val="24"/>
          <w:szCs w:val="24"/>
        </w:rPr>
        <w:t>30</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分，90—95</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分为</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25</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2"/>
          <w:sz w:val="24"/>
          <w:szCs w:val="24"/>
        </w:rPr>
        <w:t>分，90</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2"/>
          <w:sz w:val="24"/>
          <w:szCs w:val="24"/>
        </w:rPr>
        <w:t>分以下为</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20</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6"/>
          <w:sz w:val="24"/>
          <w:szCs w:val="24"/>
        </w:rPr>
        <w:t>分。</w:t>
      </w:r>
    </w:p>
    <w:p>
      <w:pPr>
        <w:spacing w:before="58" w:line="180" w:lineRule="auto"/>
        <w:ind w:firstLine="4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333</w:t>
      </w:r>
    </w:p>
    <w:p>
      <w:pPr>
        <w:sectPr>
          <w:footerReference r:id="rId337" w:type="default"/>
          <w:pgSz w:w="11905" w:h="16840"/>
          <w:pgMar w:top="1431" w:right="1579" w:bottom="400" w:left="1588" w:header="0" w:footer="0" w:gutter="0"/>
          <w:cols w:space="720" w:num="1"/>
        </w:sectPr>
      </w:pPr>
    </w:p>
    <w:p>
      <w:pPr>
        <w:spacing w:before="426" w:line="180"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3、同行和专家（含督导）评价（30</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
          <w:sz w:val="24"/>
          <w:szCs w:val="24"/>
        </w:rPr>
        <w:t>分）</w:t>
      </w:r>
    </w:p>
    <w:p>
      <w:pPr>
        <w:spacing w:before="194" w:line="315" w:lineRule="auto"/>
        <w:ind w:right="138"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同行、专家（含督导）、学院领导等通过听课等形式对教师课堂教学质量进行</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2"/>
          <w:sz w:val="24"/>
          <w:szCs w:val="24"/>
        </w:rPr>
        <w:t>综合评价。由各学院教学秘书和督导组提供近二年相关教师的数据或由学校教学管</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4"/>
          <w:sz w:val="24"/>
          <w:szCs w:val="24"/>
        </w:rPr>
        <w:t>理部门组织评价。</w:t>
      </w:r>
    </w:p>
    <w:p>
      <w:pPr>
        <w:spacing w:before="2" w:line="202"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4、教学工作业绩（20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z w:val="24"/>
          <w:szCs w:val="24"/>
        </w:rPr>
        <w:t>分）</w:t>
      </w:r>
    </w:p>
    <w:p>
      <w:pPr>
        <w:spacing w:before="160" w:line="264" w:lineRule="auto"/>
        <w:ind w:right="138"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教师总结自己课堂教学的主要特色、成效，由教师提供在评选年度内在教学竞</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赛、学生学业指导、教学改革、教书育人等方面取得的工作业绩，经答辩，由专家</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6"/>
          <w:sz w:val="24"/>
          <w:szCs w:val="24"/>
        </w:rPr>
        <w:t>组评定。</w:t>
      </w:r>
    </w:p>
    <w:p>
      <w:pPr>
        <w:spacing w:before="207" w:line="180" w:lineRule="auto"/>
        <w:ind w:firstLine="506"/>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四、评选程序</w:t>
      </w:r>
    </w:p>
    <w:p>
      <w:pPr>
        <w:spacing w:before="153" w:line="180"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1、申报与推荐</w:t>
      </w:r>
    </w:p>
    <w:p>
      <w:pPr>
        <w:spacing w:before="190" w:line="265" w:lineRule="auto"/>
        <w:ind w:left="3" w:right="139"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教师自愿申报，学院组织初评，并按指标推荐。学院初评，由学院党政领导、</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1"/>
          <w:sz w:val="24"/>
          <w:szCs w:val="24"/>
        </w:rPr>
        <w:t>教学督导组成员、系主任、教研室主任等组成学院评议组（不少于</w:t>
      </w:r>
      <w:r>
        <w:rPr>
          <w:rFonts w:ascii="方正书宋简体" w:hAnsi="方正书宋简体" w:eastAsia="方正书宋简体" w:cs="方正书宋简体"/>
          <w:spacing w:val="53"/>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50"/>
          <w:sz w:val="24"/>
          <w:szCs w:val="24"/>
        </w:rPr>
        <w:t xml:space="preserve"> </w:t>
      </w:r>
      <w:r>
        <w:rPr>
          <w:rFonts w:ascii="方正书宋简体" w:hAnsi="方正书宋简体" w:eastAsia="方正书宋简体" w:cs="方正书宋简体"/>
          <w:spacing w:val="-1"/>
          <w:sz w:val="24"/>
          <w:szCs w:val="24"/>
        </w:rPr>
        <w:t>人</w:t>
      </w:r>
      <w:r>
        <w:rPr>
          <w:rFonts w:ascii="方正书宋简体" w:hAnsi="方正书宋简体" w:eastAsia="方正书宋简体" w:cs="方正书宋简体"/>
          <w:spacing w:val="9"/>
          <w:sz w:val="24"/>
          <w:szCs w:val="24"/>
        </w:rPr>
        <w:t>），</w:t>
      </w:r>
      <w:r>
        <w:rPr>
          <w:rFonts w:ascii="方正书宋简体" w:hAnsi="方正书宋简体" w:eastAsia="方正书宋简体" w:cs="方正书宋简体"/>
          <w:spacing w:val="-1"/>
          <w:sz w:val="24"/>
          <w:szCs w:val="24"/>
        </w:rPr>
        <w:t>根据教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师教学态度、教学水平、能力和效果等做出综合评判，认真把关，严格推选。</w:t>
      </w:r>
    </w:p>
    <w:p>
      <w:pPr>
        <w:spacing w:before="211" w:line="304" w:lineRule="auto"/>
        <w:ind w:left="4" w:right="78"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推荐出的候选人填写《吉首大学优秀课堂教学质量奖推荐表》（附件</w:t>
      </w:r>
      <w:r>
        <w:rPr>
          <w:rFonts w:ascii="方正书宋简体" w:hAnsi="方正书宋简体" w:eastAsia="方正书宋简体" w:cs="方正书宋简体"/>
          <w:spacing w:val="64"/>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7"/>
          <w:sz w:val="24"/>
          <w:szCs w:val="24"/>
        </w:rPr>
        <w:t>和《吉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首大学优秀课堂教学质量奖推荐人选汇总表》（附件</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2</w:t>
      </w:r>
      <w:r>
        <w:rPr>
          <w:rFonts w:ascii="方正书宋简体" w:hAnsi="方正书宋简体" w:eastAsia="方正书宋简体" w:cs="方正书宋简体"/>
          <w:spacing w:val="14"/>
          <w:sz w:val="24"/>
          <w:szCs w:val="24"/>
        </w:rPr>
        <w:t>），</w:t>
      </w:r>
      <w:r>
        <w:rPr>
          <w:rFonts w:ascii="方正书宋简体" w:hAnsi="方正书宋简体" w:eastAsia="方正书宋简体" w:cs="方正书宋简体"/>
          <w:spacing w:val="-2"/>
          <w:sz w:val="24"/>
          <w:szCs w:val="24"/>
        </w:rPr>
        <w:t>由学院汇总上报教务处。</w:t>
      </w:r>
    </w:p>
    <w:p>
      <w:pPr>
        <w:spacing w:before="38"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2、学校组织专家评审</w:t>
      </w:r>
    </w:p>
    <w:p>
      <w:pPr>
        <w:spacing w:before="193" w:line="316" w:lineRule="auto"/>
        <w:ind w:right="14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学校组织专家评审委员会对学院上报的推荐人选进行审核，按照评选办法进行</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2"/>
          <w:sz w:val="24"/>
          <w:szCs w:val="24"/>
        </w:rPr>
        <w:t>综合考核、评价，确定学校优秀本科课堂教学质量人选。</w:t>
      </w:r>
    </w:p>
    <w:p>
      <w:pPr>
        <w:spacing w:before="1" w:line="201"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3、公示与表彰</w:t>
      </w:r>
    </w:p>
    <w:p>
      <w:pPr>
        <w:spacing w:before="163" w:line="180" w:lineRule="auto"/>
        <w:ind w:firstLine="456"/>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评选结果经公示一周无异议后，由学校发文公布。学校对获奖者进行表彰并奖励。</w:t>
      </w:r>
    </w:p>
    <w:p>
      <w:pPr>
        <w:spacing w:before="178"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五、奖励办法</w:t>
      </w:r>
    </w:p>
    <w:p>
      <w:pPr>
        <w:spacing w:before="150"/>
        <w:ind w:left="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学校发文对获得优秀课堂教学质量奖的教师按照《吉首大学教学奖励办法》</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进行表彰，并颁发荣誉证书。</w:t>
      </w:r>
    </w:p>
    <w:p>
      <w:pPr>
        <w:spacing w:before="218" w:line="315" w:lineRule="auto"/>
        <w:ind w:left="2" w:right="140"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（2）获得优秀课堂教学质量奖教师在职称晋职、年度绩效考核和推荐教师申报</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各级各类荣誉称号时作为重要依据。</w:t>
      </w:r>
    </w:p>
    <w:p>
      <w:pPr>
        <w:spacing w:before="1" w:line="201"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本方案自</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2"/>
          <w:sz w:val="24"/>
          <w:szCs w:val="24"/>
        </w:rPr>
        <w:t>2017</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年开始执行，由教务处负责解释。</w:t>
      </w:r>
    </w:p>
    <w:p>
      <w:pPr>
        <w:spacing w:line="348" w:lineRule="auto"/>
        <w:rPr>
          <w:rFonts w:ascii="Malgun Gothic"/>
          <w:sz w:val="21"/>
        </w:rPr>
      </w:pPr>
    </w:p>
    <w:p>
      <w:pPr>
        <w:spacing w:before="87" w:line="180" w:lineRule="auto"/>
        <w:ind w:firstLine="49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附件：1、吉首大学优秀课堂教学质量奖推荐表</w:t>
      </w:r>
    </w:p>
    <w:p>
      <w:pPr>
        <w:spacing w:before="193" w:line="180" w:lineRule="auto"/>
        <w:ind w:firstLine="120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2、吉首大学优秀课堂教学质量奖推荐人选汇总表</w:t>
      </w:r>
    </w:p>
    <w:p>
      <w:pPr>
        <w:spacing w:line="422" w:lineRule="auto"/>
        <w:rPr>
          <w:rFonts w:ascii="Malgun Gothic"/>
          <w:sz w:val="21"/>
        </w:rPr>
      </w:pPr>
    </w:p>
    <w:p>
      <w:pPr>
        <w:spacing w:before="61" w:line="180" w:lineRule="auto"/>
        <w:ind w:firstLine="421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334</w:t>
      </w:r>
    </w:p>
    <w:p>
      <w:pPr>
        <w:sectPr>
          <w:footerReference r:id="rId338" w:type="default"/>
          <w:pgSz w:w="11905" w:h="16840"/>
          <w:pgMar w:top="1431" w:right="1446" w:bottom="400" w:left="1589" w:header="0" w:footer="0" w:gutter="0"/>
          <w:cols w:space="720" w:num="1"/>
        </w:sectPr>
      </w:pPr>
    </w:p>
    <w:p>
      <w:pPr>
        <w:spacing w:before="349" w:line="180" w:lineRule="auto"/>
        <w:ind w:firstLine="85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吉首大学大学生科技创新实践活动评优及管理办法</w:t>
      </w:r>
    </w:p>
    <w:p>
      <w:pPr>
        <w:spacing w:line="295" w:lineRule="auto"/>
        <w:rPr>
          <w:rFonts w:ascii="Malgun Gothic"/>
          <w:sz w:val="21"/>
        </w:rPr>
      </w:pPr>
    </w:p>
    <w:p>
      <w:pPr>
        <w:spacing w:before="104"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53" w:line="277" w:lineRule="auto"/>
        <w:ind w:left="1"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1、充分贯彻我校“以人名校、以业报国”的办学理念，</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有效地推动我校在应用</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型人才培养方面的工作，促进工作室的健康发展，营造良好的外部环境，创造具有</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时代性、开放性、超前性的内部条件，培养大学生的创新意识、锻炼学生的创新能</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力，发挥学生的创造力。</w:t>
      </w:r>
    </w:p>
    <w:p>
      <w:pPr>
        <w:spacing w:before="215" w:line="265"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2、全面促进学生德智体美全面发展，</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激励广大学生勤于学习、善于思考、勇于</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创新，充分发挥优秀学生的模范带头作用，在全校学生中形成一个全面发展、学以</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致用、严于律己、朝气蓬勃的良好风气。</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二、评优项目</w:t>
      </w:r>
    </w:p>
    <w:p>
      <w:pPr>
        <w:spacing w:before="147" w:line="193"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1、吉首大学创新实践优秀指导教师；</w:t>
      </w:r>
    </w:p>
    <w:p>
      <w:pPr>
        <w:spacing w:before="17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2、吉首大学创新实践优秀工作室；</w:t>
      </w:r>
    </w:p>
    <w:p>
      <w:pPr>
        <w:spacing w:before="181" w:line="180" w:lineRule="auto"/>
        <w:ind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3、吉首大学创新实践优秀学生干部。</w:t>
      </w:r>
    </w:p>
    <w:p>
      <w:pPr>
        <w:spacing w:before="179"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三、评选基本条件</w:t>
      </w:r>
    </w:p>
    <w:p>
      <w:pPr>
        <w:spacing w:before="150"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（一）创新实践优秀工作室参评基本条件</w:t>
      </w:r>
    </w:p>
    <w:p>
      <w:pPr>
        <w:spacing w:before="193" w:line="253" w:lineRule="auto"/>
        <w:ind w:right="1"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1、工作室在创新中心注册备案一年及以上，</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有明确的工作目标，</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有可行的工作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计划，有一定特色的工作内容；</w:t>
      </w:r>
    </w:p>
    <w:p>
      <w:pPr>
        <w:spacing w:before="178" w:line="253" w:lineRule="auto"/>
        <w:ind w:left="4" w:right="2"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2、工作室管理科学，</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1"/>
          <w:sz w:val="24"/>
          <w:szCs w:val="24"/>
        </w:rPr>
        <w:t>严格遵守《吉首大学学科竞赛安全管理制度》之规定，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年度学科竞赛无安全事故发生；</w:t>
      </w:r>
    </w:p>
    <w:p>
      <w:pPr>
        <w:spacing w:before="178" w:line="253" w:lineRule="auto"/>
        <w:ind w:right="1"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3、当年度工作室学科竞赛成绩突出，</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7"/>
          <w:sz w:val="24"/>
          <w:szCs w:val="24"/>
        </w:rPr>
        <w:t>在省级</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7"/>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7"/>
          <w:sz w:val="24"/>
          <w:szCs w:val="24"/>
        </w:rPr>
        <w:t>类及以上学科竞赛中获得一等奖</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及以上；</w:t>
      </w:r>
    </w:p>
    <w:p>
      <w:pPr>
        <w:spacing w:before="178" w:line="253" w:lineRule="auto"/>
        <w:ind w:left="1" w:right="1"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4、严格按照工作计划完成学科竞赛相关工作，</w:t>
      </w:r>
      <w:r>
        <w:rPr>
          <w:rFonts w:ascii="方正书宋简体" w:hAnsi="方正书宋简体" w:eastAsia="方正书宋简体" w:cs="方正书宋简体"/>
          <w:spacing w:val="29"/>
          <w:w w:val="101"/>
          <w:sz w:val="24"/>
          <w:szCs w:val="24"/>
        </w:rPr>
        <w:t xml:space="preserve">  </w:t>
      </w:r>
      <w:r>
        <w:rPr>
          <w:rFonts w:ascii="方正书宋简体" w:hAnsi="方正书宋简体" w:eastAsia="方正书宋简体" w:cs="方正书宋简体"/>
          <w:spacing w:val="-6"/>
          <w:sz w:val="24"/>
          <w:szCs w:val="24"/>
        </w:rPr>
        <w:t>积极参加大学生科技创新中心各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项活动；</w:t>
      </w:r>
    </w:p>
    <w:p>
      <w:pPr>
        <w:spacing w:before="180"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w:t>
      </w:r>
      <w:r>
        <w:rPr>
          <w:rFonts w:ascii="方正书宋简体" w:hAnsi="方正书宋简体" w:eastAsia="方正书宋简体" w:cs="方正书宋简体"/>
          <w:spacing w:val="-18"/>
          <w:sz w:val="24"/>
          <w:szCs w:val="24"/>
        </w:rPr>
        <w:t xml:space="preserve"> </w:t>
      </w:r>
      <w:r>
        <w:rPr>
          <w:rFonts w:ascii="宋体" w:hAnsi="宋体" w:eastAsia="宋体" w:cs="宋体"/>
          <w:spacing w:val="-3"/>
          <w:sz w:val="24"/>
          <w:szCs w:val="24"/>
        </w:rPr>
        <w:t>、</w:t>
      </w:r>
      <w:r>
        <w:rPr>
          <w:rFonts w:ascii="方正书宋简体" w:hAnsi="方正书宋简体" w:eastAsia="方正书宋简体" w:cs="方正书宋简体"/>
          <w:spacing w:val="-3"/>
          <w:sz w:val="24"/>
          <w:szCs w:val="24"/>
        </w:rPr>
        <w:t>工作室管理规范，近五年文档资料齐全且整理规范。</w:t>
      </w:r>
    </w:p>
    <w:p>
      <w:pPr>
        <w:spacing w:before="19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（二）创新实践优秀学生干部参评基本条件</w:t>
      </w:r>
    </w:p>
    <w:p>
      <w:pPr>
        <w:spacing w:before="196" w:line="252" w:lineRule="auto"/>
        <w:ind w:left="26" w:right="1"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1、优秀学生干部需为各学院创新工作室办公室主任、副主任，</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大学生科技创新</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中办公室主任、副主任，且在工作室工作需超过一年以上（含一年</w:t>
      </w:r>
      <w:r>
        <w:rPr>
          <w:rFonts w:ascii="方正书宋简体" w:hAnsi="方正书宋简体" w:eastAsia="方正书宋简体" w:cs="方正书宋简体"/>
          <w:spacing w:val="2"/>
          <w:sz w:val="24"/>
          <w:szCs w:val="24"/>
        </w:rPr>
        <w:t>）；</w:t>
      </w:r>
    </w:p>
    <w:p>
      <w:pPr>
        <w:spacing w:before="178" w:line="327" w:lineRule="auto"/>
        <w:ind w:left="2" w:righ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2、优秀学生干部专业成绩突出，</w:t>
      </w:r>
      <w:r>
        <w:rPr>
          <w:rFonts w:ascii="方正书宋简体" w:hAnsi="方正书宋简体" w:eastAsia="方正书宋简体" w:cs="方正书宋简体"/>
          <w:spacing w:val="40"/>
          <w:sz w:val="24"/>
          <w:szCs w:val="24"/>
        </w:rPr>
        <w:t xml:space="preserve">  </w:t>
      </w:r>
      <w:r>
        <w:rPr>
          <w:rFonts w:ascii="方正书宋简体" w:hAnsi="方正书宋简体" w:eastAsia="方正书宋简体" w:cs="方正书宋简体"/>
          <w:spacing w:val="-11"/>
          <w:w w:val="96"/>
          <w:sz w:val="24"/>
          <w:szCs w:val="24"/>
        </w:rPr>
        <w:t>诚实守信，</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w w:val="96"/>
          <w:sz w:val="24"/>
          <w:szCs w:val="24"/>
        </w:rPr>
        <w:t>无校级处分，</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w w:val="96"/>
          <w:sz w:val="24"/>
          <w:szCs w:val="24"/>
        </w:rPr>
        <w:t>无通报批评，</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11"/>
          <w:w w:val="96"/>
          <w:sz w:val="24"/>
          <w:szCs w:val="24"/>
        </w:rPr>
        <w:t>全年无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考试不及格课程；</w:t>
      </w:r>
    </w:p>
    <w:p>
      <w:pPr>
        <w:spacing w:before="25"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335</w:t>
      </w:r>
    </w:p>
    <w:p>
      <w:pPr>
        <w:sectPr>
          <w:footerReference r:id="rId339" w:type="default"/>
          <w:pgSz w:w="11905" w:h="16840"/>
          <w:pgMar w:top="1431" w:right="1585" w:bottom="400" w:left="1590" w:header="0" w:footer="0" w:gutter="0"/>
          <w:cols w:space="720" w:num="1"/>
        </w:sectPr>
      </w:pPr>
    </w:p>
    <w:p>
      <w:pPr>
        <w:spacing w:before="423"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3、积极配合学院工作室组织各类各级学科竞赛，整理上传各项文档资料；</w:t>
      </w:r>
    </w:p>
    <w:p>
      <w:pPr>
        <w:spacing w:before="178"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4、积极参加大学生科技创新中心各项活动。</w:t>
      </w:r>
    </w:p>
    <w:p>
      <w:pPr>
        <w:spacing w:before="193"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（三）创新实践优秀指导老师参评基本条件</w:t>
      </w:r>
    </w:p>
    <w:p>
      <w:pPr>
        <w:spacing w:before="192" w:line="253" w:lineRule="auto"/>
        <w:ind w:left="3" w:right="73"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1、指导老师为工作室负责老师或指导学科竞赛的指导老师，</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工作室负责老师需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指导工作室工作超过一年以上（含一年</w:t>
      </w:r>
      <w:r>
        <w:rPr>
          <w:rFonts w:ascii="方正书宋简体" w:hAnsi="方正书宋简体" w:eastAsia="方正书宋简体" w:cs="方正书宋简体"/>
          <w:sz w:val="24"/>
          <w:szCs w:val="24"/>
        </w:rPr>
        <w:t>）；</w:t>
      </w:r>
    </w:p>
    <w:p>
      <w:pPr>
        <w:spacing w:before="177" w:line="253" w:lineRule="auto"/>
        <w:ind w:left="5" w:right="73"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2、精心指导编制工作计划，</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1"/>
          <w:sz w:val="24"/>
          <w:szCs w:val="24"/>
        </w:rPr>
        <w:t>精心指导工作室组织各类学科竞赛工作，</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11"/>
          <w:sz w:val="24"/>
          <w:szCs w:val="24"/>
        </w:rPr>
        <w:t>至少举办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三次及以上与学科竞赛相关的学生活动；</w:t>
      </w:r>
    </w:p>
    <w:p>
      <w:pPr>
        <w:spacing w:before="175" w:line="193"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3、积极配合大学生科技创新中心准确、及时、保质保量完成各项工作；</w:t>
      </w:r>
    </w:p>
    <w:p>
      <w:pPr>
        <w:spacing w:before="179"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4、严格履行指导教师各项职责，指导工作室准确、及时、保质保量完成各项工作。</w:t>
      </w:r>
    </w:p>
    <w:p>
      <w:pPr>
        <w:spacing w:before="180" w:line="180" w:lineRule="auto"/>
        <w:ind w:firstLine="50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四、评选组织及程序</w:t>
      </w:r>
    </w:p>
    <w:p>
      <w:pPr>
        <w:spacing w:before="149"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评优工作由教务处牵头，大学生科技创新中心负责组织实施评奖的具体事项。</w:t>
      </w:r>
    </w:p>
    <w:p>
      <w:pPr>
        <w:spacing w:before="194"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评选程序为：评优对象申请、单位推荐、教务处评审。</w:t>
      </w:r>
    </w:p>
    <w:p>
      <w:pPr>
        <w:spacing w:before="194" w:line="265" w:lineRule="auto"/>
        <w:ind w:left="1" w:right="73"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1、评优对象申请：</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创新实践优秀指导教师、创新实践优秀工作室、创新实践优</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秀学生干部分别填写《吉首大学创新实践优秀指导教师推荐表》、</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8"/>
          <w:sz w:val="24"/>
          <w:szCs w:val="24"/>
        </w:rPr>
        <w:t>《吉首大学创新实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8"/>
          <w:sz w:val="24"/>
          <w:szCs w:val="24"/>
        </w:rPr>
        <w:t>践优秀工作室推荐表》、</w:t>
      </w:r>
      <w:r>
        <w:rPr>
          <w:rFonts w:ascii="方正书宋简体" w:hAnsi="方正书宋简体" w:eastAsia="方正书宋简体" w:cs="方正书宋简体"/>
          <w:spacing w:val="66"/>
          <w:w w:val="101"/>
          <w:sz w:val="24"/>
          <w:szCs w:val="24"/>
        </w:rPr>
        <w:t xml:space="preserve"> </w:t>
      </w:r>
      <w:r>
        <w:rPr>
          <w:rFonts w:ascii="方正书宋简体" w:hAnsi="方正书宋简体" w:eastAsia="方正书宋简体" w:cs="方正书宋简体"/>
          <w:spacing w:val="-18"/>
          <w:sz w:val="24"/>
          <w:szCs w:val="24"/>
        </w:rPr>
        <w:t>《吉首大学创新实践优秀学生干部推荐表》</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8"/>
          <w:sz w:val="24"/>
          <w:szCs w:val="24"/>
        </w:rPr>
        <w:t>（见附件）。</w:t>
      </w:r>
    </w:p>
    <w:p>
      <w:pPr>
        <w:spacing w:before="216" w:line="239" w:lineRule="auto"/>
        <w:ind w:left="1" w:right="7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2、单位推荐：</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sz w:val="24"/>
          <w:szCs w:val="24"/>
        </w:rPr>
        <w:t>申报者所在院系根据评奖条件，</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sz w:val="24"/>
          <w:szCs w:val="24"/>
        </w:rPr>
        <w:t>对工作室所取得的成绩进行认真</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地全面审核并签署推荐意见。</w:t>
      </w:r>
    </w:p>
    <w:p>
      <w:pPr>
        <w:spacing w:before="214" w:line="303" w:lineRule="auto"/>
        <w:ind w:left="6" w:right="7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3、教务处评审：</w:t>
      </w:r>
      <w:r>
        <w:rPr>
          <w:rFonts w:ascii="方正书宋简体" w:hAnsi="方正书宋简体" w:eastAsia="方正书宋简体" w:cs="方正书宋简体"/>
          <w:spacing w:val="34"/>
          <w:sz w:val="24"/>
          <w:szCs w:val="24"/>
        </w:rPr>
        <w:t xml:space="preserve">  </w:t>
      </w:r>
      <w:r>
        <w:rPr>
          <w:rFonts w:ascii="方正书宋简体" w:hAnsi="方正书宋简体" w:eastAsia="方正书宋简体" w:cs="方正书宋简体"/>
          <w:spacing w:val="-11"/>
          <w:sz w:val="24"/>
          <w:szCs w:val="24"/>
        </w:rPr>
        <w:t>根据申报材料，</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教务处根据评优条件对申报者材料进行全面评</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审，做出公正结论并写出具体的评审意见。</w:t>
      </w:r>
    </w:p>
    <w:p>
      <w:pPr>
        <w:spacing w:before="42" w:line="180" w:lineRule="auto"/>
        <w:ind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4、教务处审核批准后，均予以公示，公示期满后发文公布。</w:t>
      </w:r>
    </w:p>
    <w:p>
      <w:pPr>
        <w:spacing w:before="178" w:line="180" w:lineRule="auto"/>
        <w:ind w:firstLine="488"/>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五、结果应用</w:t>
      </w:r>
    </w:p>
    <w:p>
      <w:pPr>
        <w:spacing w:before="150" w:line="265" w:lineRule="auto"/>
        <w:ind w:right="73"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吉首大学大学生科技实践创新中心的评优结果均参照《吉首大学教学奖励办</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7"/>
          <w:sz w:val="24"/>
          <w:szCs w:val="24"/>
        </w:rPr>
        <w:t>法》、</w:t>
      </w:r>
      <w:r>
        <w:rPr>
          <w:rFonts w:ascii="方正书宋简体" w:hAnsi="方正书宋简体" w:eastAsia="方正书宋简体" w:cs="方正书宋简体"/>
          <w:spacing w:val="65"/>
          <w:w w:val="101"/>
          <w:sz w:val="24"/>
          <w:szCs w:val="24"/>
        </w:rPr>
        <w:t xml:space="preserve"> </w:t>
      </w:r>
      <w:r>
        <w:rPr>
          <w:rFonts w:ascii="方正书宋简体" w:hAnsi="方正书宋简体" w:eastAsia="方正书宋简体" w:cs="方正书宋简体"/>
          <w:spacing w:val="-17"/>
          <w:sz w:val="24"/>
          <w:szCs w:val="24"/>
        </w:rPr>
        <w:t>《吉首大学绩效工资改革实施方案》、</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7"/>
          <w:sz w:val="24"/>
          <w:szCs w:val="24"/>
        </w:rPr>
        <w:t>《吉首大学专业技术职务评审教学测评工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作方案》对应校级类别予以认可和奖励。</w:t>
      </w:r>
    </w:p>
    <w:p>
      <w:pPr>
        <w:spacing w:before="204"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六、其他</w:t>
      </w:r>
    </w:p>
    <w:p>
      <w:pPr>
        <w:spacing w:before="153"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本办法的解释、补充和修订由教务处负责。</w:t>
      </w:r>
    </w:p>
    <w:p>
      <w:pPr>
        <w:spacing w:line="262"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line="263" w:lineRule="auto"/>
        <w:rPr>
          <w:rFonts w:ascii="Malgun Gothic"/>
          <w:sz w:val="21"/>
        </w:rPr>
      </w:pPr>
    </w:p>
    <w:p>
      <w:pPr>
        <w:spacing w:before="61"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336</w:t>
      </w:r>
    </w:p>
    <w:p>
      <w:pPr>
        <w:sectPr>
          <w:footerReference r:id="rId340" w:type="default"/>
          <w:pgSz w:w="11905" w:h="16840"/>
          <w:pgMar w:top="1431" w:right="1514" w:bottom="400" w:left="1591" w:header="0" w:footer="0" w:gutter="0"/>
          <w:cols w:space="720" w:num="1"/>
        </w:sectPr>
      </w:pPr>
    </w:p>
    <w:p>
      <w:pPr>
        <w:spacing w:before="385" w:line="166" w:lineRule="auto"/>
        <w:ind w:firstLine="2141"/>
        <w:rPr>
          <w:rFonts w:ascii="Microsoft JhengHei" w:hAnsi="Microsoft JhengHei" w:eastAsia="Microsoft JhengHei" w:cs="Microsoft JhengHei"/>
          <w:sz w:val="28"/>
          <w:szCs w:val="28"/>
        </w:rPr>
      </w:pPr>
      <w:r>
        <w:drawing>
          <wp:anchor distT="0" distB="0" distL="0" distR="0" simplePos="0" relativeHeight="251660288" behindDoc="0" locked="0" layoutInCell="0" allowOverlap="1">
            <wp:simplePos x="0" y="0"/>
            <wp:positionH relativeFrom="page">
              <wp:posOffset>1823720</wp:posOffset>
            </wp:positionH>
            <wp:positionV relativeFrom="page">
              <wp:posOffset>1344295</wp:posOffset>
            </wp:positionV>
            <wp:extent cx="533400" cy="889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363"/>
                    <a:stretch>
                      <a:fillRect/>
                    </a:stretch>
                  </pic:blipFill>
                  <pic:spPr>
                    <a:xfrm>
                      <a:off x="0" y="0"/>
                      <a:ext cx="533400" cy="9144"/>
                    </a:xfrm>
                    <a:prstGeom prst="rect">
                      <a:avLst/>
                    </a:prstGeom>
                  </pic:spPr>
                </pic:pic>
              </a:graphicData>
            </a:graphic>
          </wp:anchor>
        </w:drawing>
      </w:r>
      <w:r>
        <w:rPr>
          <w:rFonts w:ascii="Microsoft JhengHei" w:hAnsi="Microsoft JhengHei" w:eastAsia="Microsoft JhengHei" w:cs="Microsoft JhengHei"/>
          <w:spacing w:val="-1"/>
          <w:sz w:val="28"/>
          <w:szCs w:val="28"/>
        </w:rPr>
        <w:t>年度吉首大学创新实践优秀指导教师推荐表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1917"/>
        <w:gridCol w:w="1180"/>
        <w:gridCol w:w="1031"/>
        <w:gridCol w:w="1622"/>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910" w:type="dxa"/>
            <w:tcBorders>
              <w:top w:val="single" w:color="000000" w:sz="6" w:space="0"/>
              <w:left w:val="single" w:color="000000" w:sz="6" w:space="0"/>
            </w:tcBorders>
            <w:vAlign w:val="top"/>
          </w:tcPr>
          <w:p>
            <w:pPr>
              <w:spacing w:before="96" w:line="313" w:lineRule="exact"/>
              <w:ind w:firstLine="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教师</w:t>
            </w:r>
          </w:p>
          <w:p>
            <w:pPr>
              <w:spacing w:line="204" w:lineRule="auto"/>
              <w:ind w:firstLine="2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917" w:type="dxa"/>
            <w:tcBorders>
              <w:top w:val="single" w:color="000000" w:sz="6" w:space="0"/>
            </w:tcBorders>
            <w:vAlign w:val="top"/>
          </w:tcPr>
          <w:p>
            <w:pPr>
              <w:rPr>
                <w:rFonts w:ascii="Malgun Gothic"/>
                <w:sz w:val="21"/>
              </w:rPr>
            </w:pPr>
          </w:p>
        </w:tc>
        <w:tc>
          <w:tcPr>
            <w:tcW w:w="1180" w:type="dxa"/>
            <w:tcBorders>
              <w:top w:val="single" w:color="000000" w:sz="6" w:space="0"/>
            </w:tcBorders>
            <w:vAlign w:val="top"/>
          </w:tcPr>
          <w:p>
            <w:pPr>
              <w:spacing w:before="94" w:line="315" w:lineRule="exact"/>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工作室</w:t>
            </w:r>
          </w:p>
          <w:p>
            <w:pPr>
              <w:spacing w:line="204" w:lineRule="auto"/>
              <w:ind w:firstLine="37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名称</w:t>
            </w:r>
          </w:p>
        </w:tc>
        <w:tc>
          <w:tcPr>
            <w:tcW w:w="1031" w:type="dxa"/>
            <w:tcBorders>
              <w:top w:val="single" w:color="000000" w:sz="6" w:space="0"/>
            </w:tcBorders>
            <w:vAlign w:val="top"/>
          </w:tcPr>
          <w:p>
            <w:pPr>
              <w:rPr>
                <w:rFonts w:ascii="Malgun Gothic"/>
                <w:sz w:val="21"/>
              </w:rPr>
            </w:pPr>
          </w:p>
        </w:tc>
        <w:tc>
          <w:tcPr>
            <w:tcW w:w="1622" w:type="dxa"/>
            <w:tcBorders>
              <w:top w:val="single" w:color="000000" w:sz="6" w:space="0"/>
            </w:tcBorders>
            <w:vAlign w:val="top"/>
          </w:tcPr>
          <w:p>
            <w:pPr>
              <w:spacing w:before="251" w:line="180" w:lineRule="auto"/>
              <w:ind w:firstLine="3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所属学院</w:t>
            </w:r>
          </w:p>
        </w:tc>
        <w:tc>
          <w:tcPr>
            <w:tcW w:w="2074"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1" w:hRule="atLeast"/>
        </w:trPr>
        <w:tc>
          <w:tcPr>
            <w:tcW w:w="910" w:type="dxa"/>
            <w:tcBorders>
              <w:left w:val="single" w:color="000000" w:sz="6" w:space="0"/>
              <w:bottom w:val="nil"/>
            </w:tcBorders>
            <w:textDirection w:val="tbRlV"/>
            <w:vAlign w:val="top"/>
          </w:tcPr>
          <w:p>
            <w:pPr>
              <w:spacing w:before="347" w:line="180" w:lineRule="auto"/>
              <w:ind w:firstLine="1371"/>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工</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5"/>
                <w:sz w:val="21"/>
                <w:szCs w:val="21"/>
              </w:rPr>
              <w:t>作</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成</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5"/>
                <w:sz w:val="21"/>
                <w:szCs w:val="21"/>
              </w:rPr>
              <w:t>绩</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简</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介</w:t>
            </w:r>
          </w:p>
        </w:tc>
        <w:tc>
          <w:tcPr>
            <w:tcW w:w="7824" w:type="dxa"/>
            <w:gridSpan w:val="5"/>
            <w:tcBorders>
              <w:bottom w:val="nil"/>
              <w:right w:val="single" w:color="000000" w:sz="6" w:space="0"/>
            </w:tcBorders>
            <w:vAlign w:val="top"/>
          </w:tcPr>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line="266" w:lineRule="auto"/>
              <w:rPr>
                <w:rFonts w:ascii="Malgun Gothic"/>
                <w:sz w:val="21"/>
              </w:rPr>
            </w:pPr>
          </w:p>
          <w:p>
            <w:pPr>
              <w:spacing w:before="75" w:line="193" w:lineRule="auto"/>
              <w:ind w:firstLine="411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910" w:type="dxa"/>
            <w:tcBorders>
              <w:top w:val="nil"/>
              <w:left w:val="single" w:color="000000" w:sz="6" w:space="0"/>
            </w:tcBorders>
            <w:vAlign w:val="top"/>
          </w:tcPr>
          <w:p>
            <w:pPr>
              <w:rPr>
                <w:rFonts w:ascii="Malgun Gothic"/>
                <w:sz w:val="21"/>
              </w:rPr>
            </w:pPr>
          </w:p>
        </w:tc>
        <w:tc>
          <w:tcPr>
            <w:tcW w:w="7824" w:type="dxa"/>
            <w:gridSpan w:val="5"/>
            <w:tcBorders>
              <w:top w:val="nil"/>
              <w:right w:val="single" w:color="000000" w:sz="6" w:space="0"/>
            </w:tcBorders>
            <w:vAlign w:val="top"/>
          </w:tcPr>
          <w:p>
            <w:pPr>
              <w:spacing w:before="255" w:line="180" w:lineRule="auto"/>
              <w:ind w:firstLine="4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0" w:hRule="atLeast"/>
        </w:trPr>
        <w:tc>
          <w:tcPr>
            <w:tcW w:w="910" w:type="dxa"/>
            <w:tcBorders>
              <w:left w:val="single" w:color="000000" w:sz="6" w:space="0"/>
              <w:bottom w:val="nil"/>
            </w:tcBorders>
            <w:textDirection w:val="tbRlV"/>
            <w:vAlign w:val="top"/>
          </w:tcPr>
          <w:p>
            <w:pPr>
              <w:spacing w:before="347" w:line="180" w:lineRule="auto"/>
              <w:ind w:firstLine="13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院</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1"/>
                <w:sz w:val="21"/>
                <w:szCs w:val="21"/>
              </w:rPr>
              <w:t>意</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1"/>
                <w:sz w:val="21"/>
                <w:szCs w:val="21"/>
              </w:rPr>
              <w:t>见</w:t>
            </w:r>
          </w:p>
        </w:tc>
        <w:tc>
          <w:tcPr>
            <w:tcW w:w="7824" w:type="dxa"/>
            <w:gridSpan w:val="5"/>
            <w:tcBorders>
              <w:bottom w:val="nil"/>
              <w:right w:val="single" w:color="000000" w:sz="6" w:space="0"/>
            </w:tcBorders>
            <w:vAlign w:val="top"/>
          </w:tcPr>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spacing w:line="241" w:lineRule="auto"/>
              <w:rPr>
                <w:rFonts w:ascii="Malgun Gothic"/>
                <w:sz w:val="21"/>
              </w:rPr>
            </w:pPr>
          </w:p>
          <w:p>
            <w:pPr>
              <w:spacing w:line="241" w:lineRule="auto"/>
              <w:rPr>
                <w:rFonts w:ascii="Malgun Gothic"/>
                <w:sz w:val="21"/>
              </w:rPr>
            </w:pPr>
          </w:p>
          <w:p>
            <w:pPr>
              <w:spacing w:before="74" w:line="180" w:lineRule="auto"/>
              <w:ind w:firstLine="4325"/>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学院盖章：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10" w:type="dxa"/>
            <w:tcBorders>
              <w:top w:val="nil"/>
              <w:left w:val="single" w:color="000000" w:sz="6" w:space="0"/>
            </w:tcBorders>
            <w:vAlign w:val="top"/>
          </w:tcPr>
          <w:p>
            <w:pPr>
              <w:rPr>
                <w:rFonts w:ascii="Malgun Gothic"/>
                <w:sz w:val="21"/>
              </w:rPr>
            </w:pPr>
          </w:p>
        </w:tc>
        <w:tc>
          <w:tcPr>
            <w:tcW w:w="7824" w:type="dxa"/>
            <w:gridSpan w:val="5"/>
            <w:tcBorders>
              <w:top w:val="nil"/>
              <w:right w:val="single" w:color="000000" w:sz="6" w:space="0"/>
            </w:tcBorders>
            <w:vAlign w:val="top"/>
          </w:tcPr>
          <w:p>
            <w:pPr>
              <w:spacing w:before="308" w:line="180" w:lineRule="auto"/>
              <w:ind w:firstLine="4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3" w:hRule="atLeast"/>
        </w:trPr>
        <w:tc>
          <w:tcPr>
            <w:tcW w:w="910" w:type="dxa"/>
            <w:tcBorders>
              <w:left w:val="single" w:color="000000" w:sz="6" w:space="0"/>
              <w:bottom w:val="nil"/>
            </w:tcBorders>
            <w:textDirection w:val="tbRlV"/>
            <w:vAlign w:val="top"/>
          </w:tcPr>
          <w:p>
            <w:pPr>
              <w:spacing w:before="347" w:line="180" w:lineRule="auto"/>
              <w:ind w:firstLine="824"/>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教</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务</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处</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3"/>
                <w:sz w:val="21"/>
                <w:szCs w:val="21"/>
              </w:rPr>
              <w:t>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3"/>
                <w:sz w:val="21"/>
                <w:szCs w:val="21"/>
              </w:rPr>
              <w:t>见</w:t>
            </w:r>
          </w:p>
        </w:tc>
        <w:tc>
          <w:tcPr>
            <w:tcW w:w="7824" w:type="dxa"/>
            <w:gridSpan w:val="5"/>
            <w:tcBorders>
              <w:bottom w:val="nil"/>
              <w:right w:val="single" w:color="000000" w:sz="6" w:space="0"/>
            </w:tcBorders>
            <w:vAlign w:val="top"/>
          </w:tcPr>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2" w:lineRule="auto"/>
              <w:rPr>
                <w:rFonts w:ascii="Malgun Gothic"/>
                <w:sz w:val="21"/>
              </w:rPr>
            </w:pPr>
          </w:p>
          <w:p>
            <w:pPr>
              <w:spacing w:before="75" w:line="180" w:lineRule="auto"/>
              <w:ind w:firstLine="406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教务处盖章：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10" w:type="dxa"/>
            <w:tcBorders>
              <w:top w:val="nil"/>
              <w:left w:val="single" w:color="000000" w:sz="6" w:space="0"/>
              <w:bottom w:val="single" w:color="000000" w:sz="6" w:space="0"/>
            </w:tcBorders>
            <w:vAlign w:val="top"/>
          </w:tcPr>
          <w:p>
            <w:pPr>
              <w:rPr>
                <w:rFonts w:ascii="Malgun Gothic"/>
                <w:sz w:val="21"/>
              </w:rPr>
            </w:pPr>
          </w:p>
        </w:tc>
        <w:tc>
          <w:tcPr>
            <w:tcW w:w="7824" w:type="dxa"/>
            <w:gridSpan w:val="5"/>
            <w:tcBorders>
              <w:top w:val="nil"/>
              <w:bottom w:val="single" w:color="000000" w:sz="6" w:space="0"/>
              <w:right w:val="single" w:color="000000" w:sz="6" w:space="0"/>
            </w:tcBorders>
            <w:vAlign w:val="top"/>
          </w:tcPr>
          <w:p>
            <w:pPr>
              <w:spacing w:before="267" w:line="180" w:lineRule="auto"/>
              <w:ind w:firstLine="427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bl>
    <w:p>
      <w:pPr>
        <w:spacing w:before="389"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337</w:t>
      </w:r>
    </w:p>
    <w:p>
      <w:pPr>
        <w:sectPr>
          <w:footerReference r:id="rId341" w:type="default"/>
          <w:pgSz w:w="11905" w:h="16840"/>
          <w:pgMar w:top="1431" w:right="1577" w:bottom="400" w:left="1578" w:header="0" w:footer="0" w:gutter="0"/>
          <w:cols w:space="720" w:num="1"/>
        </w:sectPr>
      </w:pPr>
    </w:p>
    <w:p>
      <w:pPr>
        <w:spacing w:before="385" w:line="166" w:lineRule="auto"/>
        <w:ind w:firstLine="2351"/>
        <w:rPr>
          <w:rFonts w:ascii="Microsoft JhengHei" w:hAnsi="Microsoft JhengHei" w:eastAsia="Microsoft JhengHei" w:cs="Microsoft JhengHei"/>
          <w:sz w:val="28"/>
          <w:szCs w:val="28"/>
        </w:rPr>
      </w:pPr>
      <w:r>
        <w:drawing>
          <wp:anchor distT="0" distB="0" distL="0" distR="0" simplePos="0" relativeHeight="251661312" behindDoc="0" locked="0" layoutInCell="0" allowOverlap="1">
            <wp:simplePos x="0" y="0"/>
            <wp:positionH relativeFrom="page">
              <wp:posOffset>1868170</wp:posOffset>
            </wp:positionH>
            <wp:positionV relativeFrom="page">
              <wp:posOffset>1344295</wp:posOffset>
            </wp:positionV>
            <wp:extent cx="622300" cy="889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64"/>
                    <a:stretch>
                      <a:fillRect/>
                    </a:stretch>
                  </pic:blipFill>
                  <pic:spPr>
                    <a:xfrm>
                      <a:off x="0" y="0"/>
                      <a:ext cx="622554" cy="9144"/>
                    </a:xfrm>
                    <a:prstGeom prst="rect">
                      <a:avLst/>
                    </a:prstGeom>
                  </pic:spPr>
                </pic:pic>
              </a:graphicData>
            </a:graphic>
          </wp:anchor>
        </w:drawing>
      </w:r>
      <w:r>
        <w:rPr>
          <w:rFonts w:ascii="Microsoft JhengHei" w:hAnsi="Microsoft JhengHei" w:eastAsia="Microsoft JhengHei" w:cs="Microsoft JhengHei"/>
          <w:spacing w:val="-1"/>
          <w:sz w:val="28"/>
          <w:szCs w:val="28"/>
        </w:rPr>
        <w:t>年度吉首大学创新实践优秀工作室推荐表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3939"/>
        <w:gridCol w:w="1622"/>
        <w:gridCol w:w="20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1" w:hRule="atLeast"/>
        </w:trPr>
        <w:tc>
          <w:tcPr>
            <w:tcW w:w="1100" w:type="dxa"/>
            <w:tcBorders>
              <w:top w:val="single" w:color="000000" w:sz="6" w:space="0"/>
              <w:left w:val="single" w:color="000000" w:sz="6" w:space="0"/>
            </w:tcBorders>
            <w:vAlign w:val="top"/>
          </w:tcPr>
          <w:p>
            <w:pPr>
              <w:spacing w:before="118" w:line="315" w:lineRule="exact"/>
              <w:ind w:firstLine="2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工作室</w:t>
            </w:r>
          </w:p>
          <w:p>
            <w:pPr>
              <w:spacing w:line="204" w:lineRule="auto"/>
              <w:ind w:firstLine="3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名称</w:t>
            </w:r>
          </w:p>
        </w:tc>
        <w:tc>
          <w:tcPr>
            <w:tcW w:w="3939" w:type="dxa"/>
            <w:tcBorders>
              <w:top w:val="single" w:color="000000" w:sz="6" w:space="0"/>
            </w:tcBorders>
            <w:vAlign w:val="top"/>
          </w:tcPr>
          <w:p>
            <w:pPr>
              <w:rPr>
                <w:rFonts w:ascii="Malgun Gothic"/>
                <w:sz w:val="21"/>
              </w:rPr>
            </w:pPr>
          </w:p>
        </w:tc>
        <w:tc>
          <w:tcPr>
            <w:tcW w:w="1622" w:type="dxa"/>
            <w:tcBorders>
              <w:top w:val="single" w:color="000000" w:sz="6" w:space="0"/>
            </w:tcBorders>
            <w:vAlign w:val="top"/>
          </w:tcPr>
          <w:p>
            <w:pPr>
              <w:spacing w:before="275" w:line="180" w:lineRule="auto"/>
              <w:ind w:firstLine="39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所属学院</w:t>
            </w:r>
          </w:p>
        </w:tc>
        <w:tc>
          <w:tcPr>
            <w:tcW w:w="2073"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9" w:hRule="atLeast"/>
        </w:trPr>
        <w:tc>
          <w:tcPr>
            <w:tcW w:w="1100" w:type="dxa"/>
            <w:tcBorders>
              <w:left w:val="single" w:color="000000" w:sz="6" w:space="0"/>
              <w:bottom w:val="nil"/>
            </w:tcBorders>
            <w:textDirection w:val="tbRlV"/>
            <w:vAlign w:val="top"/>
          </w:tcPr>
          <w:p>
            <w:pPr>
              <w:spacing w:before="442" w:line="180" w:lineRule="auto"/>
              <w:ind w:firstLine="10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工</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5"/>
                <w:sz w:val="21"/>
                <w:szCs w:val="21"/>
              </w:rPr>
              <w:t>作</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成</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5"/>
                <w:sz w:val="21"/>
                <w:szCs w:val="21"/>
              </w:rPr>
              <w:t>绩</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简</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介</w:t>
            </w:r>
          </w:p>
        </w:tc>
        <w:tc>
          <w:tcPr>
            <w:tcW w:w="7634" w:type="dxa"/>
            <w:gridSpan w:val="3"/>
            <w:tcBorders>
              <w:bottom w:val="nil"/>
              <w:right w:val="single" w:color="000000" w:sz="6" w:space="0"/>
            </w:tcBorders>
            <w:vAlign w:val="top"/>
          </w:tcPr>
          <w:p>
            <w:pPr>
              <w:spacing w:line="273" w:lineRule="auto"/>
              <w:rPr>
                <w:rFonts w:ascii="Malgun Gothic"/>
                <w:sz w:val="21"/>
              </w:rPr>
            </w:pPr>
          </w:p>
          <w:p>
            <w:pPr>
              <w:spacing w:line="273" w:lineRule="auto"/>
              <w:rPr>
                <w:rFonts w:ascii="Malgun Gothic"/>
                <w:sz w:val="21"/>
              </w:rPr>
            </w:pPr>
          </w:p>
          <w:p>
            <w:pPr>
              <w:spacing w:line="274" w:lineRule="auto"/>
              <w:rPr>
                <w:rFonts w:ascii="Malgun Gothic"/>
                <w:sz w:val="21"/>
              </w:rPr>
            </w:pPr>
          </w:p>
          <w:p>
            <w:pPr>
              <w:spacing w:line="274" w:lineRule="auto"/>
              <w:rPr>
                <w:rFonts w:ascii="Malgun Gothic"/>
                <w:sz w:val="21"/>
              </w:rPr>
            </w:pPr>
          </w:p>
          <w:p>
            <w:pPr>
              <w:spacing w:line="274" w:lineRule="auto"/>
              <w:rPr>
                <w:rFonts w:ascii="Malgun Gothic"/>
                <w:sz w:val="21"/>
              </w:rPr>
            </w:pPr>
          </w:p>
          <w:p>
            <w:pPr>
              <w:spacing w:line="274" w:lineRule="auto"/>
              <w:rPr>
                <w:rFonts w:ascii="Malgun Gothic"/>
                <w:sz w:val="21"/>
              </w:rPr>
            </w:pPr>
          </w:p>
          <w:p>
            <w:pPr>
              <w:spacing w:line="274" w:lineRule="auto"/>
              <w:rPr>
                <w:rFonts w:ascii="Malgun Gothic"/>
                <w:sz w:val="21"/>
              </w:rPr>
            </w:pPr>
          </w:p>
          <w:p>
            <w:pPr>
              <w:spacing w:before="75" w:line="193" w:lineRule="auto"/>
              <w:ind w:firstLine="407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100" w:type="dxa"/>
            <w:tcBorders>
              <w:top w:val="nil"/>
              <w:left w:val="single" w:color="000000" w:sz="6" w:space="0"/>
            </w:tcBorders>
            <w:vAlign w:val="top"/>
          </w:tcPr>
          <w:p>
            <w:pPr>
              <w:rPr>
                <w:rFonts w:ascii="Malgun Gothic"/>
                <w:sz w:val="21"/>
              </w:rPr>
            </w:pPr>
          </w:p>
        </w:tc>
        <w:tc>
          <w:tcPr>
            <w:tcW w:w="7634" w:type="dxa"/>
            <w:gridSpan w:val="3"/>
            <w:tcBorders>
              <w:top w:val="nil"/>
              <w:right w:val="single" w:color="000000" w:sz="6" w:space="0"/>
            </w:tcBorders>
            <w:vAlign w:val="top"/>
          </w:tcPr>
          <w:p>
            <w:pPr>
              <w:spacing w:before="314" w:line="180" w:lineRule="auto"/>
              <w:ind w:firstLine="4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6" w:hRule="atLeast"/>
        </w:trPr>
        <w:tc>
          <w:tcPr>
            <w:tcW w:w="1100" w:type="dxa"/>
            <w:tcBorders>
              <w:left w:val="single" w:color="000000" w:sz="6" w:space="0"/>
              <w:bottom w:val="nil"/>
            </w:tcBorders>
            <w:textDirection w:val="tbRlV"/>
            <w:vAlign w:val="top"/>
          </w:tcPr>
          <w:p>
            <w:pPr>
              <w:spacing w:before="442" w:line="180" w:lineRule="auto"/>
              <w:ind w:firstLine="1359"/>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院</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意</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1"/>
                <w:sz w:val="21"/>
                <w:szCs w:val="21"/>
              </w:rPr>
              <w:t>见</w:t>
            </w:r>
          </w:p>
        </w:tc>
        <w:tc>
          <w:tcPr>
            <w:tcW w:w="7634" w:type="dxa"/>
            <w:gridSpan w:val="3"/>
            <w:tcBorders>
              <w:bottom w:val="nil"/>
              <w:right w:val="single" w:color="000000" w:sz="6" w:space="0"/>
            </w:tcBorders>
            <w:vAlign w:val="top"/>
          </w:tcPr>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rPr>
                <w:rFonts w:ascii="Malgun Gothic"/>
                <w:sz w:val="21"/>
              </w:rPr>
            </w:pPr>
          </w:p>
          <w:p>
            <w:pPr>
              <w:spacing w:line="241" w:lineRule="auto"/>
              <w:rPr>
                <w:rFonts w:ascii="Malgun Gothic"/>
                <w:sz w:val="21"/>
              </w:rPr>
            </w:pPr>
          </w:p>
          <w:p>
            <w:pPr>
              <w:spacing w:before="75" w:line="180" w:lineRule="auto"/>
              <w:ind w:firstLine="4230"/>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学院盖章：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100" w:type="dxa"/>
            <w:tcBorders>
              <w:top w:val="nil"/>
              <w:left w:val="single" w:color="000000" w:sz="6" w:space="0"/>
            </w:tcBorders>
            <w:vAlign w:val="top"/>
          </w:tcPr>
          <w:p>
            <w:pPr>
              <w:rPr>
                <w:rFonts w:ascii="Malgun Gothic"/>
                <w:sz w:val="21"/>
              </w:rPr>
            </w:pPr>
          </w:p>
        </w:tc>
        <w:tc>
          <w:tcPr>
            <w:tcW w:w="7634" w:type="dxa"/>
            <w:gridSpan w:val="3"/>
            <w:tcBorders>
              <w:top w:val="nil"/>
              <w:right w:val="single" w:color="000000" w:sz="6" w:space="0"/>
            </w:tcBorders>
            <w:vAlign w:val="top"/>
          </w:tcPr>
          <w:p>
            <w:pPr>
              <w:spacing w:before="262" w:line="180" w:lineRule="auto"/>
              <w:ind w:firstLine="4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8" w:hRule="atLeast"/>
        </w:trPr>
        <w:tc>
          <w:tcPr>
            <w:tcW w:w="1100" w:type="dxa"/>
            <w:tcBorders>
              <w:left w:val="single" w:color="000000" w:sz="6" w:space="0"/>
              <w:bottom w:val="nil"/>
            </w:tcBorders>
            <w:textDirection w:val="tbRlV"/>
            <w:vAlign w:val="top"/>
          </w:tcPr>
          <w:p>
            <w:pPr>
              <w:spacing w:before="442" w:line="180" w:lineRule="auto"/>
              <w:ind w:firstLine="1184"/>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教</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务</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处</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3"/>
                <w:sz w:val="21"/>
                <w:szCs w:val="21"/>
              </w:rPr>
              <w:t>见</w:t>
            </w:r>
          </w:p>
        </w:tc>
        <w:tc>
          <w:tcPr>
            <w:tcW w:w="7634" w:type="dxa"/>
            <w:gridSpan w:val="3"/>
            <w:tcBorders>
              <w:bottom w:val="nil"/>
              <w:right w:val="single" w:color="000000" w:sz="6" w:space="0"/>
            </w:tcBorders>
            <w:vAlign w:val="top"/>
          </w:tcPr>
          <w:p>
            <w:pPr>
              <w:rPr>
                <w:rFonts w:ascii="Malgun Gothic"/>
                <w:sz w:val="21"/>
              </w:rPr>
            </w:pPr>
          </w:p>
          <w:p>
            <w:pPr>
              <w:rPr>
                <w:rFonts w:ascii="Malgun Gothic"/>
                <w:sz w:val="21"/>
              </w:rPr>
            </w:pPr>
          </w:p>
          <w:p>
            <w:pPr>
              <w:rPr>
                <w:rFonts w:ascii="Malgun Gothic"/>
                <w:sz w:val="21"/>
              </w:rPr>
            </w:pPr>
          </w:p>
          <w:p>
            <w:pPr>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before="76" w:line="180" w:lineRule="auto"/>
              <w:ind w:firstLine="3967"/>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教务处盖章：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100" w:type="dxa"/>
            <w:tcBorders>
              <w:top w:val="nil"/>
              <w:left w:val="single" w:color="000000" w:sz="6" w:space="0"/>
              <w:bottom w:val="single" w:color="000000" w:sz="6" w:space="0"/>
            </w:tcBorders>
            <w:vAlign w:val="top"/>
          </w:tcPr>
          <w:p>
            <w:pPr>
              <w:rPr>
                <w:rFonts w:ascii="Malgun Gothic"/>
                <w:sz w:val="21"/>
              </w:rPr>
            </w:pPr>
          </w:p>
        </w:tc>
        <w:tc>
          <w:tcPr>
            <w:tcW w:w="7634" w:type="dxa"/>
            <w:gridSpan w:val="3"/>
            <w:tcBorders>
              <w:top w:val="nil"/>
              <w:bottom w:val="single" w:color="000000" w:sz="6" w:space="0"/>
              <w:right w:val="single" w:color="000000" w:sz="6" w:space="0"/>
            </w:tcBorders>
            <w:vAlign w:val="top"/>
          </w:tcPr>
          <w:p>
            <w:pPr>
              <w:spacing w:before="315" w:line="180" w:lineRule="auto"/>
              <w:ind w:firstLine="4180"/>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日</w:t>
            </w:r>
          </w:p>
        </w:tc>
      </w:tr>
    </w:tbl>
    <w:p>
      <w:pPr>
        <w:spacing w:before="342"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338</w:t>
      </w:r>
    </w:p>
    <w:p>
      <w:pPr>
        <w:sectPr>
          <w:footerReference r:id="rId342" w:type="default"/>
          <w:pgSz w:w="11905" w:h="16840"/>
          <w:pgMar w:top="1431" w:right="1577" w:bottom="400" w:left="1578" w:header="0" w:footer="0" w:gutter="0"/>
          <w:cols w:space="720" w:num="1"/>
        </w:sectPr>
      </w:pPr>
    </w:p>
    <w:p>
      <w:pPr>
        <w:spacing w:before="385" w:line="166" w:lineRule="auto"/>
        <w:ind w:firstLine="2141"/>
        <w:rPr>
          <w:rFonts w:ascii="Microsoft JhengHei" w:hAnsi="Microsoft JhengHei" w:eastAsia="Microsoft JhengHei" w:cs="Microsoft JhengHei"/>
          <w:sz w:val="28"/>
          <w:szCs w:val="28"/>
        </w:rPr>
      </w:pPr>
      <w:r>
        <w:drawing>
          <wp:anchor distT="0" distB="0" distL="0" distR="0" simplePos="0" relativeHeight="251662336" behindDoc="0" locked="0" layoutInCell="0" allowOverlap="1">
            <wp:simplePos x="0" y="0"/>
            <wp:positionH relativeFrom="page">
              <wp:posOffset>1823720</wp:posOffset>
            </wp:positionH>
            <wp:positionV relativeFrom="page">
              <wp:posOffset>1344295</wp:posOffset>
            </wp:positionV>
            <wp:extent cx="533400" cy="8890"/>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363"/>
                    <a:stretch>
                      <a:fillRect/>
                    </a:stretch>
                  </pic:blipFill>
                  <pic:spPr>
                    <a:xfrm>
                      <a:off x="0" y="0"/>
                      <a:ext cx="533400" cy="9144"/>
                    </a:xfrm>
                    <a:prstGeom prst="rect">
                      <a:avLst/>
                    </a:prstGeom>
                  </pic:spPr>
                </pic:pic>
              </a:graphicData>
            </a:graphic>
          </wp:anchor>
        </w:drawing>
      </w:r>
      <w:r>
        <w:rPr>
          <w:rFonts w:ascii="Microsoft JhengHei" w:hAnsi="Microsoft JhengHei" w:eastAsia="Microsoft JhengHei" w:cs="Microsoft JhengHei"/>
          <w:spacing w:val="-1"/>
          <w:sz w:val="28"/>
          <w:szCs w:val="28"/>
        </w:rPr>
        <w:t>年度吉首大学创新实践优秀学生干部推荐表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1917"/>
        <w:gridCol w:w="1180"/>
        <w:gridCol w:w="1031"/>
        <w:gridCol w:w="1622"/>
        <w:gridCol w:w="2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3" w:hRule="atLeast"/>
        </w:trPr>
        <w:tc>
          <w:tcPr>
            <w:tcW w:w="910" w:type="dxa"/>
            <w:tcBorders>
              <w:top w:val="single" w:color="000000" w:sz="6" w:space="0"/>
              <w:left w:val="single" w:color="000000" w:sz="6" w:space="0"/>
            </w:tcBorders>
            <w:vAlign w:val="top"/>
          </w:tcPr>
          <w:p>
            <w:pPr>
              <w:spacing w:before="97" w:line="312" w:lineRule="exact"/>
              <w:ind w:firstLine="2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学生</w:t>
            </w:r>
          </w:p>
          <w:p>
            <w:pPr>
              <w:spacing w:line="204" w:lineRule="auto"/>
              <w:ind w:firstLine="2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姓名</w:t>
            </w:r>
          </w:p>
        </w:tc>
        <w:tc>
          <w:tcPr>
            <w:tcW w:w="1917" w:type="dxa"/>
            <w:tcBorders>
              <w:top w:val="single" w:color="000000" w:sz="6" w:space="0"/>
            </w:tcBorders>
            <w:vAlign w:val="top"/>
          </w:tcPr>
          <w:p>
            <w:pPr>
              <w:rPr>
                <w:rFonts w:ascii="Malgun Gothic"/>
                <w:sz w:val="21"/>
              </w:rPr>
            </w:pPr>
          </w:p>
        </w:tc>
        <w:tc>
          <w:tcPr>
            <w:tcW w:w="1180" w:type="dxa"/>
            <w:tcBorders>
              <w:top w:val="single" w:color="000000" w:sz="6" w:space="0"/>
            </w:tcBorders>
            <w:vAlign w:val="top"/>
          </w:tcPr>
          <w:p>
            <w:pPr>
              <w:spacing w:before="94" w:line="315" w:lineRule="exact"/>
              <w:ind w:firstLine="27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8"/>
                <w:sz w:val="21"/>
                <w:szCs w:val="21"/>
              </w:rPr>
              <w:t>工作室</w:t>
            </w:r>
          </w:p>
          <w:p>
            <w:pPr>
              <w:spacing w:line="204" w:lineRule="auto"/>
              <w:ind w:firstLine="381"/>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职务</w:t>
            </w:r>
          </w:p>
        </w:tc>
        <w:tc>
          <w:tcPr>
            <w:tcW w:w="1031" w:type="dxa"/>
            <w:tcBorders>
              <w:top w:val="single" w:color="000000" w:sz="6" w:space="0"/>
            </w:tcBorders>
            <w:vAlign w:val="top"/>
          </w:tcPr>
          <w:p>
            <w:pPr>
              <w:rPr>
                <w:rFonts w:ascii="Malgun Gothic"/>
                <w:sz w:val="21"/>
              </w:rPr>
            </w:pPr>
          </w:p>
        </w:tc>
        <w:tc>
          <w:tcPr>
            <w:tcW w:w="1622" w:type="dxa"/>
            <w:tcBorders>
              <w:top w:val="single" w:color="000000" w:sz="6" w:space="0"/>
            </w:tcBorders>
            <w:vAlign w:val="top"/>
          </w:tcPr>
          <w:p>
            <w:pPr>
              <w:spacing w:before="251" w:line="180" w:lineRule="auto"/>
              <w:ind w:firstLine="3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所属学院</w:t>
            </w:r>
          </w:p>
        </w:tc>
        <w:tc>
          <w:tcPr>
            <w:tcW w:w="2074"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2" w:hRule="atLeast"/>
        </w:trPr>
        <w:tc>
          <w:tcPr>
            <w:tcW w:w="910" w:type="dxa"/>
            <w:tcBorders>
              <w:left w:val="single" w:color="000000" w:sz="6" w:space="0"/>
              <w:bottom w:val="nil"/>
            </w:tcBorders>
            <w:textDirection w:val="tbRlV"/>
            <w:vAlign w:val="top"/>
          </w:tcPr>
          <w:p>
            <w:pPr>
              <w:spacing w:before="347" w:line="180" w:lineRule="auto"/>
              <w:ind w:firstLine="1798"/>
              <w:rPr>
                <w:rFonts w:ascii="方正书宋简体" w:hAnsi="方正书宋简体" w:eastAsia="方正书宋简体" w:cs="方正书宋简体"/>
                <w:sz w:val="21"/>
                <w:szCs w:val="21"/>
              </w:rPr>
            </w:pPr>
            <w:r>
              <w:rPr>
                <w:rFonts w:ascii="方正书宋简体" w:hAnsi="方正书宋简体" w:eastAsia="方正书宋简体" w:cs="方正书宋简体"/>
                <w:spacing w:val="-15"/>
                <w:sz w:val="21"/>
                <w:szCs w:val="21"/>
              </w:rPr>
              <w:t>工</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5"/>
                <w:sz w:val="21"/>
                <w:szCs w:val="21"/>
              </w:rPr>
              <w:t>作</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成</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5"/>
                <w:sz w:val="21"/>
                <w:szCs w:val="21"/>
              </w:rPr>
              <w:t>绩</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简</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5"/>
                <w:sz w:val="21"/>
                <w:szCs w:val="21"/>
              </w:rPr>
              <w:t>介</w:t>
            </w:r>
          </w:p>
        </w:tc>
        <w:tc>
          <w:tcPr>
            <w:tcW w:w="7824" w:type="dxa"/>
            <w:gridSpan w:val="5"/>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910" w:type="dxa"/>
            <w:tcBorders>
              <w:top w:val="nil"/>
              <w:left w:val="single" w:color="000000" w:sz="6" w:space="0"/>
              <w:bottom w:val="nil"/>
            </w:tcBorders>
            <w:vAlign w:val="top"/>
          </w:tcPr>
          <w:p>
            <w:pPr>
              <w:rPr>
                <w:rFonts w:ascii="Malgun Gothic"/>
                <w:sz w:val="21"/>
              </w:rPr>
            </w:pPr>
          </w:p>
        </w:tc>
        <w:tc>
          <w:tcPr>
            <w:tcW w:w="7824" w:type="dxa"/>
            <w:gridSpan w:val="5"/>
            <w:tcBorders>
              <w:top w:val="nil"/>
              <w:bottom w:val="nil"/>
              <w:right w:val="single" w:color="000000" w:sz="6" w:space="0"/>
            </w:tcBorders>
            <w:vAlign w:val="top"/>
          </w:tcPr>
          <w:p>
            <w:pPr>
              <w:spacing w:before="341" w:line="193" w:lineRule="auto"/>
              <w:ind w:firstLine="416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910" w:type="dxa"/>
            <w:tcBorders>
              <w:top w:val="nil"/>
              <w:left w:val="single" w:color="000000" w:sz="6" w:space="0"/>
            </w:tcBorders>
            <w:vAlign w:val="top"/>
          </w:tcPr>
          <w:p>
            <w:pPr>
              <w:rPr>
                <w:rFonts w:ascii="Malgun Gothic"/>
                <w:sz w:val="21"/>
              </w:rPr>
            </w:pPr>
          </w:p>
        </w:tc>
        <w:tc>
          <w:tcPr>
            <w:tcW w:w="7824" w:type="dxa"/>
            <w:gridSpan w:val="5"/>
            <w:tcBorders>
              <w:top w:val="nil"/>
              <w:right w:val="single" w:color="000000" w:sz="6" w:space="0"/>
            </w:tcBorders>
            <w:vAlign w:val="top"/>
          </w:tcPr>
          <w:p>
            <w:pPr>
              <w:spacing w:before="230" w:line="180" w:lineRule="auto"/>
              <w:ind w:firstLine="5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8" w:hRule="atLeast"/>
        </w:trPr>
        <w:tc>
          <w:tcPr>
            <w:tcW w:w="910" w:type="dxa"/>
            <w:tcBorders>
              <w:left w:val="single" w:color="000000" w:sz="6" w:space="0"/>
              <w:bottom w:val="nil"/>
            </w:tcBorders>
            <w:vAlign w:val="top"/>
          </w:tcPr>
          <w:p>
            <w:pPr>
              <w:spacing w:line="401" w:lineRule="auto"/>
              <w:rPr>
                <w:rFonts w:ascii="Malgun Gothic"/>
                <w:sz w:val="21"/>
              </w:rPr>
            </w:pPr>
          </w:p>
          <w:p>
            <w:pPr>
              <w:spacing w:before="75" w:line="251" w:lineRule="auto"/>
              <w:ind w:left="136" w:right="13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工作室</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指导教</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3"/>
                <w:sz w:val="21"/>
                <w:szCs w:val="21"/>
              </w:rPr>
              <w:t>师意见</w:t>
            </w:r>
          </w:p>
        </w:tc>
        <w:tc>
          <w:tcPr>
            <w:tcW w:w="7824" w:type="dxa"/>
            <w:gridSpan w:val="5"/>
            <w:tcBorders>
              <w:bottom w:val="nil"/>
              <w:right w:val="single" w:color="000000" w:sz="6" w:space="0"/>
            </w:tcBorders>
            <w:vAlign w:val="top"/>
          </w:tcPr>
          <w:p>
            <w:pPr>
              <w:spacing w:line="243" w:lineRule="auto"/>
              <w:rPr>
                <w:rFonts w:ascii="Malgun Gothic"/>
                <w:sz w:val="21"/>
              </w:rPr>
            </w:pPr>
          </w:p>
          <w:p>
            <w:pPr>
              <w:spacing w:line="243" w:lineRule="auto"/>
              <w:rPr>
                <w:rFonts w:ascii="Malgun Gothic"/>
                <w:sz w:val="21"/>
              </w:rPr>
            </w:pPr>
          </w:p>
          <w:p>
            <w:pPr>
              <w:spacing w:line="244" w:lineRule="auto"/>
              <w:rPr>
                <w:rFonts w:ascii="Malgun Gothic"/>
                <w:sz w:val="21"/>
              </w:rPr>
            </w:pPr>
          </w:p>
          <w:p>
            <w:pPr>
              <w:spacing w:before="74" w:line="180" w:lineRule="auto"/>
              <w:ind w:firstLine="317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指导老师签字：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910" w:type="dxa"/>
            <w:tcBorders>
              <w:top w:val="nil"/>
              <w:left w:val="single" w:color="000000" w:sz="6" w:space="0"/>
            </w:tcBorders>
            <w:vAlign w:val="top"/>
          </w:tcPr>
          <w:p>
            <w:pPr>
              <w:rPr>
                <w:rFonts w:ascii="Malgun Gothic"/>
                <w:sz w:val="21"/>
              </w:rPr>
            </w:pPr>
          </w:p>
        </w:tc>
        <w:tc>
          <w:tcPr>
            <w:tcW w:w="7824" w:type="dxa"/>
            <w:gridSpan w:val="5"/>
            <w:tcBorders>
              <w:top w:val="nil"/>
              <w:right w:val="single" w:color="000000" w:sz="6" w:space="0"/>
            </w:tcBorders>
            <w:vAlign w:val="top"/>
          </w:tcPr>
          <w:p>
            <w:pPr>
              <w:spacing w:before="192" w:line="180" w:lineRule="auto"/>
              <w:ind w:firstLine="5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trPr>
        <w:tc>
          <w:tcPr>
            <w:tcW w:w="910" w:type="dxa"/>
            <w:tcBorders>
              <w:left w:val="single" w:color="000000" w:sz="6" w:space="0"/>
            </w:tcBorders>
            <w:textDirection w:val="tbRlV"/>
            <w:vAlign w:val="top"/>
          </w:tcPr>
          <w:p>
            <w:pPr>
              <w:spacing w:before="347" w:line="180" w:lineRule="auto"/>
              <w:ind w:firstLine="279"/>
              <w:rPr>
                <w:rFonts w:ascii="方正书宋简体" w:hAnsi="方正书宋简体" w:eastAsia="方正书宋简体" w:cs="方正书宋简体"/>
                <w:sz w:val="21"/>
                <w:szCs w:val="21"/>
              </w:rPr>
            </w:pPr>
            <w:r>
              <w:rPr>
                <w:rFonts w:ascii="方正书宋简体" w:hAnsi="方正书宋简体" w:eastAsia="方正书宋简体" w:cs="方正书宋简体"/>
                <w:spacing w:val="-11"/>
                <w:sz w:val="21"/>
                <w:szCs w:val="21"/>
              </w:rPr>
              <w:t>学</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1"/>
                <w:sz w:val="21"/>
                <w:szCs w:val="21"/>
              </w:rPr>
              <w:t>院</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1"/>
                <w:sz w:val="21"/>
                <w:szCs w:val="21"/>
              </w:rPr>
              <w:t>意</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11"/>
                <w:sz w:val="21"/>
                <w:szCs w:val="21"/>
              </w:rPr>
              <w:t>见</w:t>
            </w:r>
          </w:p>
        </w:tc>
        <w:tc>
          <w:tcPr>
            <w:tcW w:w="7824" w:type="dxa"/>
            <w:gridSpan w:val="5"/>
            <w:tcBorders>
              <w:right w:val="single" w:color="000000" w:sz="6" w:space="0"/>
            </w:tcBorders>
            <w:vAlign w:val="top"/>
          </w:tcPr>
          <w:p>
            <w:pPr>
              <w:spacing w:line="245" w:lineRule="auto"/>
              <w:rPr>
                <w:rFonts w:ascii="Malgun Gothic"/>
                <w:sz w:val="21"/>
              </w:rPr>
            </w:pPr>
          </w:p>
          <w:p>
            <w:pPr>
              <w:spacing w:line="245" w:lineRule="auto"/>
              <w:rPr>
                <w:rFonts w:ascii="Malgun Gothic"/>
                <w:sz w:val="21"/>
              </w:rPr>
            </w:pPr>
          </w:p>
          <w:p>
            <w:pPr>
              <w:spacing w:before="76" w:line="180" w:lineRule="auto"/>
              <w:ind w:firstLine="4274"/>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学院盖章：</w:t>
            </w:r>
          </w:p>
          <w:p>
            <w:pPr>
              <w:spacing w:line="282" w:lineRule="auto"/>
              <w:rPr>
                <w:rFonts w:ascii="Malgun Gothic"/>
                <w:sz w:val="21"/>
              </w:rPr>
            </w:pPr>
          </w:p>
          <w:p>
            <w:pPr>
              <w:spacing w:before="75" w:line="180" w:lineRule="auto"/>
              <w:ind w:firstLine="5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8" w:hRule="atLeast"/>
        </w:trPr>
        <w:tc>
          <w:tcPr>
            <w:tcW w:w="910" w:type="dxa"/>
            <w:tcBorders>
              <w:left w:val="single" w:color="000000" w:sz="6" w:space="0"/>
              <w:bottom w:val="single" w:color="000000" w:sz="6" w:space="0"/>
            </w:tcBorders>
            <w:textDirection w:val="tbRlV"/>
            <w:vAlign w:val="top"/>
          </w:tcPr>
          <w:p>
            <w:pPr>
              <w:spacing w:before="347" w:line="180" w:lineRule="auto"/>
              <w:ind w:firstLine="102"/>
              <w:rPr>
                <w:rFonts w:ascii="方正书宋简体" w:hAnsi="方正书宋简体" w:eastAsia="方正书宋简体" w:cs="方正书宋简体"/>
                <w:sz w:val="21"/>
                <w:szCs w:val="21"/>
              </w:rPr>
            </w:pPr>
            <w:r>
              <w:rPr>
                <w:rFonts w:ascii="方正书宋简体" w:hAnsi="方正书宋简体" w:eastAsia="方正书宋简体" w:cs="方正书宋简体"/>
                <w:spacing w:val="-13"/>
                <w:sz w:val="21"/>
                <w:szCs w:val="21"/>
              </w:rPr>
              <w:t>教</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务</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13"/>
                <w:sz w:val="21"/>
                <w:szCs w:val="21"/>
              </w:rPr>
              <w:t>处</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13"/>
                <w:sz w:val="21"/>
                <w:szCs w:val="21"/>
              </w:rPr>
              <w:t>意</w:t>
            </w:r>
            <w:r>
              <w:rPr>
                <w:rFonts w:ascii="方正书宋简体" w:hAnsi="方正书宋简体" w:eastAsia="方正书宋简体" w:cs="方正书宋简体"/>
                <w:spacing w:val="7"/>
                <w:sz w:val="21"/>
                <w:szCs w:val="21"/>
              </w:rPr>
              <w:t xml:space="preserve">   </w:t>
            </w:r>
            <w:r>
              <w:rPr>
                <w:rFonts w:ascii="方正书宋简体" w:hAnsi="方正书宋简体" w:eastAsia="方正书宋简体" w:cs="方正书宋简体"/>
                <w:spacing w:val="-13"/>
                <w:sz w:val="21"/>
                <w:szCs w:val="21"/>
              </w:rPr>
              <w:t>见</w:t>
            </w:r>
          </w:p>
        </w:tc>
        <w:tc>
          <w:tcPr>
            <w:tcW w:w="7824" w:type="dxa"/>
            <w:gridSpan w:val="5"/>
            <w:tcBorders>
              <w:bottom w:val="single" w:color="000000" w:sz="6" w:space="0"/>
              <w:right w:val="single" w:color="000000" w:sz="6" w:space="0"/>
            </w:tcBorders>
            <w:vAlign w:val="top"/>
          </w:tcPr>
          <w:p>
            <w:pPr>
              <w:spacing w:line="305" w:lineRule="auto"/>
              <w:rPr>
                <w:rFonts w:ascii="Malgun Gothic"/>
                <w:sz w:val="21"/>
              </w:rPr>
            </w:pPr>
          </w:p>
          <w:p>
            <w:pPr>
              <w:spacing w:line="306" w:lineRule="auto"/>
              <w:rPr>
                <w:rFonts w:ascii="Malgun Gothic"/>
                <w:sz w:val="21"/>
              </w:rPr>
            </w:pPr>
          </w:p>
          <w:p>
            <w:pPr>
              <w:spacing w:before="75" w:line="180" w:lineRule="auto"/>
              <w:ind w:firstLine="4063"/>
              <w:rPr>
                <w:rFonts w:ascii="方正书宋简体" w:hAnsi="方正书宋简体" w:eastAsia="方正书宋简体" w:cs="方正书宋简体"/>
                <w:sz w:val="21"/>
                <w:szCs w:val="21"/>
              </w:rPr>
            </w:pPr>
            <w:r>
              <w:rPr>
                <w:rFonts w:ascii="方正书宋简体" w:hAnsi="方正书宋简体" w:eastAsia="方正书宋简体" w:cs="方正书宋简体"/>
                <w:spacing w:val="-6"/>
                <w:sz w:val="21"/>
                <w:szCs w:val="21"/>
              </w:rPr>
              <w:t>教务处盖章：</w:t>
            </w:r>
          </w:p>
          <w:p>
            <w:pPr>
              <w:spacing w:before="140" w:line="180" w:lineRule="auto"/>
              <w:ind w:firstLine="5375"/>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年</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sz w:val="21"/>
                <w:szCs w:val="21"/>
              </w:rPr>
              <w:t>日</w:t>
            </w:r>
          </w:p>
        </w:tc>
      </w:tr>
    </w:tbl>
    <w:p>
      <w:pPr>
        <w:spacing w:before="184" w:line="180"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备注：附学生在校成绩单一份</w:t>
      </w:r>
    </w:p>
    <w:p>
      <w:pPr>
        <w:spacing w:line="297" w:lineRule="auto"/>
        <w:rPr>
          <w:rFonts w:ascii="Malgun Gothic"/>
          <w:sz w:val="21"/>
        </w:rPr>
      </w:pPr>
    </w:p>
    <w:p>
      <w:pPr>
        <w:spacing w:before="60"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339</w:t>
      </w:r>
    </w:p>
    <w:p>
      <w:pPr>
        <w:sectPr>
          <w:footerReference r:id="rId343" w:type="default"/>
          <w:pgSz w:w="11905" w:h="16840"/>
          <w:pgMar w:top="1431" w:right="1577" w:bottom="400" w:left="1578" w:header="0" w:footer="0" w:gutter="0"/>
          <w:cols w:space="720" w:num="1"/>
        </w:sectPr>
      </w:pPr>
    </w:p>
    <w:p>
      <w:pPr>
        <w:spacing w:before="349" w:line="180" w:lineRule="auto"/>
        <w:ind w:firstLine="181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吉首大学优秀实习指导教师评选办法</w:t>
      </w:r>
    </w:p>
    <w:p>
      <w:pPr>
        <w:spacing w:line="315" w:lineRule="auto"/>
        <w:rPr>
          <w:rFonts w:ascii="Malgun Gothic"/>
          <w:sz w:val="21"/>
        </w:rPr>
      </w:pPr>
    </w:p>
    <w:p>
      <w:pPr>
        <w:spacing w:before="86" w:line="316" w:lineRule="auto"/>
        <w:ind w:right="100"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为了进一步加强我校本专科生的实习教学工作，不断提高实践教学质量，表彰</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鼓励在实习教学过程中表现突出、成绩显著的指导教师，特制定本办法。</w:t>
      </w:r>
    </w:p>
    <w:p>
      <w:pPr>
        <w:spacing w:before="2" w:line="201"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一、评选原则：</w:t>
      </w:r>
    </w:p>
    <w:p>
      <w:pPr>
        <w:spacing w:before="159"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坚持公开、公正、公平的原则，坚持择优选拔、专项推荐原则。</w:t>
      </w:r>
    </w:p>
    <w:p>
      <w:pPr>
        <w:spacing w:before="194" w:line="180"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二、评选对象：</w:t>
      </w:r>
    </w:p>
    <w:p>
      <w:pPr>
        <w:spacing w:before="193"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本年度承担集中进行毕业实习指导任务的指导教师。</w:t>
      </w:r>
    </w:p>
    <w:p>
      <w:pPr>
        <w:spacing w:before="191"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三、评选条件：</w:t>
      </w:r>
    </w:p>
    <w:p>
      <w:pPr>
        <w:spacing w:before="193"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1、承担了全日制普通本专科生的集中毕业实习教学任务。</w:t>
      </w:r>
    </w:p>
    <w:p>
      <w:pPr>
        <w:spacing w:before="194" w:line="314" w:lineRule="auto"/>
        <w:ind w:left="1" w:right="89"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2、按照专业培养目标和实习教学计划，能认真制订并严格执行实习教学进度，</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2"/>
          <w:sz w:val="24"/>
          <w:szCs w:val="24"/>
        </w:rPr>
        <w:t>周密安排实习过程中的各个教学环节，实习教学准备充分，教学方法科学实用，指</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导答疑耐心细致，实习教学效果优秀，深受学生好评。</w:t>
      </w:r>
    </w:p>
    <w:p>
      <w:pPr>
        <w:spacing w:before="8" w:line="315" w:lineRule="auto"/>
        <w:ind w:left="1" w:right="89"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3、严格遵守实习教学工作规章制度，认真履行指导教师工作职责，教书育人，</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为人师表，重视学生政治思想、专业素质、创新意识和实践能力的培养与提高，事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4"/>
          <w:sz w:val="24"/>
          <w:szCs w:val="24"/>
        </w:rPr>
        <w:t>迹典型，成效突出。</w:t>
      </w:r>
    </w:p>
    <w:p>
      <w:pPr>
        <w:spacing w:line="239" w:lineRule="auto"/>
        <w:ind w:left="6"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4、认真批改、评阅学生的实习作业和实习报告，及时沟通交流实习教学状况，</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sz w:val="24"/>
          <w:szCs w:val="24"/>
        </w:rPr>
        <w:t>客观公正考核学生实习成绩，</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积极开展实习教学工作总结，</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11"/>
          <w:sz w:val="24"/>
          <w:szCs w:val="24"/>
        </w:rPr>
        <w:t>不断提高实习教学效果。</w:t>
      </w:r>
    </w:p>
    <w:p>
      <w:pPr>
        <w:spacing w:before="216" w:line="315" w:lineRule="auto"/>
        <w:ind w:left="2"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5、重视实习教学工作的安全教育和管理，</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关心学生的生活与健康，</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实习期间无</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违纪违规现象及安全事故。</w:t>
      </w:r>
    </w:p>
    <w:p>
      <w:pPr>
        <w:spacing w:before="3" w:line="201"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6、主动积极加强与实习基地的沟通，整个实习工作得到实习基地的认可。</w:t>
      </w:r>
    </w:p>
    <w:p>
      <w:pPr>
        <w:spacing w:before="164" w:line="180"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三、评选程序：</w:t>
      </w:r>
    </w:p>
    <w:p>
      <w:pPr>
        <w:spacing w:before="191" w:line="315" w:lineRule="auto"/>
        <w:ind w:left="3" w:right="91"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1、个人申报：</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1"/>
          <w:sz w:val="24"/>
          <w:szCs w:val="24"/>
        </w:rPr>
        <w:t>我校在编教师和实习教学基地单位专业技术人员，</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符合以上条件</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者可申报优秀实习指导教师。</w:t>
      </w:r>
    </w:p>
    <w:p>
      <w:pPr>
        <w:spacing w:before="4" w:line="264" w:lineRule="auto"/>
        <w:ind w:right="12"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w w:val="99"/>
          <w:sz w:val="24"/>
          <w:szCs w:val="24"/>
        </w:rPr>
        <w:t>2、学院推荐：</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12"/>
          <w:w w:val="99"/>
          <w:sz w:val="24"/>
          <w:szCs w:val="24"/>
        </w:rPr>
        <w:t>各教学单位应在广泛征求师生意见的基础上，</w:t>
      </w:r>
      <w:r>
        <w:rPr>
          <w:rFonts w:ascii="方正书宋简体" w:hAnsi="方正书宋简体" w:eastAsia="方正书宋简体" w:cs="方正书宋简体"/>
          <w:spacing w:val="56"/>
          <w:w w:val="101"/>
          <w:sz w:val="24"/>
          <w:szCs w:val="24"/>
        </w:rPr>
        <w:t xml:space="preserve"> </w:t>
      </w:r>
      <w:r>
        <w:rPr>
          <w:rFonts w:ascii="方正书宋简体" w:hAnsi="方正书宋简体" w:eastAsia="方正书宋简体" w:cs="方正书宋简体"/>
          <w:spacing w:val="-12"/>
          <w:w w:val="99"/>
          <w:sz w:val="24"/>
          <w:szCs w:val="24"/>
        </w:rPr>
        <w:t>研究确定推荐人选，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并在规定时间内将《吉首大学优秀实习指导教师推荐表》上报教务处。每个学院推</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荐一名优秀实习指导教师，及时上报，逾期视为放弃。</w:t>
      </w:r>
    </w:p>
    <w:p>
      <w:pPr>
        <w:spacing w:before="214" w:line="304" w:lineRule="auto"/>
        <w:ind w:left="4" w:right="91"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3、学校审核：</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教务处对各单位报送的有关材料进行审核。对吉首大学优秀实习</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指导教师获得者颁发荣誉证书，并发文通报表彰。</w:t>
      </w:r>
    </w:p>
    <w:p>
      <w:pPr>
        <w:spacing w:before="36" w:line="180" w:lineRule="auto"/>
        <w:ind w:firstLine="50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四、本办法自公布之日起执行，由教务处负责解释。</w:t>
      </w:r>
    </w:p>
    <w:p>
      <w:pPr>
        <w:spacing w:before="250"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340</w:t>
      </w:r>
    </w:p>
    <w:p>
      <w:pPr>
        <w:sectPr>
          <w:footerReference r:id="rId344" w:type="default"/>
          <w:pgSz w:w="11905" w:h="16840"/>
          <w:pgMar w:top="1431" w:right="1496" w:bottom="400" w:left="1590" w:header="0" w:footer="0" w:gutter="0"/>
          <w:cols w:space="720" w:num="1"/>
        </w:sectPr>
      </w:pPr>
    </w:p>
    <w:p>
      <w:pPr>
        <w:spacing w:before="349" w:line="180" w:lineRule="auto"/>
        <w:ind w:firstLine="505"/>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吉首大学本科生优秀毕业论文（设计）指导教师评选办法</w:t>
      </w:r>
    </w:p>
    <w:p>
      <w:pPr>
        <w:spacing w:line="317" w:lineRule="auto"/>
        <w:rPr>
          <w:rFonts w:ascii="Malgun Gothic"/>
          <w:sz w:val="21"/>
        </w:rPr>
      </w:pPr>
    </w:p>
    <w:p>
      <w:pPr>
        <w:spacing w:before="87" w:line="284" w:lineRule="auto"/>
        <w:ind w:left="135" w:right="82"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为进一步加强我校毕业设计（论文）工作，完善毕业设计（论文）管理，鼓励</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教师认真做好毕业设计（论文）指导工作，真正发挥指导教师在毕业设计（论文）</w:t>
      </w:r>
      <w:r>
        <w:rPr>
          <w:rFonts w:ascii="方正书宋简体" w:hAnsi="方正书宋简体" w:eastAsia="方正书宋简体" w:cs="方正书宋简体"/>
          <w:spacing w:val="22"/>
          <w:w w:val="101"/>
          <w:sz w:val="24"/>
          <w:szCs w:val="24"/>
        </w:rPr>
        <w:t xml:space="preserve"> </w:t>
      </w:r>
      <w:r>
        <w:rPr>
          <w:rFonts w:ascii="方正书宋简体" w:hAnsi="方正书宋简体" w:eastAsia="方正书宋简体" w:cs="方正书宋简体"/>
          <w:spacing w:val="2"/>
          <w:sz w:val="24"/>
          <w:szCs w:val="24"/>
        </w:rPr>
        <w:t>工作中培养学生综合素质及实践能力、创新能力的作用，提高毕业设计（论文）教</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1"/>
          <w:sz w:val="24"/>
          <w:szCs w:val="24"/>
        </w:rPr>
        <w:t>学质量和水平，学校决定每年进行一次校级毕业设计（论文）优秀指导教师评选，</w:t>
      </w:r>
      <w:r>
        <w:rPr>
          <w:rFonts w:ascii="方正书宋简体" w:hAnsi="方正书宋简体" w:eastAsia="方正书宋简体" w:cs="方正书宋简体"/>
          <w:spacing w:val="3"/>
          <w:w w:val="102"/>
          <w:sz w:val="24"/>
          <w:szCs w:val="24"/>
        </w:rPr>
        <w:t xml:space="preserve">  </w:t>
      </w:r>
      <w:r>
        <w:rPr>
          <w:rFonts w:ascii="方正书宋简体" w:hAnsi="方正书宋简体" w:eastAsia="方正书宋简体" w:cs="方正书宋简体"/>
          <w:spacing w:val="-8"/>
          <w:sz w:val="24"/>
          <w:szCs w:val="24"/>
        </w:rPr>
        <w:t>办法如下：</w:t>
      </w:r>
    </w:p>
    <w:p>
      <w:pPr>
        <w:spacing w:before="207" w:line="180" w:lineRule="auto"/>
        <w:ind w:firstLine="62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一、评选范围</w:t>
      </w:r>
    </w:p>
    <w:p>
      <w:pPr>
        <w:spacing w:before="152" w:line="238" w:lineRule="auto"/>
        <w:ind w:left="137" w:right="91"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当年指导本科生进行毕业设计（论文</w:t>
      </w:r>
      <w:r>
        <w:rPr>
          <w:rFonts w:ascii="方正书宋简体" w:hAnsi="方正书宋简体" w:eastAsia="方正书宋简体" w:cs="方正书宋简体"/>
          <w:spacing w:val="-87"/>
          <w:sz w:val="24"/>
          <w:szCs w:val="24"/>
        </w:rPr>
        <w:t>），</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8"/>
          <w:sz w:val="24"/>
          <w:szCs w:val="24"/>
        </w:rPr>
        <w:t>并在指导学生毕业设计（论文）</w:t>
      </w:r>
      <w:r>
        <w:rPr>
          <w:rFonts w:ascii="方正书宋简体" w:hAnsi="方正书宋简体" w:eastAsia="方正书宋简体" w:cs="方正书宋简体"/>
          <w:spacing w:val="51"/>
          <w:sz w:val="24"/>
          <w:szCs w:val="24"/>
        </w:rPr>
        <w:t xml:space="preserve"> </w:t>
      </w:r>
      <w:r>
        <w:rPr>
          <w:rFonts w:ascii="方正书宋简体" w:hAnsi="方正书宋简体" w:eastAsia="方正书宋简体" w:cs="方正书宋简体"/>
          <w:spacing w:val="-8"/>
          <w:sz w:val="24"/>
          <w:szCs w:val="24"/>
        </w:rPr>
        <w:t>过程中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没有出现教学事故的教师均可参加评选。</w:t>
      </w:r>
    </w:p>
    <w:p>
      <w:pPr>
        <w:spacing w:before="206" w:line="180" w:lineRule="auto"/>
        <w:ind w:firstLine="6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二、评选条件</w:t>
      </w:r>
    </w:p>
    <w:p>
      <w:pPr>
        <w:spacing w:before="152"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（一）全面落实、严格执行学校及学院关于毕业设计（论文）的有关规定。</w:t>
      </w:r>
    </w:p>
    <w:p>
      <w:pPr>
        <w:spacing w:before="194" w:line="315" w:lineRule="auto"/>
        <w:ind w:left="131" w:right="92" w:firstLine="348"/>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（二）</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2"/>
          <w:sz w:val="24"/>
          <w:szCs w:val="24"/>
        </w:rPr>
        <w:t>积极承担毕业设计（论文）</w:t>
      </w:r>
      <w:r>
        <w:rPr>
          <w:rFonts w:ascii="方正书宋简体" w:hAnsi="方正书宋简体" w:eastAsia="方正书宋简体" w:cs="方正书宋简体"/>
          <w:spacing w:val="50"/>
          <w:w w:val="101"/>
          <w:sz w:val="24"/>
          <w:szCs w:val="24"/>
        </w:rPr>
        <w:t xml:space="preserve"> </w:t>
      </w:r>
      <w:r>
        <w:rPr>
          <w:rFonts w:ascii="方正书宋简体" w:hAnsi="方正书宋简体" w:eastAsia="方正书宋简体" w:cs="方正书宋简体"/>
          <w:spacing w:val="-12"/>
          <w:sz w:val="24"/>
          <w:szCs w:val="24"/>
        </w:rPr>
        <w:t>指导任务，</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2"/>
          <w:sz w:val="24"/>
          <w:szCs w:val="24"/>
        </w:rPr>
        <w:t>重视并按照规定指导学生完成毕业</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设计（论文）工作。指导的学生选题符合专业培养目标要求，重视培养学生综合运</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1"/>
          <w:sz w:val="24"/>
          <w:szCs w:val="24"/>
        </w:rPr>
        <w:t>用所学知识、独立分析和解决实际问题的能力，培养学生的创新意识和创新能力，</w:t>
      </w:r>
      <w:r>
        <w:rPr>
          <w:rFonts w:ascii="方正书宋简体" w:hAnsi="方正书宋简体" w:eastAsia="方正书宋简体" w:cs="方正书宋简体"/>
          <w:spacing w:val="5"/>
          <w:w w:val="102"/>
          <w:sz w:val="24"/>
          <w:szCs w:val="24"/>
        </w:rPr>
        <w:t xml:space="preserve">  </w:t>
      </w:r>
      <w:r>
        <w:rPr>
          <w:rFonts w:ascii="方正书宋简体" w:hAnsi="方正书宋简体" w:eastAsia="方正书宋简体" w:cs="方正书宋简体"/>
          <w:spacing w:val="-2"/>
          <w:sz w:val="24"/>
          <w:szCs w:val="24"/>
        </w:rPr>
        <w:t>使学生获得较好的科学研究基础训练。</w:t>
      </w:r>
    </w:p>
    <w:p>
      <w:pPr>
        <w:spacing w:before="5" w:line="314" w:lineRule="auto"/>
        <w:ind w:right="9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（三）</w:t>
      </w:r>
      <w:r>
        <w:rPr>
          <w:rFonts w:ascii="方正书宋简体" w:hAnsi="方正书宋简体" w:eastAsia="方正书宋简体" w:cs="方正书宋简体"/>
          <w:spacing w:val="75"/>
          <w:sz w:val="24"/>
          <w:szCs w:val="24"/>
        </w:rPr>
        <w:t xml:space="preserve"> </w:t>
      </w:r>
      <w:r>
        <w:rPr>
          <w:rFonts w:ascii="方正书宋简体" w:hAnsi="方正书宋简体" w:eastAsia="方正书宋简体" w:cs="方正书宋简体"/>
          <w:spacing w:val="-9"/>
          <w:sz w:val="24"/>
          <w:szCs w:val="24"/>
        </w:rPr>
        <w:t>工作作风严谨、认真负责、对学生要求严格。能全面了解学生情况，</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9"/>
          <w:sz w:val="24"/>
          <w:szCs w:val="24"/>
        </w:rPr>
        <w:t>周密</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6"/>
          <w:sz w:val="24"/>
          <w:szCs w:val="24"/>
        </w:rPr>
        <w:t>安排毕业设计（论文）的进度计划，按有关规定对学生毕业设计（论文）的各个环</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6"/>
          <w:sz w:val="24"/>
          <w:szCs w:val="24"/>
        </w:rPr>
        <w:t>节进行深入细致的指导，指导工作量饱满，鼓励学生创新，及时检查学生毕业设计</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（论文）进度，做好书面指导记录。</w:t>
      </w:r>
    </w:p>
    <w:p>
      <w:pPr>
        <w:spacing w:before="5" w:line="314" w:lineRule="auto"/>
        <w:ind w:left="135" w:right="111"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（四）认真评阅毕业设计（论文</w:t>
      </w:r>
      <w:r>
        <w:rPr>
          <w:rFonts w:ascii="方正书宋简体" w:hAnsi="方正书宋简体" w:eastAsia="方正书宋简体" w:cs="方正书宋简体"/>
          <w:spacing w:val="13"/>
          <w:sz w:val="24"/>
          <w:szCs w:val="24"/>
        </w:rPr>
        <w:t>），</w:t>
      </w:r>
      <w:r>
        <w:rPr>
          <w:rFonts w:ascii="方正书宋简体" w:hAnsi="方正书宋简体" w:eastAsia="方正书宋简体" w:cs="方正书宋简体"/>
          <w:spacing w:val="-2"/>
          <w:sz w:val="24"/>
          <w:szCs w:val="24"/>
        </w:rPr>
        <w:t>严格按照评分标准，客观公正地评定学生的</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6"/>
          <w:sz w:val="24"/>
          <w:szCs w:val="24"/>
        </w:rPr>
        <w:t>相关成绩。</w:t>
      </w:r>
    </w:p>
    <w:p>
      <w:pPr>
        <w:spacing w:before="2" w:line="316" w:lineRule="auto"/>
        <w:ind w:right="91"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（五）</w:t>
      </w:r>
      <w:r>
        <w:rPr>
          <w:rFonts w:ascii="方正书宋简体" w:hAnsi="方正书宋简体" w:eastAsia="方正书宋简体" w:cs="方正书宋简体"/>
          <w:spacing w:val="56"/>
          <w:sz w:val="24"/>
          <w:szCs w:val="24"/>
        </w:rPr>
        <w:t xml:space="preserve"> </w:t>
      </w:r>
      <w:r>
        <w:rPr>
          <w:rFonts w:ascii="方正书宋简体" w:hAnsi="方正书宋简体" w:eastAsia="方正书宋简体" w:cs="方正书宋简体"/>
          <w:spacing w:val="-7"/>
          <w:sz w:val="24"/>
          <w:szCs w:val="24"/>
        </w:rPr>
        <w:t>毕业设计（论文）</w:t>
      </w:r>
      <w:r>
        <w:rPr>
          <w:rFonts w:ascii="方正书宋简体" w:hAnsi="方正书宋简体" w:eastAsia="方正书宋简体" w:cs="方正书宋简体"/>
          <w:spacing w:val="52"/>
          <w:sz w:val="24"/>
          <w:szCs w:val="24"/>
        </w:rPr>
        <w:t xml:space="preserve"> </w:t>
      </w:r>
      <w:r>
        <w:rPr>
          <w:rFonts w:ascii="方正书宋简体" w:hAnsi="方正书宋简体" w:eastAsia="方正书宋简体" w:cs="方正书宋简体"/>
          <w:spacing w:val="-7"/>
          <w:sz w:val="24"/>
          <w:szCs w:val="24"/>
        </w:rPr>
        <w:t>教学文档填写详细、认真、规范。所指导学生毕业设计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
          <w:sz w:val="24"/>
          <w:szCs w:val="24"/>
        </w:rPr>
        <w:t>（论文）的各项资料符合规范化要求，按时归档。</w:t>
      </w:r>
    </w:p>
    <w:p>
      <w:pPr>
        <w:spacing w:before="1" w:line="201"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（六）</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12"/>
          <w:sz w:val="24"/>
          <w:szCs w:val="24"/>
        </w:rPr>
        <w:t>当年所指导的毕业设计（论文）</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sz w:val="24"/>
          <w:szCs w:val="24"/>
        </w:rPr>
        <w:t>中至少有一篇获得优秀毕业设计（论文）。</w:t>
      </w:r>
    </w:p>
    <w:p>
      <w:pPr>
        <w:spacing w:before="148" w:line="180" w:lineRule="auto"/>
        <w:ind w:firstLine="628"/>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三、评选原则</w:t>
      </w:r>
    </w:p>
    <w:p>
      <w:pPr>
        <w:spacing w:before="151" w:line="180" w:lineRule="auto"/>
        <w:ind w:firstLine="613"/>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评选应坚持全面考核、实事求是的原则，</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16"/>
          <w:sz w:val="24"/>
          <w:szCs w:val="24"/>
        </w:rPr>
        <w:t>力求优中选优，</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6"/>
          <w:sz w:val="24"/>
          <w:szCs w:val="24"/>
        </w:rPr>
        <w:t>依据标准，</w:t>
      </w:r>
      <w:r>
        <w:rPr>
          <w:rFonts w:ascii="方正书宋简体" w:hAnsi="方正书宋简体" w:eastAsia="方正书宋简体" w:cs="方正书宋简体"/>
          <w:spacing w:val="26"/>
          <w:w w:val="101"/>
          <w:sz w:val="24"/>
          <w:szCs w:val="24"/>
        </w:rPr>
        <w:t xml:space="preserve">  </w:t>
      </w:r>
      <w:r>
        <w:rPr>
          <w:rFonts w:ascii="方正书宋简体" w:hAnsi="方正书宋简体" w:eastAsia="方正书宋简体" w:cs="方正书宋简体"/>
          <w:spacing w:val="-16"/>
          <w:sz w:val="24"/>
          <w:szCs w:val="24"/>
        </w:rPr>
        <w:t>宁缺勿滥。</w:t>
      </w:r>
    </w:p>
    <w:p>
      <w:pPr>
        <w:spacing w:before="181" w:line="180" w:lineRule="auto"/>
        <w:ind w:firstLine="638"/>
        <w:rPr>
          <w:rFonts w:ascii="Microsoft JhengHei" w:hAnsi="Microsoft JhengHei" w:eastAsia="Microsoft JhengHei" w:cs="Microsoft JhengHei"/>
          <w:sz w:val="24"/>
          <w:szCs w:val="24"/>
        </w:rPr>
      </w:pPr>
      <w:r>
        <w:rPr>
          <w:rFonts w:ascii="Microsoft JhengHei" w:hAnsi="Microsoft JhengHei" w:eastAsia="Microsoft JhengHei" w:cs="Microsoft JhengHei"/>
          <w:spacing w:val="-4"/>
          <w:sz w:val="24"/>
          <w:szCs w:val="24"/>
        </w:rPr>
        <w:t>四、评选办法</w:t>
      </w:r>
    </w:p>
    <w:p>
      <w:pPr>
        <w:spacing w:before="152" w:line="180" w:lineRule="auto"/>
        <w:ind w:firstLine="61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优秀指导教师由学院评选推荐，学校审核评定：</w:t>
      </w:r>
    </w:p>
    <w:p>
      <w:pPr>
        <w:spacing w:before="191"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（一）</w:t>
      </w:r>
      <w:r>
        <w:rPr>
          <w:rFonts w:ascii="方正书宋简体" w:hAnsi="方正书宋简体" w:eastAsia="方正书宋简体" w:cs="方正书宋简体"/>
          <w:spacing w:val="61"/>
          <w:w w:val="101"/>
          <w:sz w:val="24"/>
          <w:szCs w:val="24"/>
        </w:rPr>
        <w:t xml:space="preserve"> </w:t>
      </w:r>
      <w:r>
        <w:rPr>
          <w:rFonts w:ascii="方正书宋简体" w:hAnsi="方正书宋简体" w:eastAsia="方正书宋简体" w:cs="方正书宋简体"/>
          <w:spacing w:val="-7"/>
          <w:sz w:val="24"/>
          <w:szCs w:val="24"/>
        </w:rPr>
        <w:t>毕业设计（论文）</w:t>
      </w:r>
      <w:r>
        <w:rPr>
          <w:rFonts w:ascii="方正书宋简体" w:hAnsi="方正书宋简体" w:eastAsia="方正书宋简体" w:cs="方正书宋简体"/>
          <w:spacing w:val="47"/>
          <w:sz w:val="24"/>
          <w:szCs w:val="24"/>
        </w:rPr>
        <w:t xml:space="preserve"> </w:t>
      </w:r>
      <w:r>
        <w:rPr>
          <w:rFonts w:ascii="方正书宋简体" w:hAnsi="方正书宋简体" w:eastAsia="方正书宋简体" w:cs="方正书宋简体"/>
          <w:spacing w:val="-7"/>
          <w:sz w:val="24"/>
          <w:szCs w:val="24"/>
        </w:rPr>
        <w:t>优秀指导教师由指导教师根据评选条件自愿向学院申请</w:t>
      </w:r>
    </w:p>
    <w:p>
      <w:pPr>
        <w:spacing w:before="252" w:line="180" w:lineRule="auto"/>
        <w:ind w:firstLine="434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341</w:t>
      </w:r>
    </w:p>
    <w:p>
      <w:pPr>
        <w:sectPr>
          <w:footerReference r:id="rId345" w:type="default"/>
          <w:pgSz w:w="11905" w:h="16840"/>
          <w:pgMar w:top="1431" w:right="1493" w:bottom="400" w:left="1457" w:header="0" w:footer="0" w:gutter="0"/>
          <w:cols w:space="720" w:num="1"/>
        </w:sectPr>
      </w:pPr>
    </w:p>
    <w:p>
      <w:pPr>
        <w:spacing w:before="429" w:line="180"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或者由教研室（研究所）推荐。</w:t>
      </w:r>
    </w:p>
    <w:p>
      <w:pPr>
        <w:spacing w:before="189" w:line="316"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4"/>
          <w:sz w:val="24"/>
          <w:szCs w:val="24"/>
        </w:rPr>
        <w:t>（二）</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4"/>
          <w:sz w:val="24"/>
          <w:szCs w:val="24"/>
        </w:rPr>
        <w:t>学院根据评选条件和指导教师工作业绩组织推选。学院推荐名额原则上一</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个专业（当年度有毕业学生）评选一名优秀指导教师，且在每年毕业设计（论文）</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2"/>
          <w:sz w:val="24"/>
          <w:szCs w:val="24"/>
        </w:rPr>
        <w:t>工作结束后，及时完成推选报送工作。</w:t>
      </w:r>
    </w:p>
    <w:p>
      <w:pPr>
        <w:spacing w:before="2" w:line="314" w:lineRule="auto"/>
        <w:ind w:left="4" w:right="9" w:firstLine="342"/>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（三）</w:t>
      </w:r>
      <w:r>
        <w:rPr>
          <w:rFonts w:ascii="方正书宋简体" w:hAnsi="方正书宋简体" w:eastAsia="方正书宋简体" w:cs="方正书宋简体"/>
          <w:spacing w:val="60"/>
          <w:w w:val="101"/>
          <w:sz w:val="24"/>
          <w:szCs w:val="24"/>
        </w:rPr>
        <w:t xml:space="preserve"> </w:t>
      </w:r>
      <w:r>
        <w:rPr>
          <w:rFonts w:ascii="方正书宋简体" w:hAnsi="方正书宋简体" w:eastAsia="方正书宋简体" w:cs="方正书宋简体"/>
          <w:spacing w:val="-13"/>
          <w:sz w:val="24"/>
          <w:szCs w:val="24"/>
        </w:rPr>
        <w:t>教务处根据各学院推荐进行初审，</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3"/>
          <w:sz w:val="24"/>
          <w:szCs w:val="24"/>
        </w:rPr>
        <w:t>组织审定优秀指导教师名单，</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3"/>
          <w:sz w:val="24"/>
          <w:szCs w:val="24"/>
        </w:rPr>
        <w:t>报主管校</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长审批。</w:t>
      </w:r>
    </w:p>
    <w:p>
      <w:pPr>
        <w:spacing w:before="2" w:line="238" w:lineRule="auto"/>
        <w:ind w:right="9"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（四）</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12"/>
          <w:sz w:val="24"/>
          <w:szCs w:val="24"/>
        </w:rPr>
        <w:t>网上公示校毕业设计（论文）</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2"/>
          <w:sz w:val="24"/>
          <w:szCs w:val="24"/>
        </w:rPr>
        <w:t>优秀指导教师人选名单，</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2"/>
          <w:sz w:val="24"/>
          <w:szCs w:val="24"/>
        </w:rPr>
        <w:t>公示无异议后予以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7"/>
          <w:sz w:val="24"/>
          <w:szCs w:val="24"/>
        </w:rPr>
        <w:t>公布。</w:t>
      </w:r>
    </w:p>
    <w:p>
      <w:pPr>
        <w:spacing w:before="206"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五、表彰与鼓励</w:t>
      </w:r>
    </w:p>
    <w:p>
      <w:pPr>
        <w:spacing w:before="152"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学校将对校优秀毕业设计（论文）指导教师予以表彰，并颁发证书。</w:t>
      </w:r>
    </w:p>
    <w:p>
      <w:pPr>
        <w:spacing w:before="179"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六、相关问题</w:t>
      </w:r>
    </w:p>
    <w:p>
      <w:pPr>
        <w:spacing w:before="154" w:line="264" w:lineRule="auto"/>
        <w:ind w:left="1" w:right="9"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对评选出的毕业设计（论文）优秀指导教师，</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3"/>
          <w:sz w:val="24"/>
          <w:szCs w:val="24"/>
        </w:rPr>
        <w:t>若所指导的毕业设计（论文）在</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国家级、省级、校级抽检中发生严重质量问题且责任在指导教师的，将按教学事故</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处理。学校将撤消对指导教师的奖励并追究相关责任人责任。</w:t>
      </w:r>
    </w:p>
    <w:p>
      <w:pPr>
        <w:spacing w:before="205" w:line="180" w:lineRule="auto"/>
        <w:ind w:firstLine="487"/>
        <w:rPr>
          <w:rFonts w:ascii="方正书宋简体" w:hAnsi="方正书宋简体" w:eastAsia="方正书宋简体" w:cs="方正书宋简体"/>
          <w:sz w:val="24"/>
          <w:szCs w:val="24"/>
        </w:rPr>
      </w:pPr>
      <w:r>
        <w:rPr>
          <w:rFonts w:ascii="Microsoft JhengHei" w:hAnsi="Microsoft JhengHei" w:eastAsia="Microsoft JhengHei" w:cs="Microsoft JhengHei"/>
          <w:spacing w:val="-8"/>
          <w:sz w:val="24"/>
          <w:szCs w:val="24"/>
        </w:rPr>
        <w:t>七、</w:t>
      </w:r>
      <w:r>
        <w:rPr>
          <w:rFonts w:ascii="Microsoft JhengHei" w:hAnsi="Microsoft JhengHei" w:eastAsia="Microsoft JhengHei" w:cs="Microsoft JhengHei"/>
          <w:spacing w:val="13"/>
          <w:sz w:val="24"/>
          <w:szCs w:val="24"/>
        </w:rPr>
        <w:t xml:space="preserve">  </w:t>
      </w:r>
      <w:r>
        <w:rPr>
          <w:rFonts w:ascii="方正书宋简体" w:hAnsi="方正书宋简体" w:eastAsia="方正书宋简体" w:cs="方正书宋简体"/>
          <w:spacing w:val="-8"/>
          <w:sz w:val="24"/>
          <w:szCs w:val="24"/>
        </w:rPr>
        <w:t>本办法自发布之日起施行，由教务处负责解释。</w:t>
      </w: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3"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before="61"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342</w:t>
      </w:r>
    </w:p>
    <w:p>
      <w:pPr>
        <w:sectPr>
          <w:footerReference r:id="rId346" w:type="default"/>
          <w:pgSz w:w="11905" w:h="16840"/>
          <w:pgMar w:top="1431" w:right="1576" w:bottom="400" w:left="1590" w:header="0" w:footer="0" w:gutter="0"/>
          <w:cols w:space="720" w:num="1"/>
        </w:sectPr>
      </w:pPr>
    </w:p>
    <w:p>
      <w:pPr>
        <w:spacing w:before="333" w:line="180" w:lineRule="auto"/>
        <w:ind w:firstLine="197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吉首大学教学事故认定及处理办法</w:t>
      </w:r>
    </w:p>
    <w:p>
      <w:pPr>
        <w:spacing w:before="90" w:line="184" w:lineRule="auto"/>
        <w:ind w:firstLine="3430"/>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56" w:lineRule="auto"/>
        <w:rPr>
          <w:rFonts w:ascii="Malgun Gothic"/>
          <w:sz w:val="21"/>
        </w:rPr>
      </w:pPr>
    </w:p>
    <w:p>
      <w:pPr>
        <w:spacing w:before="86" w:line="255" w:lineRule="auto"/>
        <w:ind w:left="20" w:right="88" w:firstLine="46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为进一步加强教学管理，严肃教学纪律，维护教学秩序，减少或杜绝教学事故</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
          <w:sz w:val="24"/>
          <w:szCs w:val="24"/>
        </w:rPr>
        <w:t>的发生，不断提高教育教学质量，确保良好的教学环境，根据依法治校、从严治校</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的基本精神，特制定本办法。</w:t>
      </w:r>
    </w:p>
    <w:p>
      <w:pPr>
        <w:spacing w:before="18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一、教学事故的界定</w:t>
      </w:r>
    </w:p>
    <w:p>
      <w:pPr>
        <w:spacing w:before="128" w:line="256" w:lineRule="auto"/>
        <w:ind w:right="88"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1、教学事故是指由于任课教师、教学辅助人员、教学管理人员、教学服务保障</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人员及各级管理部门、单位负责人直接或间接责任，导致正常教学秩序、教学进程</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和教学质量等受到影响，并造成不良后果或影响的行为或事件。</w:t>
      </w:r>
    </w:p>
    <w:p>
      <w:pPr>
        <w:spacing w:before="196" w:line="302" w:lineRule="auto"/>
        <w:ind w:left="3" w:right="89"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2、教学事故包括教学类事故、教学管理类事故和教学保障类事故，</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根据事故发</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生的情节和造成的后果，分为一般教学事故、严重教学事故和重大教学事故。</w:t>
      </w:r>
    </w:p>
    <w:p>
      <w:pPr>
        <w:spacing w:before="1" w:line="300" w:lineRule="auto"/>
        <w:ind w:right="89"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（1）一般教学事故：是指导致教学活动正常开展受到影响，并造成轻微不良后</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果的行为或事件。</w:t>
      </w:r>
    </w:p>
    <w:p>
      <w:pPr>
        <w:spacing w:before="3" w:line="301" w:lineRule="auto"/>
        <w:ind w:left="1" w:right="89"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（2）严重教学事故：是指导致教学活动的正常开展受到较大影响，并造成严重</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3"/>
          <w:sz w:val="24"/>
          <w:szCs w:val="24"/>
        </w:rPr>
        <w:t>不良后果的行为或事件。</w:t>
      </w:r>
    </w:p>
    <w:p>
      <w:pPr>
        <w:spacing w:line="231" w:lineRule="auto"/>
        <w:ind w:right="89"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（3）重大教学事故：是指导致教学活动的正常开展受到恶劣影响，并造成严重</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4"/>
          <w:sz w:val="24"/>
          <w:szCs w:val="24"/>
        </w:rPr>
        <w:t>后果的行为或事件。</w:t>
      </w:r>
    </w:p>
    <w:p>
      <w:pPr>
        <w:spacing w:before="188" w:line="180" w:lineRule="auto"/>
        <w:ind w:firstLine="490"/>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二、教学事故的认定</w:t>
      </w:r>
    </w:p>
    <w:p>
      <w:pPr>
        <w:spacing w:before="133" w:line="18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（一）凡有下列情形之一，认定为一般教学事故：</w:t>
      </w:r>
    </w:p>
    <w:p>
      <w:pPr>
        <w:spacing w:before="173" w:line="245" w:lineRule="auto"/>
        <w:ind w:left="12" w:right="90"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12"/>
          <w:sz w:val="24"/>
          <w:szCs w:val="24"/>
        </w:rPr>
        <w:t>1、非不可避免的原因，</w:t>
      </w:r>
      <w:r>
        <w:rPr>
          <w:rFonts w:ascii="方正书宋简体" w:hAnsi="方正书宋简体" w:eastAsia="方正书宋简体" w:cs="方正书宋简体"/>
          <w:spacing w:val="36"/>
          <w:w w:val="101"/>
          <w:sz w:val="24"/>
          <w:szCs w:val="24"/>
        </w:rPr>
        <w:t xml:space="preserve">  </w:t>
      </w:r>
      <w:r>
        <w:rPr>
          <w:rFonts w:ascii="方正书宋简体" w:hAnsi="方正书宋简体" w:eastAsia="方正书宋简体" w:cs="方正书宋简体"/>
          <w:spacing w:val="-12"/>
          <w:sz w:val="24"/>
          <w:szCs w:val="24"/>
        </w:rPr>
        <w:t>教师上课、监考迟到或提前下课超过</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2"/>
          <w:sz w:val="24"/>
          <w:szCs w:val="24"/>
        </w:rPr>
        <w:t>5</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2"/>
          <w:sz w:val="24"/>
          <w:szCs w:val="24"/>
        </w:rPr>
        <w:t>分钟，</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2"/>
          <w:sz w:val="24"/>
          <w:szCs w:val="24"/>
        </w:rPr>
        <w:t>或者上课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时间离开课堂，使教学中断；</w:t>
      </w:r>
    </w:p>
    <w:p>
      <w:pPr>
        <w:spacing w:before="155" w:line="301" w:lineRule="auto"/>
        <w:ind w:left="14" w:right="89" w:firstLine="46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2、教师未经批准或未按规定程序办理相关手续，</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擅自变更教学时间、地点，</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影</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响正常教学秩序并造成不良后果的；</w:t>
      </w:r>
    </w:p>
    <w:p>
      <w:pPr>
        <w:spacing w:before="4" w:line="246" w:lineRule="auto"/>
        <w:ind w:left="2" w:right="8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3、未按规定程序办理手续或未经批准，</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11"/>
          <w:sz w:val="24"/>
          <w:szCs w:val="24"/>
        </w:rPr>
        <w:t>教师擅自调课、停课或请人代课，</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影响</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正常教学进程并造成不良影响的；</w:t>
      </w:r>
    </w:p>
    <w:p>
      <w:pPr>
        <w:spacing w:before="158" w:line="246" w:lineRule="auto"/>
        <w:ind w:left="2" w:right="89"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4、教师在教学过程中使用手机等通讯工具或从事其他与教学无关的活动影响教</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8"/>
          <w:sz w:val="24"/>
          <w:szCs w:val="24"/>
        </w:rPr>
        <w:t>学进程的；</w:t>
      </w:r>
    </w:p>
    <w:p>
      <w:pPr>
        <w:spacing w:before="154"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3"/>
          <w:sz w:val="24"/>
          <w:szCs w:val="24"/>
        </w:rPr>
        <w:t>5、教师对教材及主要教学参考书误选、</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1"/>
          <w:w w:val="93"/>
          <w:sz w:val="24"/>
          <w:szCs w:val="24"/>
        </w:rPr>
        <w:t>错选，</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w w:val="93"/>
          <w:sz w:val="24"/>
          <w:szCs w:val="24"/>
        </w:rPr>
        <w:t>致使学生无法使用，</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11"/>
          <w:w w:val="93"/>
          <w:sz w:val="24"/>
          <w:szCs w:val="24"/>
        </w:rPr>
        <w:t>影响正常教学的；</w:t>
      </w:r>
    </w:p>
    <w:p>
      <w:pPr>
        <w:spacing w:before="154" w:line="302" w:lineRule="auto"/>
        <w:ind w:left="5" w:right="89"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6、主管部门或有关责任人因主观原因造成的教材迟订、漏订、错订，</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致使教材</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开学</w:t>
      </w:r>
      <w:r>
        <w:rPr>
          <w:rFonts w:ascii="方正书宋简体" w:hAnsi="方正书宋简体" w:eastAsia="方正书宋简体" w:cs="方正书宋简体"/>
          <w:spacing w:val="9"/>
          <w:w w:val="101"/>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5"/>
          <w:w w:val="101"/>
          <w:sz w:val="24"/>
          <w:szCs w:val="24"/>
        </w:rPr>
        <w:t xml:space="preserve"> </w:t>
      </w:r>
      <w:r>
        <w:rPr>
          <w:rFonts w:ascii="方正书宋简体" w:hAnsi="方正书宋简体" w:eastAsia="方正书宋简体" w:cs="方正书宋简体"/>
          <w:spacing w:val="-3"/>
          <w:sz w:val="24"/>
          <w:szCs w:val="24"/>
        </w:rPr>
        <w:t>周内不能发放，影响学生正常教学的；</w:t>
      </w:r>
    </w:p>
    <w:p>
      <w:pPr>
        <w:spacing w:before="247"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343</w:t>
      </w:r>
    </w:p>
    <w:p>
      <w:pPr>
        <w:sectPr>
          <w:footerReference r:id="rId347" w:type="default"/>
          <w:pgSz w:w="11905" w:h="16840"/>
          <w:pgMar w:top="1431" w:right="1497" w:bottom="400" w:left="1591" w:header="0" w:footer="0" w:gutter="0"/>
          <w:cols w:space="720" w:num="1"/>
        </w:sectPr>
      </w:pPr>
    </w:p>
    <w:p>
      <w:pPr>
        <w:spacing w:before="407" w:line="193" w:lineRule="auto"/>
        <w:ind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7、教师未按规定要求命题或命题出现错误，影响学生正常考试的；</w:t>
      </w:r>
    </w:p>
    <w:p>
      <w:pPr>
        <w:spacing w:before="157" w:line="246" w:lineRule="auto"/>
        <w:ind w:left="5" w:right="8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8、考试组织中出现疏漏，</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11"/>
          <w:sz w:val="24"/>
          <w:szCs w:val="24"/>
        </w:rPr>
        <w:t>如试卷内容或印制质量存在明显问题，</w:t>
      </w:r>
      <w:r>
        <w:rPr>
          <w:rFonts w:ascii="方正书宋简体" w:hAnsi="方正书宋简体" w:eastAsia="方正书宋简体" w:cs="方正书宋简体"/>
          <w:spacing w:val="19"/>
          <w:w w:val="101"/>
          <w:sz w:val="24"/>
          <w:szCs w:val="24"/>
        </w:rPr>
        <w:t xml:space="preserve">  </w:t>
      </w:r>
      <w:r>
        <w:rPr>
          <w:rFonts w:ascii="方正书宋简体" w:hAnsi="方正书宋简体" w:eastAsia="方正书宋简体" w:cs="方正书宋简体"/>
          <w:spacing w:val="-11"/>
          <w:sz w:val="24"/>
          <w:szCs w:val="24"/>
        </w:rPr>
        <w:t>错装、漏装学</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3"/>
          <w:sz w:val="24"/>
          <w:szCs w:val="24"/>
        </w:rPr>
        <w:t>生试卷等未及时处理以致影响学生考试的；</w:t>
      </w:r>
    </w:p>
    <w:p>
      <w:pPr>
        <w:spacing w:before="155"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7"/>
          <w:sz w:val="24"/>
          <w:szCs w:val="24"/>
        </w:rPr>
        <w:t>9、监考人员未按考试管理规定履行职责，</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w w:val="97"/>
          <w:sz w:val="24"/>
          <w:szCs w:val="24"/>
        </w:rPr>
        <w:t>监考不力，</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1"/>
          <w:w w:val="97"/>
          <w:sz w:val="24"/>
          <w:szCs w:val="24"/>
        </w:rPr>
        <w:t>对考试工作造成不良影响的；</w:t>
      </w:r>
    </w:p>
    <w:p>
      <w:pPr>
        <w:spacing w:before="157" w:line="246" w:lineRule="auto"/>
        <w:ind w:right="84"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10、教师在试卷评阅中出现漏评，或者统分、登分等错误，出错率超过所评阅</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5"/>
          <w:sz w:val="24"/>
          <w:szCs w:val="24"/>
        </w:rPr>
        <w:t>试卷总量</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3%的；</w:t>
      </w:r>
    </w:p>
    <w:p>
      <w:pPr>
        <w:spacing w:before="155" w:line="193"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11、任课教师不按评分标准阅卷，随意改动学生考试成绩，造成不良后果的；</w:t>
      </w:r>
    </w:p>
    <w:p>
      <w:pPr>
        <w:spacing w:before="159" w:line="245" w:lineRule="auto"/>
        <w:ind w:right="84"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12、未按学校规定按时上报成绩，对处理学生补考、重修、学籍处理、毕业审</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3"/>
          <w:sz w:val="24"/>
          <w:szCs w:val="24"/>
        </w:rPr>
        <w:t>查等学籍管理造成不良影响的；</w:t>
      </w:r>
    </w:p>
    <w:p>
      <w:pPr>
        <w:spacing w:before="147" w:line="250" w:lineRule="auto"/>
        <w:ind w:left="2" w:right="126"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13、在制定教学计划、教学任务书、课程安排等教学文件中出现错误或问题，</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4"/>
          <w:sz w:val="24"/>
          <w:szCs w:val="24"/>
        </w:rPr>
        <w:t>影响正常教学秩序的；</w:t>
      </w:r>
    </w:p>
    <w:p>
      <w:pPr>
        <w:spacing w:before="154" w:line="193" w:lineRule="auto"/>
        <w:ind w:firstLine="50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14、实验教学准备出现差错，导致实验无法顺利进行，影响正常教学秩序的；</w:t>
      </w:r>
    </w:p>
    <w:p>
      <w:pPr>
        <w:spacing w:before="161" w:line="245" w:lineRule="auto"/>
        <w:ind w:left="2" w:right="84"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15、因教师指导错误或责任心缺失，造成学生在实验过程中受到一定伤害或造</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3"/>
          <w:sz w:val="24"/>
          <w:szCs w:val="24"/>
        </w:rPr>
        <w:t>成公、私财物受到一定经济损失的；</w:t>
      </w:r>
    </w:p>
    <w:p>
      <w:pPr>
        <w:spacing w:before="159" w:line="246" w:lineRule="auto"/>
        <w:ind w:right="84"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16、教师在论文（设计）指导工作中，对学生论文（设计）中的较大原则性错</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2"/>
          <w:sz w:val="24"/>
          <w:szCs w:val="24"/>
        </w:rPr>
        <w:t>误或质量问题未予指出或纠正，造成不良影响的；</w:t>
      </w:r>
    </w:p>
    <w:p>
      <w:pPr>
        <w:spacing w:before="146" w:line="250" w:lineRule="auto"/>
        <w:ind w:left="2" w:right="84"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17、教学管理人员因教学安排失误或通知不到位，造成上课或考试延误，教学</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4"/>
          <w:sz w:val="24"/>
          <w:szCs w:val="24"/>
        </w:rPr>
        <w:t>组织混乱，造成不良后果的；</w:t>
      </w:r>
    </w:p>
    <w:p>
      <w:pPr>
        <w:spacing w:before="161" w:line="245" w:lineRule="auto"/>
        <w:ind w:right="108"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18、教师或教学管理人员因管理不善，丢失、损坏学生学籍档案、成绩记录、</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
          <w:sz w:val="24"/>
          <w:szCs w:val="24"/>
        </w:rPr>
        <w:t>证书等重要教学档案和教学管理文件，造成不良后果的；</w:t>
      </w:r>
    </w:p>
    <w:p>
      <w:pPr>
        <w:spacing w:before="158" w:line="246" w:lineRule="auto"/>
        <w:ind w:left="4" w:right="84"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19、教学管理和服务人员提供教学设施、</w:t>
      </w:r>
      <w:r>
        <w:rPr>
          <w:rFonts w:ascii="方正书宋简体" w:hAnsi="方正书宋简体" w:eastAsia="方正书宋简体" w:cs="方正书宋简体"/>
          <w:spacing w:val="26"/>
          <w:sz w:val="24"/>
          <w:szCs w:val="24"/>
        </w:rPr>
        <w:t xml:space="preserve">  </w:t>
      </w:r>
      <w:r>
        <w:rPr>
          <w:rFonts w:ascii="方正书宋简体" w:hAnsi="方正书宋简体" w:eastAsia="方正书宋简体" w:cs="方正书宋简体"/>
          <w:spacing w:val="-3"/>
          <w:sz w:val="24"/>
          <w:szCs w:val="24"/>
        </w:rPr>
        <w:t>设备以及服务工作出现失误，致使教</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5"/>
          <w:sz w:val="24"/>
          <w:szCs w:val="24"/>
        </w:rPr>
        <w:t>学不能正常进行的；</w:t>
      </w:r>
    </w:p>
    <w:p>
      <w:pPr>
        <w:spacing w:before="159"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20、其他违反教学管理规定给教学工作造成损失并带来不良影响的事件。</w:t>
      </w:r>
    </w:p>
    <w:p>
      <w:pPr>
        <w:spacing w:before="175" w:line="180" w:lineRule="auto"/>
        <w:ind w:firstLine="34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（二）凡有下列情况之一，认定为严重教学事故：</w:t>
      </w:r>
    </w:p>
    <w:p>
      <w:pPr>
        <w:spacing w:before="173" w:line="245" w:lineRule="auto"/>
        <w:ind w:left="4" w:right="85" w:firstLine="49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1、在未经批准的情况下，</w:t>
      </w:r>
      <w:r>
        <w:rPr>
          <w:rFonts w:ascii="方正书宋简体" w:hAnsi="方正书宋简体" w:eastAsia="方正书宋简体" w:cs="方正书宋简体"/>
          <w:spacing w:val="25"/>
          <w:sz w:val="24"/>
          <w:szCs w:val="24"/>
        </w:rPr>
        <w:t xml:space="preserve">  </w:t>
      </w:r>
      <w:r>
        <w:rPr>
          <w:rFonts w:ascii="方正书宋简体" w:hAnsi="方正书宋简体" w:eastAsia="方正书宋简体" w:cs="方正书宋简体"/>
          <w:spacing w:val="-11"/>
          <w:sz w:val="24"/>
          <w:szCs w:val="24"/>
        </w:rPr>
        <w:t>擅自调整、变更教学计划，</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未能落实或按计划完成教</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8"/>
          <w:sz w:val="24"/>
          <w:szCs w:val="24"/>
        </w:rPr>
        <w:t>学任务的；</w:t>
      </w:r>
    </w:p>
    <w:p>
      <w:pPr>
        <w:spacing w:before="154" w:line="193"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2、煽动、鼓励学生滋事，影响正常教学秩序，造成严重后果的；</w:t>
      </w:r>
    </w:p>
    <w:p>
      <w:pPr>
        <w:spacing w:before="155" w:line="193" w:lineRule="auto"/>
        <w:ind w:firstLine="48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3、语言侮辱或体罚学生，使学生身心受到伤害，造成严重后果的；</w:t>
      </w:r>
    </w:p>
    <w:p>
      <w:pPr>
        <w:spacing w:before="157" w:line="246" w:lineRule="auto"/>
        <w:ind w:left="4" w:right="98" w:firstLine="47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4、未经教学管理部门批准，擅自停课、缺课、请人代课，严重影响教学质量，</w:t>
      </w:r>
      <w:r>
        <w:rPr>
          <w:rFonts w:ascii="方正书宋简体" w:hAnsi="方正书宋简体" w:eastAsia="方正书宋简体" w:cs="方正书宋简体"/>
          <w:spacing w:val="24"/>
          <w:w w:val="101"/>
          <w:sz w:val="24"/>
          <w:szCs w:val="24"/>
        </w:rPr>
        <w:t xml:space="preserve"> </w:t>
      </w:r>
      <w:r>
        <w:rPr>
          <w:rFonts w:ascii="方正书宋简体" w:hAnsi="方正书宋简体" w:eastAsia="方正书宋简体" w:cs="方正书宋简体"/>
          <w:spacing w:val="-6"/>
          <w:sz w:val="24"/>
          <w:szCs w:val="24"/>
        </w:rPr>
        <w:t>学生反响强烈的；</w:t>
      </w:r>
    </w:p>
    <w:p>
      <w:pPr>
        <w:spacing w:before="162" w:line="180" w:lineRule="auto"/>
        <w:ind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5、在实验、实习（训）或教学活动中，因错误指导或玩忽职守出现安全事故，</w:t>
      </w:r>
    </w:p>
    <w:p>
      <w:pPr>
        <w:spacing w:before="414" w:line="180" w:lineRule="auto"/>
        <w:ind w:firstLine="421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344</w:t>
      </w:r>
    </w:p>
    <w:p>
      <w:pPr>
        <w:sectPr>
          <w:footerReference r:id="rId348" w:type="default"/>
          <w:pgSz w:w="11905" w:h="16840"/>
          <w:pgMar w:top="1431" w:right="1501" w:bottom="400" w:left="1589" w:header="0" w:footer="0" w:gutter="0"/>
          <w:cols w:space="720" w:num="1"/>
        </w:sectPr>
      </w:pPr>
    </w:p>
    <w:p>
      <w:pPr>
        <w:spacing w:before="407" w:line="193" w:lineRule="auto"/>
        <w:ind w:firstLine="1"/>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造成学生人身严重伤害或重大财产损失的；</w:t>
      </w:r>
    </w:p>
    <w:p>
      <w:pPr>
        <w:spacing w:before="157" w:line="246" w:lineRule="auto"/>
        <w:ind w:left="3"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6、任课教师和其他有关人员考前泄露试题、透露试题答案或其它严重影响考试</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7"/>
          <w:sz w:val="24"/>
          <w:szCs w:val="24"/>
        </w:rPr>
        <w:t>秩序的行为；</w:t>
      </w:r>
    </w:p>
    <w:p>
      <w:pPr>
        <w:spacing w:before="155" w:line="193"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6"/>
          <w:sz w:val="24"/>
          <w:szCs w:val="24"/>
        </w:rPr>
        <w:t>7、不按规范程序审查，</w:t>
      </w:r>
      <w:r>
        <w:rPr>
          <w:rFonts w:ascii="方正书宋简体" w:hAnsi="方正书宋简体" w:eastAsia="方正书宋简体" w:cs="方正书宋简体"/>
          <w:spacing w:val="43"/>
          <w:w w:val="101"/>
          <w:sz w:val="24"/>
          <w:szCs w:val="24"/>
        </w:rPr>
        <w:t xml:space="preserve">  </w:t>
      </w:r>
      <w:r>
        <w:rPr>
          <w:rFonts w:ascii="方正书宋简体" w:hAnsi="方正书宋简体" w:eastAsia="方正书宋简体" w:cs="方正书宋简体"/>
          <w:spacing w:val="-11"/>
          <w:w w:val="96"/>
          <w:sz w:val="24"/>
          <w:szCs w:val="24"/>
        </w:rPr>
        <w:t>在发放毕业证书或学位证书中出现错误，</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w w:val="96"/>
          <w:sz w:val="24"/>
          <w:szCs w:val="24"/>
        </w:rPr>
        <w:t>造成严重后果的；</w:t>
      </w:r>
    </w:p>
    <w:p>
      <w:pPr>
        <w:spacing w:before="159" w:line="245" w:lineRule="auto"/>
        <w:ind w:left="1" w:right="109" w:firstLine="48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8、管理部门修缮、改造工程，因组织不力、指挥失误，未能按计划完成任务，</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3"/>
          <w:sz w:val="24"/>
          <w:szCs w:val="24"/>
        </w:rPr>
        <w:t>造成学生停课，严重影响教学秩序的；</w:t>
      </w:r>
    </w:p>
    <w:p>
      <w:pPr>
        <w:spacing w:before="161" w:line="245" w:lineRule="auto"/>
        <w:ind w:left="3" w:right="96"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9、有关部门和单位对本单位所发生的教学事故有意隐瞒或不如实上报，</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造成严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8"/>
          <w:sz w:val="24"/>
          <w:szCs w:val="24"/>
        </w:rPr>
        <w:t>重影响的；</w:t>
      </w:r>
    </w:p>
    <w:p>
      <w:pPr>
        <w:spacing w:before="158" w:line="232" w:lineRule="auto"/>
        <w:ind w:right="95"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10、其他违反教学或教学管理规定，后果十分严重，情节和影响极为恶劣的言</w:t>
      </w:r>
      <w:r>
        <w:rPr>
          <w:rFonts w:ascii="方正书宋简体" w:hAnsi="方正书宋简体" w:eastAsia="方正书宋简体" w:cs="方正书宋简体"/>
          <w:spacing w:val="30"/>
          <w:w w:val="101"/>
          <w:sz w:val="24"/>
          <w:szCs w:val="24"/>
        </w:rPr>
        <w:t xml:space="preserve"> </w:t>
      </w:r>
      <w:r>
        <w:rPr>
          <w:rFonts w:ascii="方正书宋简体" w:hAnsi="方正书宋简体" w:eastAsia="方正书宋简体" w:cs="方正书宋简体"/>
          <w:spacing w:val="-5"/>
          <w:sz w:val="24"/>
          <w:szCs w:val="24"/>
        </w:rPr>
        <w:t>论或行为。</w:t>
      </w:r>
    </w:p>
    <w:p>
      <w:pPr>
        <w:spacing w:before="201" w:line="180" w:lineRule="auto"/>
        <w:ind w:firstLine="34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（二）在教学活动中凡有下列情况之一，认定为重大教学事故：</w:t>
      </w:r>
    </w:p>
    <w:p>
      <w:pPr>
        <w:spacing w:before="173" w:line="245" w:lineRule="auto"/>
        <w:ind w:left="1" w:right="96"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1、散布或出现违背党的路线方针政策或损害国家利益的言论和行为，</w:t>
      </w:r>
      <w:r>
        <w:rPr>
          <w:rFonts w:ascii="方正书宋简体" w:hAnsi="方正书宋简体" w:eastAsia="方正书宋简体" w:cs="方正书宋简体"/>
          <w:spacing w:val="18"/>
          <w:sz w:val="24"/>
          <w:szCs w:val="24"/>
        </w:rPr>
        <w:t xml:space="preserve">  </w:t>
      </w:r>
      <w:r>
        <w:rPr>
          <w:rFonts w:ascii="方正书宋简体" w:hAnsi="方正书宋简体" w:eastAsia="方正书宋简体" w:cs="方正书宋简体"/>
          <w:spacing w:val="-6"/>
          <w:sz w:val="24"/>
          <w:szCs w:val="24"/>
        </w:rPr>
        <w:t>造成恶劣</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影响的；</w:t>
      </w:r>
    </w:p>
    <w:p>
      <w:pPr>
        <w:spacing w:before="154" w:line="193"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2、出现违反高校教师基本职业道德规范的行为，造成恶劣影响的；</w:t>
      </w:r>
    </w:p>
    <w:p>
      <w:pPr>
        <w:spacing w:before="159" w:line="246" w:lineRule="auto"/>
        <w:ind w:left="3"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3、伙同学生考试作弊、故意更改、伪造学生成绩，</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有意出具与事实不符的学历、</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学籍、成绩等各类证书或证明，造成恶劣影响的；</w:t>
      </w:r>
    </w:p>
    <w:p>
      <w:pPr>
        <w:spacing w:before="157" w:line="246" w:lineRule="auto"/>
        <w:ind w:left="2"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4、因管理或服务保障工作失职，</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10"/>
          <w:sz w:val="24"/>
          <w:szCs w:val="24"/>
        </w:rPr>
        <w:t>导致学校大规模中断上课、实验、实习（训）、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考试等教学活动，造成严重后果的；</w:t>
      </w:r>
    </w:p>
    <w:p>
      <w:pPr>
        <w:spacing w:before="160"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5、其他程度相当的重大教学事故。</w:t>
      </w:r>
    </w:p>
    <w:p>
      <w:pPr>
        <w:spacing w:before="160"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三、教学事故的处理</w:t>
      </w:r>
    </w:p>
    <w:p>
      <w:pPr>
        <w:spacing w:before="135" w:line="300" w:lineRule="auto"/>
        <w:ind w:left="1" w:right="95"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1、学校成立教学事故认定和处理委员会，</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成员由教务处、人事处、实验室与设</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备管理中心、学工部、纪检监察、教学质量监控与评估中心等组成，办公室设在教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务处。负责调查、认定和处理各类教学事故。</w:t>
      </w:r>
    </w:p>
    <w:p>
      <w:pPr>
        <w:spacing w:before="3" w:line="278" w:lineRule="auto"/>
        <w:ind w:left="1" w:right="95"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2、教学事故发生后，</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6"/>
          <w:sz w:val="24"/>
          <w:szCs w:val="24"/>
        </w:rPr>
        <w:t>事故责任人或发现人、知情人应及时将事故情况报告教务</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处。相关学院应协助教务处进行调查核实，查实后由责任人所在单位填写《吉首大</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7"/>
          <w:sz w:val="24"/>
          <w:szCs w:val="24"/>
        </w:rPr>
        <w:t>学教学事故认定及处理登记表》（见附件</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7"/>
          <w:sz w:val="24"/>
          <w:szCs w:val="24"/>
        </w:rPr>
        <w:t>1</w:t>
      </w:r>
      <w:r>
        <w:rPr>
          <w:rFonts w:ascii="方正书宋简体" w:hAnsi="方正书宋简体" w:eastAsia="方正书宋简体" w:cs="方正书宋简体"/>
          <w:spacing w:val="-102"/>
          <w:w w:val="94"/>
          <w:sz w:val="24"/>
          <w:szCs w:val="24"/>
        </w:rPr>
        <w:t>），</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7"/>
          <w:sz w:val="24"/>
          <w:szCs w:val="24"/>
        </w:rPr>
        <w:t>并依据本办法对事故的的类型、级别提</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出初步认定和处理意见，报教务处审核确认是否构成教学事故，以及事故的类型和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级别。严重和重大教学事故由校教学事故认定与处理委员会作出处理决定。一般教</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学事故一般由教务处作出处理决定。</w:t>
      </w:r>
    </w:p>
    <w:p>
      <w:pPr>
        <w:spacing w:before="194" w:line="291" w:lineRule="auto"/>
        <w:ind w:left="3" w:right="9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3、一年内累计两次一般教学事故，</w:t>
      </w:r>
      <w:r>
        <w:rPr>
          <w:rFonts w:ascii="方正书宋简体" w:hAnsi="方正书宋简体" w:eastAsia="方正书宋简体" w:cs="方正书宋简体"/>
          <w:spacing w:val="35"/>
          <w:w w:val="101"/>
          <w:sz w:val="24"/>
          <w:szCs w:val="24"/>
        </w:rPr>
        <w:t xml:space="preserve">  </w:t>
      </w:r>
      <w:r>
        <w:rPr>
          <w:rFonts w:ascii="方正书宋简体" w:hAnsi="方正书宋简体" w:eastAsia="方正书宋简体" w:cs="方正书宋简体"/>
          <w:spacing w:val="-11"/>
          <w:sz w:val="24"/>
          <w:szCs w:val="24"/>
        </w:rPr>
        <w:t>视为一次严重教学事故；</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11"/>
          <w:sz w:val="24"/>
          <w:szCs w:val="24"/>
        </w:rPr>
        <w:t>一年内累计两次严</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重教学事故，视为重大教学事故。</w:t>
      </w:r>
    </w:p>
    <w:p>
      <w:pPr>
        <w:spacing w:before="278"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345</w:t>
      </w:r>
    </w:p>
    <w:p>
      <w:pPr>
        <w:sectPr>
          <w:footerReference r:id="rId349" w:type="default"/>
          <w:pgSz w:w="11905" w:h="16840"/>
          <w:pgMar w:top="1431" w:right="1490" w:bottom="400" w:left="1590" w:header="0" w:footer="0" w:gutter="0"/>
          <w:cols w:space="720" w:num="1"/>
        </w:sectPr>
      </w:pPr>
    </w:p>
    <w:p>
      <w:pPr>
        <w:spacing w:before="410" w:line="246" w:lineRule="auto"/>
        <w:ind w:left="1" w:right="23"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4、教学事故一经认定，由教务处制发《吉首大学教学事故处理通知书》</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3"/>
          <w:sz w:val="24"/>
          <w:szCs w:val="24"/>
        </w:rPr>
        <w:t>（见附</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加</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3"/>
          <w:sz w:val="24"/>
          <w:szCs w:val="24"/>
        </w:rPr>
        <w:t>2</w:t>
      </w:r>
      <w:r>
        <w:rPr>
          <w:rFonts w:ascii="方正书宋简体" w:hAnsi="方正书宋简体" w:eastAsia="方正书宋简体" w:cs="方正书宋简体"/>
          <w:spacing w:val="-54"/>
          <w:sz w:val="24"/>
          <w:szCs w:val="24"/>
        </w:rPr>
        <w:t>），</w:t>
      </w:r>
      <w:r>
        <w:rPr>
          <w:rFonts w:ascii="方正书宋简体" w:hAnsi="方正书宋简体" w:eastAsia="方正书宋简体" w:cs="方正书宋简体"/>
          <w:spacing w:val="-3"/>
          <w:sz w:val="24"/>
          <w:szCs w:val="24"/>
        </w:rPr>
        <w:t>视事故级别和情节对相关人员给予以下处理：</w:t>
      </w:r>
    </w:p>
    <w:p>
      <w:pPr>
        <w:spacing w:before="152" w:line="290" w:lineRule="auto"/>
        <w:ind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w w:val="93"/>
          <w:sz w:val="24"/>
          <w:szCs w:val="24"/>
        </w:rPr>
        <w:t>（1）</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1"/>
          <w:w w:val="93"/>
          <w:sz w:val="24"/>
          <w:szCs w:val="24"/>
        </w:rPr>
        <w:t>一般教学事故，</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1"/>
          <w:w w:val="93"/>
          <w:sz w:val="24"/>
          <w:szCs w:val="24"/>
        </w:rPr>
        <w:t>事故责任人作书面检查，</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3"/>
          <w:sz w:val="24"/>
          <w:szCs w:val="24"/>
        </w:rPr>
        <w:t>事故责任单位对其进行批评教育，</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w w:val="93"/>
          <w:sz w:val="24"/>
          <w:szCs w:val="24"/>
        </w:rPr>
        <w:t>取消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6"/>
          <w:sz w:val="24"/>
          <w:szCs w:val="24"/>
        </w:rPr>
        <w:t>其本年度评优评奖资格，按学校规定扣发相应岗位津贴，并根据具体情况做进一步处理。</w:t>
      </w:r>
    </w:p>
    <w:p>
      <w:pPr>
        <w:spacing w:before="39" w:line="301" w:lineRule="auto"/>
        <w:ind w:right="14"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（2）严重教学事故，在学院（部门</w:t>
      </w:r>
      <w:r>
        <w:rPr>
          <w:rFonts w:ascii="方正书宋简体" w:hAnsi="方正书宋简体" w:eastAsia="方正书宋简体" w:cs="方正书宋简体"/>
          <w:spacing w:val="58"/>
          <w:sz w:val="24"/>
          <w:szCs w:val="24"/>
        </w:rPr>
        <w:t xml:space="preserve"> </w:t>
      </w:r>
      <w:r>
        <w:rPr>
          <w:rFonts w:ascii="方正书宋简体" w:hAnsi="方正书宋简体" w:eastAsia="方正书宋简体" w:cs="方正书宋简体"/>
          <w:spacing w:val="-1"/>
          <w:sz w:val="24"/>
          <w:szCs w:val="24"/>
        </w:rPr>
        <w:t>）通报批评，事故责任人在全院、部门范围</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内进行自我检查，本年度考核等级为基本合格及以下，按学校规定扣发相应岗位津</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贴，取消三年内评优评奖资格以及下一年度申报高一级技术职称（岗位）或管理职</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5"/>
          <w:sz w:val="24"/>
          <w:szCs w:val="24"/>
        </w:rPr>
        <w:t>务晋升资格。</w:t>
      </w:r>
    </w:p>
    <w:p>
      <w:pPr>
        <w:spacing w:before="3" w:line="301" w:lineRule="auto"/>
        <w:ind w:right="12" w:firstLine="344"/>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（3）重大教学事故，在全校范围内通报批评，事故责任人在全院、部门范围内</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17"/>
          <w:sz w:val="24"/>
          <w:szCs w:val="24"/>
        </w:rPr>
        <w:t>进行自我检查，</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17"/>
          <w:sz w:val="24"/>
          <w:szCs w:val="24"/>
        </w:rPr>
        <w:t>本年度考核等级为不合格，</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7"/>
          <w:sz w:val="24"/>
          <w:szCs w:val="24"/>
        </w:rPr>
        <w:t>按学校规定扣发相应岗位津贴，</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17"/>
          <w:sz w:val="24"/>
          <w:szCs w:val="24"/>
        </w:rPr>
        <w:t>取消三年</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5"/>
          <w:sz w:val="24"/>
          <w:szCs w:val="24"/>
        </w:rPr>
        <w:t>内评优评奖资格以及三年内申报高一级技术职称（岗位）或管理职务晋升资格。同时</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2"/>
          <w:sz w:val="24"/>
          <w:szCs w:val="24"/>
        </w:rPr>
        <w:t>学校根据情节和所造成得后果，给予相应的行政纪律处分、调离相应岗位或解聘。</w:t>
      </w:r>
    </w:p>
    <w:p>
      <w:pPr>
        <w:spacing w:line="301" w:lineRule="auto"/>
        <w:ind w:right="16" w:firstLine="34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（4）对于重大教学事故，学校可根据事故所造成的的后果和影响追究事故责任</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人所在学院（部门）相关领导人的责任。</w:t>
      </w:r>
    </w:p>
    <w:p>
      <w:pPr>
        <w:spacing w:before="2" w:line="232" w:lineRule="auto"/>
        <w:ind w:left="3" w:right="15" w:firstLine="4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5、对教学事故认定持有异议的人员可以在事故认定后</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2"/>
          <w:sz w:val="24"/>
          <w:szCs w:val="24"/>
        </w:rPr>
        <w:t>5</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个工作日内向学校申诉</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委员会提出申诉，校申诉委员会在接到申诉后</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15</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2"/>
          <w:sz w:val="24"/>
          <w:szCs w:val="24"/>
        </w:rPr>
        <w:t>个工作日内给出仲裁结果。</w:t>
      </w:r>
    </w:p>
    <w:p>
      <w:pPr>
        <w:spacing w:before="196" w:line="300" w:lineRule="auto"/>
        <w:ind w:left="6" w:right="15"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6、各级各类教学事故均在教务处、人事处备案，</w:t>
      </w:r>
      <w:r>
        <w:rPr>
          <w:rFonts w:ascii="方正书宋简体" w:hAnsi="方正书宋简体" w:eastAsia="方正书宋简体" w:cs="方正书宋简体"/>
          <w:spacing w:val="27"/>
          <w:sz w:val="24"/>
          <w:szCs w:val="24"/>
        </w:rPr>
        <w:t xml:space="preserve">  </w:t>
      </w:r>
      <w:r>
        <w:rPr>
          <w:rFonts w:ascii="方正书宋简体" w:hAnsi="方正书宋简体" w:eastAsia="方正书宋简体" w:cs="方正书宋简体"/>
          <w:spacing w:val="-6"/>
          <w:sz w:val="24"/>
          <w:szCs w:val="24"/>
        </w:rPr>
        <w:t>作为事故责任人年终考核、工</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资调整、评优评奖、职务晋升以及岗位评聘等事项的有效依据。</w:t>
      </w:r>
    </w:p>
    <w:p>
      <w:pPr>
        <w:spacing w:before="6" w:line="300" w:lineRule="auto"/>
        <w:ind w:right="1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7、故意隐瞒本部门事故者，</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0"/>
          <w:sz w:val="24"/>
          <w:szCs w:val="24"/>
        </w:rPr>
        <w:t>及发现事故拖延不报者，</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10"/>
          <w:sz w:val="24"/>
          <w:szCs w:val="24"/>
        </w:rPr>
        <w:t>将视为同级教学事故责任</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4"/>
          <w:sz w:val="24"/>
          <w:szCs w:val="24"/>
        </w:rPr>
        <w:t>人一并进行处理。</w:t>
      </w:r>
    </w:p>
    <w:p>
      <w:pPr>
        <w:spacing w:before="1" w:line="233" w:lineRule="auto"/>
        <w:ind w:left="2" w:right="15"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8、其他部门工作人员，</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1"/>
          <w:sz w:val="24"/>
          <w:szCs w:val="24"/>
        </w:rPr>
        <w:t>因工作失误、失职等影响教学正常运行，</w:t>
      </w:r>
      <w:r>
        <w:rPr>
          <w:rFonts w:ascii="方正书宋简体" w:hAnsi="方正书宋简体" w:eastAsia="方正书宋简体" w:cs="方正书宋简体"/>
          <w:spacing w:val="20"/>
          <w:w w:val="101"/>
          <w:sz w:val="24"/>
          <w:szCs w:val="24"/>
        </w:rPr>
        <w:t xml:space="preserve">  </w:t>
      </w:r>
      <w:r>
        <w:rPr>
          <w:rFonts w:ascii="方正书宋简体" w:hAnsi="方正书宋简体" w:eastAsia="方正书宋简体" w:cs="方正书宋简体"/>
          <w:spacing w:val="-11"/>
          <w:sz w:val="24"/>
          <w:szCs w:val="24"/>
        </w:rPr>
        <w:t>造成不良后果</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者，参照本《办法》提出处理意见后，报相关部门审核作出相应处理。</w:t>
      </w:r>
    </w:p>
    <w:p>
      <w:pPr>
        <w:spacing w:before="194" w:line="233" w:lineRule="auto"/>
        <w:ind w:left="1" w:right="15"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9、附属医院和外聘教学人员归口相关部门统一管理，</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6"/>
          <w:sz w:val="24"/>
          <w:szCs w:val="24"/>
        </w:rPr>
        <w:t>发生教学事故参照本《办</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法》处理。</w:t>
      </w:r>
    </w:p>
    <w:p>
      <w:pPr>
        <w:spacing w:before="195" w:line="233" w:lineRule="auto"/>
        <w:ind w:left="1" w:right="23" w:firstLine="50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10、对于在国家教育考试中违反考试纪律，构成违规和舞弊行为者，除按本办</w:t>
      </w:r>
      <w:r>
        <w:rPr>
          <w:rFonts w:ascii="方正书宋简体" w:hAnsi="方正书宋简体" w:eastAsia="方正书宋简体" w:cs="方正书宋简体"/>
          <w:spacing w:val="22"/>
          <w:sz w:val="24"/>
          <w:szCs w:val="24"/>
        </w:rPr>
        <w:t xml:space="preserve"> </w:t>
      </w:r>
      <w:r>
        <w:rPr>
          <w:rFonts w:ascii="方正书宋简体" w:hAnsi="方正书宋简体" w:eastAsia="方正书宋简体" w:cs="方正书宋简体"/>
          <w:spacing w:val="-2"/>
          <w:sz w:val="24"/>
          <w:szCs w:val="24"/>
        </w:rPr>
        <w:t>法作教学事故处理外，还上报有关部门按考试有关规定进行处理。</w:t>
      </w:r>
    </w:p>
    <w:p>
      <w:pPr>
        <w:spacing w:before="183" w:line="270" w:lineRule="auto"/>
        <w:ind w:right="17" w:firstLine="504"/>
        <w:rPr>
          <w:rFonts w:ascii="方正书宋简体" w:hAnsi="方正书宋简体" w:eastAsia="方正书宋简体" w:cs="方正书宋简体"/>
          <w:sz w:val="24"/>
          <w:szCs w:val="24"/>
        </w:rPr>
      </w:pPr>
      <w:r>
        <w:rPr>
          <w:rFonts w:ascii="Microsoft JhengHei" w:hAnsi="Microsoft JhengHei" w:eastAsia="Microsoft JhengHei" w:cs="Microsoft JhengHei"/>
          <w:spacing w:val="-2"/>
          <w:sz w:val="24"/>
          <w:szCs w:val="24"/>
        </w:rPr>
        <w:t>四、</w:t>
      </w:r>
      <w:r>
        <w:rPr>
          <w:rFonts w:ascii="Microsoft JhengHei" w:hAnsi="Microsoft JhengHei" w:eastAsia="Microsoft JhengHei" w:cs="Microsoft JhengHei"/>
          <w:spacing w:val="3"/>
          <w:w w:val="101"/>
          <w:sz w:val="24"/>
          <w:szCs w:val="24"/>
        </w:rPr>
        <w:t xml:space="preserve">  </w:t>
      </w:r>
      <w:r>
        <w:rPr>
          <w:rFonts w:ascii="方正书宋简体" w:hAnsi="方正书宋简体" w:eastAsia="方正书宋简体" w:cs="方正书宋简体"/>
          <w:spacing w:val="-2"/>
          <w:sz w:val="24"/>
          <w:szCs w:val="24"/>
        </w:rPr>
        <w:t>本办法适用本科教学工作，自公布之日起实施，由教务处负责解释。此前</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所发相关文件与本规定不符之处，以本规定为准。</w:t>
      </w:r>
    </w:p>
    <w:p>
      <w:pPr>
        <w:spacing w:before="22" w:line="188"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附件</w:t>
      </w:r>
      <w:r>
        <w:rPr>
          <w:rFonts w:ascii="方正书宋简体" w:hAnsi="方正书宋简体" w:eastAsia="方正书宋简体" w:cs="方正书宋简体"/>
          <w:spacing w:val="42"/>
          <w:sz w:val="24"/>
          <w:szCs w:val="24"/>
        </w:rPr>
        <w:t xml:space="preserve"> </w:t>
      </w:r>
      <w:r>
        <w:rPr>
          <w:rFonts w:ascii="方正书宋简体" w:hAnsi="方正书宋简体" w:eastAsia="方正书宋简体" w:cs="方正书宋简体"/>
          <w:spacing w:val="-3"/>
          <w:sz w:val="24"/>
          <w:szCs w:val="24"/>
        </w:rPr>
        <w:t>1：吉首大学教学事故认定及处理登记表</w:t>
      </w:r>
    </w:p>
    <w:p>
      <w:pPr>
        <w:spacing w:before="163" w:line="180" w:lineRule="auto"/>
        <w:ind w:firstLine="49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附件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2：吉首大学教学事故处理通知书</w:t>
      </w:r>
    </w:p>
    <w:p>
      <w:pPr>
        <w:spacing w:line="259" w:lineRule="auto"/>
        <w:rPr>
          <w:rFonts w:ascii="Malgun Gothic"/>
          <w:sz w:val="21"/>
        </w:rPr>
      </w:pPr>
    </w:p>
    <w:p>
      <w:pPr>
        <w:spacing w:line="259" w:lineRule="auto"/>
        <w:rPr>
          <w:rFonts w:ascii="Malgun Gothic"/>
          <w:sz w:val="21"/>
        </w:rPr>
      </w:pPr>
    </w:p>
    <w:p>
      <w:pPr>
        <w:spacing w:before="61" w:line="180" w:lineRule="auto"/>
        <w:ind w:firstLine="4211"/>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346</w:t>
      </w:r>
    </w:p>
    <w:p>
      <w:pPr>
        <w:sectPr>
          <w:footerReference r:id="rId350" w:type="default"/>
          <w:pgSz w:w="11905" w:h="16840"/>
          <w:pgMar w:top="1431" w:right="1571" w:bottom="400" w:left="1591" w:header="0" w:footer="0" w:gutter="0"/>
          <w:cols w:space="720" w:num="1"/>
        </w:sectPr>
      </w:pPr>
    </w:p>
    <w:p>
      <w:pPr>
        <w:spacing w:before="429" w:line="180" w:lineRule="auto"/>
        <w:ind w:firstLine="29"/>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附件</w:t>
      </w:r>
      <w:r>
        <w:rPr>
          <w:rFonts w:ascii="方正书宋简体" w:hAnsi="方正书宋简体" w:eastAsia="方正书宋简体" w:cs="方正书宋简体"/>
          <w:spacing w:val="27"/>
          <w:w w:val="101"/>
          <w:sz w:val="24"/>
          <w:szCs w:val="24"/>
        </w:rPr>
        <w:t xml:space="preserve"> </w:t>
      </w:r>
      <w:r>
        <w:rPr>
          <w:rFonts w:ascii="方正书宋简体" w:hAnsi="方正书宋简体" w:eastAsia="方正书宋简体" w:cs="方正书宋简体"/>
          <w:spacing w:val="-11"/>
          <w:sz w:val="24"/>
          <w:szCs w:val="24"/>
        </w:rPr>
        <w:t>1：</w:t>
      </w:r>
    </w:p>
    <w:p>
      <w:pPr>
        <w:spacing w:before="148" w:line="166" w:lineRule="auto"/>
        <w:ind w:firstLine="2144"/>
        <w:rPr>
          <w:rFonts w:ascii="Microsoft JhengHei" w:hAnsi="Microsoft JhengHei" w:eastAsia="Microsoft JhengHei" w:cs="Microsoft JhengHei"/>
          <w:sz w:val="28"/>
          <w:szCs w:val="28"/>
        </w:rPr>
      </w:pPr>
      <w:r>
        <w:rPr>
          <w:rFonts w:ascii="Microsoft JhengHei" w:hAnsi="Microsoft JhengHei" w:eastAsia="Microsoft JhengHei" w:cs="Microsoft JhengHei"/>
          <w:spacing w:val="-1"/>
          <w:sz w:val="28"/>
          <w:szCs w:val="28"/>
        </w:rPr>
        <w:t>吉首大学教学事故认定及处理登记表</w:t>
      </w:r>
    </w:p>
    <w:tbl>
      <w:tblPr>
        <w:tblStyle w:val="4"/>
        <w:tblW w:w="8734"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7"/>
        <w:gridCol w:w="2590"/>
        <w:gridCol w:w="1460"/>
        <w:gridCol w:w="2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7" w:hRule="atLeast"/>
        </w:trPr>
        <w:tc>
          <w:tcPr>
            <w:tcW w:w="1777" w:type="dxa"/>
            <w:tcBorders>
              <w:top w:val="single" w:color="000000" w:sz="6" w:space="0"/>
              <w:left w:val="single" w:color="000000" w:sz="6" w:space="0"/>
            </w:tcBorders>
            <w:vAlign w:val="top"/>
          </w:tcPr>
          <w:p>
            <w:pPr>
              <w:spacing w:before="196" w:line="180" w:lineRule="auto"/>
              <w:ind w:firstLine="3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责任人姓名</w:t>
            </w:r>
          </w:p>
        </w:tc>
        <w:tc>
          <w:tcPr>
            <w:tcW w:w="2590" w:type="dxa"/>
            <w:tcBorders>
              <w:top w:val="single" w:color="000000" w:sz="6" w:space="0"/>
            </w:tcBorders>
            <w:vAlign w:val="top"/>
          </w:tcPr>
          <w:p>
            <w:pPr>
              <w:rPr>
                <w:rFonts w:ascii="Malgun Gothic"/>
                <w:sz w:val="21"/>
              </w:rPr>
            </w:pPr>
          </w:p>
        </w:tc>
        <w:tc>
          <w:tcPr>
            <w:tcW w:w="1460" w:type="dxa"/>
            <w:tcBorders>
              <w:top w:val="single" w:color="000000" w:sz="6" w:space="0"/>
            </w:tcBorders>
            <w:vAlign w:val="top"/>
          </w:tcPr>
          <w:p>
            <w:pPr>
              <w:spacing w:before="196" w:line="180" w:lineRule="auto"/>
              <w:ind w:firstLine="3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所属单位</w:t>
            </w:r>
          </w:p>
        </w:tc>
        <w:tc>
          <w:tcPr>
            <w:tcW w:w="2907" w:type="dxa"/>
            <w:tcBorders>
              <w:top w:val="single" w:color="000000" w:sz="6" w:space="0"/>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trPr>
        <w:tc>
          <w:tcPr>
            <w:tcW w:w="1777" w:type="dxa"/>
            <w:tcBorders>
              <w:left w:val="single" w:color="000000" w:sz="6" w:space="0"/>
            </w:tcBorders>
            <w:vAlign w:val="top"/>
          </w:tcPr>
          <w:p>
            <w:pPr>
              <w:spacing w:before="186" w:line="180" w:lineRule="auto"/>
              <w:ind w:firstLine="463"/>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事故类型</w:t>
            </w:r>
          </w:p>
        </w:tc>
        <w:tc>
          <w:tcPr>
            <w:tcW w:w="2590" w:type="dxa"/>
            <w:vAlign w:val="top"/>
          </w:tcPr>
          <w:p>
            <w:pPr>
              <w:rPr>
                <w:rFonts w:ascii="Malgun Gothic"/>
                <w:sz w:val="21"/>
              </w:rPr>
            </w:pPr>
          </w:p>
        </w:tc>
        <w:tc>
          <w:tcPr>
            <w:tcW w:w="1460" w:type="dxa"/>
            <w:vAlign w:val="top"/>
          </w:tcPr>
          <w:p>
            <w:pPr>
              <w:spacing w:before="186" w:line="180" w:lineRule="auto"/>
              <w:ind w:firstLine="31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事故时间</w:t>
            </w:r>
          </w:p>
        </w:tc>
        <w:tc>
          <w:tcPr>
            <w:tcW w:w="2907" w:type="dxa"/>
            <w:tcBorders>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2" w:hRule="atLeast"/>
        </w:trPr>
        <w:tc>
          <w:tcPr>
            <w:tcW w:w="1777" w:type="dxa"/>
            <w:tcBorders>
              <w:left w:val="single" w:color="000000" w:sz="6" w:space="0"/>
              <w:bottom w:val="nil"/>
            </w:tcBorders>
            <w:vAlign w:val="top"/>
          </w:tcPr>
          <w:p>
            <w:pPr>
              <w:spacing w:line="316" w:lineRule="auto"/>
              <w:rPr>
                <w:rFonts w:ascii="Malgun Gothic"/>
                <w:sz w:val="21"/>
              </w:rPr>
            </w:pPr>
          </w:p>
          <w:p>
            <w:pPr>
              <w:spacing w:line="316" w:lineRule="auto"/>
              <w:rPr>
                <w:rFonts w:ascii="Malgun Gothic"/>
                <w:sz w:val="21"/>
              </w:rPr>
            </w:pPr>
          </w:p>
          <w:p>
            <w:pPr>
              <w:spacing w:line="316" w:lineRule="auto"/>
              <w:rPr>
                <w:rFonts w:ascii="Malgun Gothic"/>
                <w:sz w:val="21"/>
              </w:rPr>
            </w:pPr>
          </w:p>
          <w:p>
            <w:pPr>
              <w:spacing w:before="76" w:line="180" w:lineRule="auto"/>
              <w:ind w:firstLine="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教学事故具体内</w:t>
            </w:r>
          </w:p>
          <w:p>
            <w:pPr>
              <w:spacing w:before="92" w:line="180" w:lineRule="auto"/>
              <w:ind w:firstLine="14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容（发现人或知</w:t>
            </w:r>
          </w:p>
          <w:p>
            <w:pPr>
              <w:spacing w:before="88" w:line="180" w:lineRule="auto"/>
              <w:ind w:firstLine="35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情人或单位</w:t>
            </w:r>
          </w:p>
          <w:p>
            <w:pPr>
              <w:spacing w:before="88" w:line="180" w:lineRule="auto"/>
              <w:ind w:firstLine="56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填写）</w:t>
            </w:r>
          </w:p>
        </w:tc>
        <w:tc>
          <w:tcPr>
            <w:tcW w:w="6957" w:type="dxa"/>
            <w:gridSpan w:val="3"/>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8" w:hRule="atLeast"/>
        </w:trPr>
        <w:tc>
          <w:tcPr>
            <w:tcW w:w="1777" w:type="dxa"/>
            <w:tcBorders>
              <w:top w:val="nil"/>
              <w:left w:val="single" w:color="000000" w:sz="6" w:space="0"/>
            </w:tcBorders>
            <w:vAlign w:val="top"/>
          </w:tcPr>
          <w:p>
            <w:pPr>
              <w:rPr>
                <w:rFonts w:ascii="Malgun Gothic"/>
                <w:sz w:val="21"/>
              </w:rPr>
            </w:pPr>
          </w:p>
        </w:tc>
        <w:tc>
          <w:tcPr>
            <w:tcW w:w="6957" w:type="dxa"/>
            <w:gridSpan w:val="3"/>
            <w:tcBorders>
              <w:top w:val="nil"/>
              <w:right w:val="single" w:color="000000" w:sz="6" w:space="0"/>
            </w:tcBorders>
            <w:vAlign w:val="top"/>
          </w:tcPr>
          <w:p>
            <w:pPr>
              <w:spacing w:line="263" w:lineRule="auto"/>
              <w:rPr>
                <w:rFonts w:ascii="Malgun Gothic"/>
                <w:sz w:val="21"/>
              </w:rPr>
            </w:pPr>
          </w:p>
          <w:p>
            <w:pPr>
              <w:spacing w:before="74" w:line="193" w:lineRule="auto"/>
              <w:ind w:firstLine="3054"/>
              <w:rPr>
                <w:rFonts w:ascii="方正书宋简体" w:hAnsi="方正书宋简体" w:eastAsia="方正书宋简体" w:cs="方正书宋简体"/>
                <w:sz w:val="21"/>
                <w:szCs w:val="21"/>
              </w:rPr>
            </w:pPr>
            <w:r>
              <w:rPr>
                <w:rFonts w:ascii="方正书宋简体" w:hAnsi="方正书宋简体" w:eastAsia="方正书宋简体" w:cs="方正书宋简体"/>
                <w:spacing w:val="-20"/>
                <w:w w:val="97"/>
                <w:sz w:val="21"/>
                <w:szCs w:val="21"/>
              </w:rPr>
              <w:t>签名：</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7"/>
                <w:sz w:val="21"/>
                <w:szCs w:val="21"/>
              </w:rPr>
              <w:t>年</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0"/>
                <w:w w:val="97"/>
                <w:sz w:val="21"/>
                <w:szCs w:val="21"/>
              </w:rPr>
              <w:t>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0"/>
                <w:w w:val="97"/>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03" w:hRule="atLeast"/>
        </w:trPr>
        <w:tc>
          <w:tcPr>
            <w:tcW w:w="1777" w:type="dxa"/>
            <w:tcBorders>
              <w:left w:val="single" w:color="000000" w:sz="6" w:space="0"/>
            </w:tcBorders>
            <w:vAlign w:val="top"/>
          </w:tcPr>
          <w:p>
            <w:pPr>
              <w:spacing w:line="434" w:lineRule="auto"/>
              <w:rPr>
                <w:rFonts w:ascii="Malgun Gothic"/>
                <w:sz w:val="21"/>
              </w:rPr>
            </w:pPr>
          </w:p>
          <w:p>
            <w:pPr>
              <w:spacing w:before="75" w:line="248" w:lineRule="auto"/>
              <w:ind w:left="570" w:right="149" w:hanging="41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责任人所在单位</w:t>
            </w:r>
            <w:r>
              <w:rPr>
                <w:rFonts w:ascii="方正书宋简体" w:hAnsi="方正书宋简体" w:eastAsia="方正书宋简体" w:cs="方正书宋简体"/>
                <w:spacing w:val="6"/>
                <w:w w:val="101"/>
                <w:sz w:val="21"/>
                <w:szCs w:val="21"/>
              </w:rPr>
              <w:t xml:space="preserve"> </w:t>
            </w:r>
            <w:r>
              <w:rPr>
                <w:rFonts w:ascii="方正书宋简体" w:hAnsi="方正书宋简体" w:eastAsia="方正书宋简体" w:cs="方正书宋简体"/>
                <w:spacing w:val="-5"/>
                <w:sz w:val="21"/>
                <w:szCs w:val="21"/>
              </w:rPr>
              <w:t>意</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见</w:t>
            </w:r>
          </w:p>
        </w:tc>
        <w:tc>
          <w:tcPr>
            <w:tcW w:w="6957" w:type="dxa"/>
            <w:gridSpan w:val="3"/>
            <w:tcBorders>
              <w:right w:val="single" w:color="000000" w:sz="6" w:space="0"/>
            </w:tcBorders>
            <w:vAlign w:val="top"/>
          </w:tcPr>
          <w:p>
            <w:pPr>
              <w:spacing w:line="253"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line="254" w:lineRule="auto"/>
              <w:rPr>
                <w:rFonts w:ascii="Malgun Gothic"/>
                <w:sz w:val="21"/>
              </w:rPr>
            </w:pPr>
          </w:p>
          <w:p>
            <w:pPr>
              <w:spacing w:before="75" w:line="180" w:lineRule="auto"/>
              <w:ind w:firstLine="2323"/>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负责人签字：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年</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9"/>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6" w:hRule="atLeast"/>
        </w:trPr>
        <w:tc>
          <w:tcPr>
            <w:tcW w:w="1777" w:type="dxa"/>
            <w:tcBorders>
              <w:left w:val="single" w:color="000000" w:sz="6" w:space="0"/>
            </w:tcBorders>
            <w:vAlign w:val="top"/>
          </w:tcPr>
          <w:p>
            <w:pPr>
              <w:spacing w:line="442" w:lineRule="auto"/>
              <w:rPr>
                <w:rFonts w:ascii="Malgun Gothic"/>
                <w:sz w:val="21"/>
              </w:rPr>
            </w:pPr>
          </w:p>
          <w:p>
            <w:pPr>
              <w:spacing w:before="75" w:line="248" w:lineRule="auto"/>
              <w:ind w:left="570" w:right="255" w:hanging="31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教学主管部门</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5"/>
                <w:sz w:val="21"/>
                <w:szCs w:val="21"/>
              </w:rPr>
              <w:t>意</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见</w:t>
            </w:r>
          </w:p>
        </w:tc>
        <w:tc>
          <w:tcPr>
            <w:tcW w:w="6957" w:type="dxa"/>
            <w:gridSpan w:val="3"/>
            <w:tcBorders>
              <w:right w:val="single" w:color="000000" w:sz="6" w:space="0"/>
            </w:tcBorders>
            <w:vAlign w:val="top"/>
          </w:tcPr>
          <w:p>
            <w:pPr>
              <w:spacing w:line="255" w:lineRule="auto"/>
              <w:rPr>
                <w:rFonts w:ascii="Malgun Gothic"/>
                <w:sz w:val="21"/>
              </w:rPr>
            </w:pPr>
          </w:p>
          <w:p>
            <w:pPr>
              <w:spacing w:line="255" w:lineRule="auto"/>
              <w:rPr>
                <w:rFonts w:ascii="Malgun Gothic"/>
                <w:sz w:val="21"/>
              </w:rPr>
            </w:pPr>
          </w:p>
          <w:p>
            <w:pPr>
              <w:spacing w:line="255" w:lineRule="auto"/>
              <w:rPr>
                <w:rFonts w:ascii="Malgun Gothic"/>
                <w:sz w:val="21"/>
              </w:rPr>
            </w:pPr>
          </w:p>
          <w:p>
            <w:pPr>
              <w:spacing w:line="256" w:lineRule="auto"/>
              <w:rPr>
                <w:rFonts w:ascii="Malgun Gothic"/>
                <w:sz w:val="21"/>
              </w:rPr>
            </w:pPr>
          </w:p>
          <w:p>
            <w:pPr>
              <w:spacing w:before="76" w:line="180" w:lineRule="auto"/>
              <w:ind w:firstLine="2583"/>
              <w:rPr>
                <w:rFonts w:ascii="方正书宋简体" w:hAnsi="方正书宋简体" w:eastAsia="方正书宋简体" w:cs="方正书宋简体"/>
                <w:sz w:val="21"/>
                <w:szCs w:val="21"/>
              </w:rPr>
            </w:pPr>
            <w:r>
              <w:rPr>
                <w:rFonts w:ascii="方正书宋简体" w:hAnsi="方正书宋简体" w:eastAsia="方正书宋简体" w:cs="方正书宋简体"/>
                <w:spacing w:val="-19"/>
                <w:sz w:val="21"/>
                <w:szCs w:val="21"/>
              </w:rPr>
              <w:t>负责人签字：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年</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9"/>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9"/>
                <w:sz w:val="21"/>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trPr>
        <w:tc>
          <w:tcPr>
            <w:tcW w:w="1777" w:type="dxa"/>
            <w:tcBorders>
              <w:left w:val="single" w:color="000000" w:sz="6" w:space="0"/>
              <w:bottom w:val="nil"/>
            </w:tcBorders>
            <w:vAlign w:val="top"/>
          </w:tcPr>
          <w:p>
            <w:pPr>
              <w:spacing w:line="247" w:lineRule="auto"/>
              <w:rPr>
                <w:rFonts w:ascii="Malgun Gothic"/>
                <w:sz w:val="21"/>
              </w:rPr>
            </w:pPr>
          </w:p>
          <w:p>
            <w:pPr>
              <w:spacing w:line="247" w:lineRule="auto"/>
              <w:rPr>
                <w:rFonts w:ascii="Malgun Gothic"/>
                <w:sz w:val="21"/>
              </w:rPr>
            </w:pPr>
          </w:p>
          <w:p>
            <w:pPr>
              <w:spacing w:before="76" w:line="360" w:lineRule="exact"/>
              <w:ind w:firstLine="46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2"/>
                <w:sz w:val="21"/>
                <w:szCs w:val="21"/>
              </w:rPr>
              <w:t>学校审批</w:t>
            </w:r>
          </w:p>
          <w:p>
            <w:pPr>
              <w:spacing w:before="1" w:line="204" w:lineRule="auto"/>
              <w:ind w:firstLine="57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意</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见</w:t>
            </w:r>
          </w:p>
        </w:tc>
        <w:tc>
          <w:tcPr>
            <w:tcW w:w="6957" w:type="dxa"/>
            <w:gridSpan w:val="3"/>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777" w:type="dxa"/>
            <w:tcBorders>
              <w:top w:val="nil"/>
              <w:left w:val="single" w:color="000000" w:sz="6" w:space="0"/>
              <w:bottom w:val="single" w:color="000000" w:sz="6" w:space="0"/>
            </w:tcBorders>
            <w:vAlign w:val="top"/>
          </w:tcPr>
          <w:p>
            <w:pPr>
              <w:rPr>
                <w:rFonts w:ascii="Malgun Gothic"/>
                <w:sz w:val="21"/>
              </w:rPr>
            </w:pPr>
          </w:p>
        </w:tc>
        <w:tc>
          <w:tcPr>
            <w:tcW w:w="6957" w:type="dxa"/>
            <w:gridSpan w:val="3"/>
            <w:tcBorders>
              <w:top w:val="nil"/>
              <w:bottom w:val="single" w:color="000000" w:sz="6" w:space="0"/>
              <w:right w:val="single" w:color="000000" w:sz="6" w:space="0"/>
            </w:tcBorders>
            <w:vAlign w:val="top"/>
          </w:tcPr>
          <w:p>
            <w:pPr>
              <w:spacing w:before="313" w:line="180" w:lineRule="auto"/>
              <w:ind w:firstLine="2482"/>
              <w:rPr>
                <w:rFonts w:ascii="方正书宋简体" w:hAnsi="方正书宋简体" w:eastAsia="方正书宋简体" w:cs="方正书宋简体"/>
                <w:sz w:val="21"/>
                <w:szCs w:val="21"/>
              </w:rPr>
            </w:pPr>
            <w:r>
              <w:rPr>
                <w:rFonts w:ascii="方正书宋简体" w:hAnsi="方正书宋简体" w:eastAsia="方正书宋简体" w:cs="方正书宋简体"/>
                <w:spacing w:val="-16"/>
                <w:sz w:val="21"/>
                <w:szCs w:val="21"/>
              </w:rPr>
              <w:t>主管校领导签字：</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6"/>
                <w:sz w:val="21"/>
                <w:szCs w:val="21"/>
              </w:rPr>
              <w:t>年</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6"/>
                <w:sz w:val="21"/>
                <w:szCs w:val="21"/>
              </w:rPr>
              <w:t>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6"/>
                <w:sz w:val="21"/>
                <w:szCs w:val="21"/>
              </w:rPr>
              <w:t>日</w:t>
            </w:r>
          </w:p>
        </w:tc>
      </w:tr>
    </w:tbl>
    <w:p>
      <w:pPr>
        <w:spacing w:before="111" w:line="180" w:lineRule="auto"/>
        <w:ind w:firstLine="433"/>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备注：</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7"/>
          <w:sz w:val="21"/>
          <w:szCs w:val="21"/>
        </w:rPr>
        <w:t>1</w:t>
      </w:r>
      <w:r>
        <w:rPr>
          <w:rFonts w:ascii="方正书宋简体" w:hAnsi="方正书宋简体" w:eastAsia="方正书宋简体" w:cs="方正书宋简体"/>
          <w:spacing w:val="-28"/>
          <w:sz w:val="21"/>
          <w:szCs w:val="21"/>
        </w:rPr>
        <w:t xml:space="preserve"> </w:t>
      </w:r>
      <w:r>
        <w:rPr>
          <w:rFonts w:ascii="宋体" w:hAnsi="宋体" w:eastAsia="宋体" w:cs="宋体"/>
          <w:spacing w:val="-7"/>
          <w:sz w:val="21"/>
          <w:szCs w:val="21"/>
        </w:rPr>
        <w:t>、</w:t>
      </w:r>
      <w:r>
        <w:rPr>
          <w:rFonts w:ascii="方正书宋简体" w:hAnsi="方正书宋简体" w:eastAsia="方正书宋简体" w:cs="方正书宋简体"/>
          <w:spacing w:val="-7"/>
          <w:sz w:val="21"/>
          <w:szCs w:val="21"/>
        </w:rPr>
        <w:t>本表一式三份，分别由责任人所在单位、教务处、人事处留存。</w:t>
      </w:r>
    </w:p>
    <w:p>
      <w:pPr>
        <w:spacing w:before="134" w:line="180" w:lineRule="auto"/>
        <w:ind w:firstLine="1063"/>
        <w:rPr>
          <w:rFonts w:ascii="方正书宋简体" w:hAnsi="方正书宋简体" w:eastAsia="方正书宋简体" w:cs="方正书宋简体"/>
          <w:sz w:val="21"/>
          <w:szCs w:val="21"/>
        </w:rPr>
      </w:pPr>
      <w:r>
        <w:rPr>
          <w:rFonts w:ascii="方正书宋简体" w:hAnsi="方正书宋简体" w:eastAsia="方正书宋简体" w:cs="方正书宋简体"/>
          <w:spacing w:val="-9"/>
          <w:sz w:val="21"/>
          <w:szCs w:val="21"/>
        </w:rPr>
        <w:t>2、</w:t>
      </w:r>
      <w:r>
        <w:rPr>
          <w:rFonts w:ascii="方正书宋简体" w:hAnsi="方正书宋简体" w:eastAsia="方正书宋简体" w:cs="方正书宋简体"/>
          <w:spacing w:val="9"/>
          <w:w w:val="101"/>
          <w:sz w:val="21"/>
          <w:szCs w:val="21"/>
        </w:rPr>
        <w:t xml:space="preserve">  </w:t>
      </w:r>
      <w:r>
        <w:rPr>
          <w:rFonts w:ascii="方正书宋简体" w:hAnsi="方正书宋简体" w:eastAsia="方正书宋简体" w:cs="方正书宋简体"/>
          <w:spacing w:val="-9"/>
          <w:sz w:val="21"/>
          <w:szCs w:val="21"/>
        </w:rPr>
        <w:t>“教学事故具体内容”栏可简要填写，详情可用附件说明。</w:t>
      </w:r>
    </w:p>
    <w:p>
      <w:pPr>
        <w:spacing w:before="353" w:line="180" w:lineRule="auto"/>
        <w:ind w:firstLine="422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347</w:t>
      </w:r>
    </w:p>
    <w:p>
      <w:pPr>
        <w:sectPr>
          <w:footerReference r:id="rId351" w:type="default"/>
          <w:pgSz w:w="11905" w:h="16840"/>
          <w:pgMar w:top="1431" w:right="1577" w:bottom="400" w:left="1578" w:header="0" w:footer="0" w:gutter="0"/>
          <w:cols w:space="720" w:num="1"/>
        </w:sectPr>
      </w:pPr>
    </w:p>
    <w:p>
      <w:pPr>
        <w:spacing w:before="429" w:line="180" w:lineRule="auto"/>
        <w:ind w:firstLine="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0"/>
          <w:sz w:val="24"/>
          <w:szCs w:val="24"/>
        </w:rPr>
        <w:t>附件</w:t>
      </w:r>
      <w:r>
        <w:rPr>
          <w:rFonts w:ascii="方正书宋简体" w:hAnsi="方正书宋简体" w:eastAsia="方正书宋简体" w:cs="方正书宋简体"/>
          <w:spacing w:val="10"/>
          <w:w w:val="101"/>
          <w:sz w:val="24"/>
          <w:szCs w:val="24"/>
        </w:rPr>
        <w:t xml:space="preserve"> </w:t>
      </w:r>
      <w:r>
        <w:rPr>
          <w:rFonts w:ascii="方正书宋简体" w:hAnsi="方正书宋简体" w:eastAsia="方正书宋简体" w:cs="方正书宋简体"/>
          <w:spacing w:val="-10"/>
          <w:sz w:val="24"/>
          <w:szCs w:val="24"/>
        </w:rPr>
        <w:t>2：</w:t>
      </w:r>
    </w:p>
    <w:p>
      <w:pPr>
        <w:spacing w:before="113" w:line="227" w:lineRule="auto"/>
        <w:ind w:firstLine="232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吉首大学教学事故处理通知书</w:t>
      </w:r>
    </w:p>
    <w:p>
      <w:pPr>
        <w:spacing w:line="204" w:lineRule="auto"/>
        <w:ind w:firstLine="1339"/>
        <w:rPr>
          <w:rFonts w:ascii="方正书宋简体" w:hAnsi="方正书宋简体" w:eastAsia="方正书宋简体" w:cs="方正书宋简体"/>
          <w:sz w:val="24"/>
          <w:szCs w:val="24"/>
        </w:rPr>
      </w:pPr>
      <w:r>
        <w:rPr>
          <w:rFonts w:ascii="方正书宋简体" w:hAnsi="方正书宋简体" w:eastAsia="方正书宋简体" w:cs="方正书宋简体"/>
          <w:spacing w:val="-23"/>
          <w:w w:val="98"/>
          <w:sz w:val="24"/>
          <w:szCs w:val="24"/>
        </w:rPr>
        <w:t>（编号</w:t>
      </w:r>
      <w:r>
        <w:rPr>
          <w:rFonts w:ascii="方正书宋简体" w:hAnsi="方正书宋简体" w:eastAsia="方正书宋简体" w:cs="方正书宋简体"/>
          <w:spacing w:val="-16"/>
          <w:sz w:val="24"/>
          <w:szCs w:val="24"/>
        </w:rPr>
        <w:t>：</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w:t>
      </w:r>
    </w:p>
    <w:p>
      <w:pPr>
        <w:spacing w:before="167" w:line="180" w:lineRule="auto"/>
        <w:ind w:firstLine="1257"/>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同志：</w:t>
      </w:r>
    </w:p>
    <w:p>
      <w:pPr>
        <w:spacing w:before="188" w:line="180" w:lineRule="auto"/>
        <w:ind w:firstLine="51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你于</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8"/>
          <w:sz w:val="24"/>
          <w:szCs w:val="24"/>
        </w:rPr>
        <w:t>年</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8"/>
          <w:sz w:val="24"/>
          <w:szCs w:val="24"/>
        </w:rPr>
        <w:t>月</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8"/>
          <w:sz w:val="24"/>
          <w:szCs w:val="24"/>
        </w:rPr>
        <w:t>日发生</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8"/>
          <w:sz w:val="24"/>
          <w:szCs w:val="24"/>
        </w:rPr>
        <w:t>，违反《吉首大学</w:t>
      </w:r>
    </w:p>
    <w:p>
      <w:pPr>
        <w:spacing w:before="193" w:line="180" w:lineRule="auto"/>
        <w:ind w:firstLine="35"/>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教学事故认定及处理办法》</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3"/>
          <w:sz w:val="24"/>
          <w:szCs w:val="24"/>
        </w:rPr>
        <w:t>规定，</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13"/>
          <w:sz w:val="24"/>
          <w:szCs w:val="24"/>
        </w:rPr>
        <w:t>学校决定给予你</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3"/>
          <w:sz w:val="24"/>
          <w:szCs w:val="24"/>
        </w:rPr>
        <w:t>处理。</w:t>
      </w:r>
    </w:p>
    <w:p>
      <w:pPr>
        <w:spacing w:before="194" w:line="314" w:lineRule="auto"/>
        <w:ind w:left="36" w:right="90"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若您对本教学事故的认定与处理有异议，可在接到本通知书</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
          <w:sz w:val="24"/>
          <w:szCs w:val="24"/>
        </w:rPr>
        <w:t>个工作日内向学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校教学事故申诉委员会提出书面复议申请。</w:t>
      </w:r>
    </w:p>
    <w:p>
      <w:pPr>
        <w:spacing w:line="269" w:lineRule="auto"/>
        <w:rPr>
          <w:rFonts w:ascii="Malgun Gothic"/>
          <w:sz w:val="21"/>
        </w:rPr>
      </w:pPr>
    </w:p>
    <w:p>
      <w:pPr>
        <w:spacing w:line="270" w:lineRule="auto"/>
        <w:rPr>
          <w:rFonts w:ascii="Malgun Gothic"/>
          <w:sz w:val="21"/>
        </w:rPr>
      </w:pPr>
    </w:p>
    <w:p>
      <w:pPr>
        <w:spacing w:before="87" w:line="180" w:lineRule="auto"/>
        <w:ind w:firstLine="4595"/>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教务处（盖章</w:t>
      </w:r>
      <w:r>
        <w:rPr>
          <w:rFonts w:ascii="方正书宋简体" w:hAnsi="方正书宋简体" w:eastAsia="方正书宋简体" w:cs="方正书宋简体"/>
          <w:spacing w:val="-1"/>
          <w:sz w:val="24"/>
          <w:szCs w:val="24"/>
        </w:rPr>
        <w:t>）：</w:t>
      </w:r>
    </w:p>
    <w:p>
      <w:pPr>
        <w:spacing w:before="196" w:line="180" w:lineRule="auto"/>
        <w:ind w:firstLine="6036"/>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年</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6"/>
          <w:sz w:val="24"/>
          <w:szCs w:val="24"/>
        </w:rPr>
        <w:t>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日</w:t>
      </w:r>
    </w:p>
    <w:p>
      <w:pPr>
        <w:spacing w:before="192" w:line="452" w:lineRule="exact"/>
        <w:ind w:firstLine="518"/>
        <w:rPr>
          <w:rFonts w:ascii="方正书宋简体" w:hAnsi="方正书宋简体" w:eastAsia="方正书宋简体" w:cs="方正书宋简体"/>
          <w:sz w:val="24"/>
          <w:szCs w:val="24"/>
        </w:rPr>
      </w:pPr>
      <w:r>
        <w:rPr>
          <w:rFonts w:ascii="方正书宋简体" w:hAnsi="方正书宋简体" w:eastAsia="方正书宋简体" w:cs="方正书宋简体"/>
          <w:spacing w:val="-5"/>
          <w:position w:val="17"/>
          <w:sz w:val="24"/>
          <w:szCs w:val="24"/>
        </w:rPr>
        <w:t>责任人所在单位签收：</w:t>
      </w:r>
    </w:p>
    <w:p>
      <w:pPr>
        <w:spacing w:before="1" w:line="204" w:lineRule="auto"/>
        <w:ind w:firstLine="1597"/>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年</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6"/>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6"/>
          <w:sz w:val="24"/>
          <w:szCs w:val="24"/>
        </w:rPr>
        <w:t>日</w:t>
      </w:r>
    </w:p>
    <w:p>
      <w:pPr>
        <w:spacing w:line="340" w:lineRule="auto"/>
        <w:rPr>
          <w:rFonts w:ascii="Malgun Gothic"/>
          <w:sz w:val="21"/>
        </w:rPr>
      </w:pPr>
    </w:p>
    <w:p>
      <w:pPr>
        <w:spacing w:before="86" w:line="193" w:lineRule="auto"/>
        <w:ind w:firstLine="40"/>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w:t>
      </w:r>
    </w:p>
    <w:p>
      <w:pPr>
        <w:spacing w:line="285" w:lineRule="auto"/>
        <w:rPr>
          <w:rFonts w:ascii="Malgun Gothic"/>
          <w:sz w:val="21"/>
        </w:rPr>
      </w:pPr>
    </w:p>
    <w:p>
      <w:pPr>
        <w:spacing w:line="285" w:lineRule="auto"/>
        <w:rPr>
          <w:rFonts w:ascii="Malgun Gothic"/>
          <w:sz w:val="21"/>
        </w:rPr>
      </w:pPr>
    </w:p>
    <w:p>
      <w:pPr>
        <w:spacing w:before="139" w:line="227" w:lineRule="auto"/>
        <w:ind w:firstLine="232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吉首大学教学事故处理通知书</w:t>
      </w:r>
    </w:p>
    <w:p>
      <w:pPr>
        <w:spacing w:line="204" w:lineRule="auto"/>
        <w:ind w:firstLine="1579"/>
        <w:rPr>
          <w:rFonts w:ascii="方正书宋简体" w:hAnsi="方正书宋简体" w:eastAsia="方正书宋简体" w:cs="方正书宋简体"/>
          <w:sz w:val="24"/>
          <w:szCs w:val="24"/>
        </w:rPr>
      </w:pPr>
      <w:r>
        <w:rPr>
          <w:rFonts w:ascii="方正书宋简体" w:hAnsi="方正书宋简体" w:eastAsia="方正书宋简体" w:cs="方正书宋简体"/>
          <w:spacing w:val="-23"/>
          <w:w w:val="98"/>
          <w:sz w:val="24"/>
          <w:szCs w:val="24"/>
        </w:rPr>
        <w:t>（编号</w:t>
      </w:r>
      <w:r>
        <w:rPr>
          <w:rFonts w:ascii="方正书宋简体" w:hAnsi="方正书宋简体" w:eastAsia="方正书宋简体" w:cs="方正书宋简体"/>
          <w:spacing w:val="-16"/>
          <w:sz w:val="24"/>
          <w:szCs w:val="24"/>
        </w:rPr>
        <w:t>：</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6"/>
          <w:sz w:val="24"/>
          <w:szCs w:val="24"/>
        </w:rPr>
        <w:t>）</w:t>
      </w:r>
    </w:p>
    <w:p>
      <w:pPr>
        <w:spacing w:before="6" w:line="4070" w:lineRule="exact"/>
        <w:textAlignment w:val="center"/>
      </w:pPr>
      <w:r>
        <w:pict>
          <v:group id="_x0000_s1029" o:spid="_x0000_s1029" o:spt="203" style="height:203.55pt;width:442.55pt;" coordsize="8850,4071">
            <o:lock v:ext="edit"/>
            <v:rect id="_x0000_s1030" o:spid="_x0000_s1030" o:spt="1" style="position:absolute;left:0;top:0;height:4071;width:8790;" fillcolor="#FFFFFF" filled="t" stroked="f" coordsize="21600,21600">
              <v:path/>
              <v:fill on="t" focussize="0,0"/>
              <v:stroke on="f"/>
              <v:imagedata o:title=""/>
              <o:lock v:ext="edit"/>
            </v:rect>
            <v:shape id="_x0000_s1031" o:spid="_x0000_s1031" o:spt="202" type="#_x0000_t202" style="position:absolute;left:15;top:141;height:3896;width:8855;" filled="f" stroked="f" coordsize="21600,21600">
              <v:path/>
              <v:fill on="f" focussize="0,0"/>
              <v:stroke on="f"/>
              <v:imagedata o:title=""/>
              <o:lock v:ext="edit" aspectratio="f"/>
              <v:textbox inset="0mm,0mm,0mm,0mm">
                <w:txbxContent>
                  <w:p>
                    <w:pPr>
                      <w:spacing w:line="20" w:lineRule="exact"/>
                    </w:pPr>
                  </w:p>
                  <w:tbl>
                    <w:tblPr>
                      <w:tblStyle w:val="4"/>
                      <w:tblW w:w="8814" w:type="dxa"/>
                      <w:tblInd w:w="20" w:type="dxa"/>
                      <w:tblLayout w:type="fixed"/>
                      <w:tblCellMar>
                        <w:top w:w="0" w:type="dxa"/>
                        <w:left w:w="0" w:type="dxa"/>
                        <w:bottom w:w="0" w:type="dxa"/>
                        <w:right w:w="0" w:type="dxa"/>
                      </w:tblCellMar>
                    </w:tblPr>
                    <w:tblGrid>
                      <w:gridCol w:w="6359"/>
                      <w:gridCol w:w="2455"/>
                    </w:tblGrid>
                    <w:tr>
                      <w:tblPrEx>
                        <w:tblCellMar>
                          <w:top w:w="0" w:type="dxa"/>
                          <w:left w:w="0" w:type="dxa"/>
                          <w:bottom w:w="0" w:type="dxa"/>
                          <w:right w:w="0" w:type="dxa"/>
                        </w:tblCellMar>
                      </w:tblPrEx>
                      <w:trPr>
                        <w:trHeight w:val="1129" w:hRule="atLeast"/>
                      </w:trPr>
                      <w:tc>
                        <w:tcPr>
                          <w:tcW w:w="6359" w:type="dxa"/>
                          <w:vAlign w:val="top"/>
                        </w:tcPr>
                        <w:p>
                          <w:pPr>
                            <w:spacing w:line="204" w:lineRule="auto"/>
                            <w:ind w:firstLine="11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6"/>
                              <w:sz w:val="24"/>
                              <w:szCs w:val="24"/>
                            </w:rPr>
                            <w:t>同志：</w:t>
                          </w:r>
                        </w:p>
                        <w:p>
                          <w:pPr>
                            <w:spacing w:before="157" w:line="180" w:lineRule="auto"/>
                            <w:ind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你于</w:t>
                          </w:r>
                          <w:r>
                            <w:rPr>
                              <w:rFonts w:ascii="方正书宋简体" w:hAnsi="方正书宋简体" w:eastAsia="方正书宋简体" w:cs="方正书宋简体"/>
                              <w:spacing w:val="2"/>
                              <w:sz w:val="24"/>
                              <w:szCs w:val="24"/>
                            </w:rPr>
                            <w:t xml:space="preserve">        </w:t>
                          </w:r>
                          <w:r>
                            <w:rPr>
                              <w:rFonts w:ascii="方正书宋简体" w:hAnsi="方正书宋简体" w:eastAsia="方正书宋简体" w:cs="方正书宋简体"/>
                              <w:spacing w:val="-11"/>
                              <w:sz w:val="24"/>
                              <w:szCs w:val="24"/>
                            </w:rPr>
                            <w:t>年</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sz w:val="24"/>
                              <w:szCs w:val="24"/>
                            </w:rPr>
                            <w:t>月</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1"/>
                              <w:sz w:val="24"/>
                              <w:szCs w:val="24"/>
                            </w:rPr>
                            <w:t>日发生</w:t>
                          </w:r>
                        </w:p>
                        <w:p>
                          <w:pPr>
                            <w:spacing w:before="190" w:line="164" w:lineRule="auto"/>
                            <w:rPr>
                              <w:rFonts w:ascii="方正书宋简体" w:hAnsi="方正书宋简体" w:eastAsia="方正书宋简体" w:cs="方正书宋简体"/>
                              <w:sz w:val="24"/>
                              <w:szCs w:val="24"/>
                            </w:rPr>
                          </w:pPr>
                          <w:r>
                            <w:rPr>
                              <w:rFonts w:ascii="方正书宋简体" w:hAnsi="方正书宋简体" w:eastAsia="方正书宋简体" w:cs="方正书宋简体"/>
                              <w:spacing w:val="-13"/>
                              <w:sz w:val="24"/>
                              <w:szCs w:val="24"/>
                            </w:rPr>
                            <w:t>教学事故认定及处理办法》</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3"/>
                              <w:sz w:val="24"/>
                              <w:szCs w:val="24"/>
                            </w:rPr>
                            <w:t>规定，</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3"/>
                              <w:sz w:val="24"/>
                              <w:szCs w:val="24"/>
                            </w:rPr>
                            <w:t>学校决定给予你</w:t>
                          </w:r>
                        </w:p>
                      </w:tc>
                      <w:tc>
                        <w:tcPr>
                          <w:tcW w:w="2455" w:type="dxa"/>
                          <w:vAlign w:val="top"/>
                        </w:tcPr>
                        <w:p>
                          <w:pPr>
                            <w:spacing w:before="445" w:line="237" w:lineRule="auto"/>
                            <w:ind w:left="515"/>
                            <w:jc w:val="right"/>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，违反</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21"/>
                              <w:sz w:val="24"/>
                              <w:szCs w:val="24"/>
                            </w:rPr>
                            <w:t>《吉首大学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处理。</w:t>
                          </w:r>
                        </w:p>
                      </w:tc>
                    </w:tr>
                  </w:tbl>
                  <w:p>
                    <w:pPr>
                      <w:spacing w:before="217" w:line="314" w:lineRule="auto"/>
                      <w:ind w:left="20" w:right="110" w:firstLine="475"/>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若您对本教学事故的认定与处理有异议，可在接到本通知书</w:t>
                    </w:r>
                    <w:r>
                      <w:rPr>
                        <w:rFonts w:ascii="方正书宋简体" w:hAnsi="方正书宋简体" w:eastAsia="方正书宋简体" w:cs="方正书宋简体"/>
                        <w:spacing w:val="75"/>
                        <w:w w:val="101"/>
                        <w:sz w:val="24"/>
                        <w:szCs w:val="24"/>
                      </w:rPr>
                      <w:t xml:space="preserve"> </w:t>
                    </w:r>
                    <w:r>
                      <w:rPr>
                        <w:rFonts w:ascii="方正书宋简体" w:hAnsi="方正书宋简体" w:eastAsia="方正书宋简体" w:cs="方正书宋简体"/>
                        <w:spacing w:val="-1"/>
                        <w:sz w:val="24"/>
                        <w:szCs w:val="24"/>
                      </w:rPr>
                      <w:t>5</w:t>
                    </w:r>
                    <w:r>
                      <w:rPr>
                        <w:rFonts w:ascii="方正书宋简体" w:hAnsi="方正书宋简体" w:eastAsia="方正书宋简体" w:cs="方正书宋简体"/>
                        <w:spacing w:val="49"/>
                        <w:sz w:val="24"/>
                        <w:szCs w:val="24"/>
                      </w:rPr>
                      <w:t xml:space="preserve"> </w:t>
                    </w:r>
                    <w:r>
                      <w:rPr>
                        <w:rFonts w:ascii="方正书宋简体" w:hAnsi="方正书宋简体" w:eastAsia="方正书宋简体" w:cs="方正书宋简体"/>
                        <w:spacing w:val="-1"/>
                        <w:sz w:val="24"/>
                        <w:szCs w:val="24"/>
                      </w:rPr>
                      <w:t>个工作日内向学</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校教学事故申诉委员会提出书面复议申请。</w:t>
                    </w:r>
                  </w:p>
                  <w:p>
                    <w:pPr>
                      <w:spacing w:line="269" w:lineRule="auto"/>
                      <w:rPr>
                        <w:rFonts w:ascii="Malgun Gothic"/>
                        <w:sz w:val="21"/>
                      </w:rPr>
                    </w:pPr>
                  </w:p>
                  <w:p>
                    <w:pPr>
                      <w:spacing w:line="270" w:lineRule="auto"/>
                      <w:rPr>
                        <w:rFonts w:ascii="Malgun Gothic"/>
                        <w:sz w:val="21"/>
                      </w:rPr>
                    </w:pPr>
                  </w:p>
                  <w:p>
                    <w:pPr>
                      <w:spacing w:before="86" w:line="180" w:lineRule="auto"/>
                      <w:ind w:firstLine="458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教务处（盖章</w:t>
                    </w:r>
                    <w:r>
                      <w:rPr>
                        <w:rFonts w:ascii="方正书宋简体" w:hAnsi="方正书宋简体" w:eastAsia="方正书宋简体" w:cs="方正书宋简体"/>
                        <w:spacing w:val="-1"/>
                        <w:sz w:val="24"/>
                        <w:szCs w:val="24"/>
                      </w:rPr>
                      <w:t>）：</w:t>
                    </w:r>
                  </w:p>
                  <w:p>
                    <w:pPr>
                      <w:spacing w:before="196" w:line="180" w:lineRule="auto"/>
                      <w:ind w:firstLine="6020"/>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年</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6"/>
                        <w:sz w:val="24"/>
                        <w:szCs w:val="24"/>
                      </w:rPr>
                      <w:t>月</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6"/>
                        <w:sz w:val="24"/>
                        <w:szCs w:val="24"/>
                      </w:rPr>
                      <w:t>日</w:t>
                    </w:r>
                  </w:p>
                </w:txbxContent>
              </v:textbox>
            </v:shape>
            <w10:wrap type="none"/>
            <w10:anchorlock/>
          </v:group>
        </w:pict>
      </w:r>
    </w:p>
    <w:p>
      <w:pPr>
        <w:spacing w:line="386" w:lineRule="auto"/>
        <w:rPr>
          <w:rFonts w:ascii="Malgun Gothic"/>
          <w:sz w:val="21"/>
        </w:rPr>
      </w:pPr>
    </w:p>
    <w:p>
      <w:pPr>
        <w:spacing w:before="61" w:line="180" w:lineRule="auto"/>
        <w:ind w:firstLine="42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348</w:t>
      </w:r>
    </w:p>
    <w:p>
      <w:pPr>
        <w:sectPr>
          <w:footerReference r:id="rId352" w:type="default"/>
          <w:pgSz w:w="11905" w:h="16840"/>
          <w:pgMar w:top="1431" w:right="1496" w:bottom="400" w:left="1557" w:header="0" w:footer="0" w:gutter="0"/>
          <w:cols w:space="720" w:num="1"/>
        </w:sectPr>
      </w:pPr>
    </w:p>
    <w:p>
      <w:pPr>
        <w:spacing w:before="349" w:line="180" w:lineRule="auto"/>
        <w:ind w:firstLine="1331"/>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吉首大学教学质量考核一票否决制实施办法</w:t>
      </w:r>
    </w:p>
    <w:p>
      <w:pPr>
        <w:spacing w:before="134" w:line="184" w:lineRule="auto"/>
        <w:ind w:firstLine="3131"/>
        <w:rPr>
          <w:rFonts w:ascii="楷体" w:hAnsi="楷体" w:eastAsia="楷体" w:cs="楷体"/>
          <w:sz w:val="24"/>
          <w:szCs w:val="24"/>
        </w:rPr>
      </w:pPr>
      <w:r>
        <w:rPr>
          <w:rFonts w:ascii="楷体" w:hAnsi="楷体" w:eastAsia="楷体" w:cs="楷体"/>
          <w:spacing w:val="-6"/>
          <w:sz w:val="24"/>
          <w:szCs w:val="24"/>
        </w:rPr>
        <w:t>（2016</w:t>
      </w:r>
      <w:r>
        <w:rPr>
          <w:rFonts w:ascii="楷体" w:hAnsi="楷体" w:eastAsia="楷体" w:cs="楷体"/>
          <w:spacing w:val="-30"/>
          <w:sz w:val="24"/>
          <w:szCs w:val="24"/>
        </w:rPr>
        <w:t xml:space="preserve"> </w:t>
      </w:r>
      <w:r>
        <w:rPr>
          <w:rFonts w:ascii="楷体" w:hAnsi="楷体" w:eastAsia="楷体" w:cs="楷体"/>
          <w:spacing w:val="-6"/>
          <w:sz w:val="24"/>
          <w:szCs w:val="24"/>
        </w:rPr>
        <w:t>年</w:t>
      </w:r>
      <w:r>
        <w:rPr>
          <w:rFonts w:ascii="楷体" w:hAnsi="楷体" w:eastAsia="楷体" w:cs="楷体"/>
          <w:spacing w:val="-35"/>
          <w:sz w:val="24"/>
          <w:szCs w:val="24"/>
        </w:rPr>
        <w:t xml:space="preserve"> </w:t>
      </w:r>
      <w:r>
        <w:rPr>
          <w:rFonts w:ascii="楷体" w:hAnsi="楷体" w:eastAsia="楷体" w:cs="楷体"/>
          <w:spacing w:val="-6"/>
          <w:sz w:val="24"/>
          <w:szCs w:val="24"/>
        </w:rPr>
        <w:t>12</w:t>
      </w:r>
      <w:r>
        <w:rPr>
          <w:rFonts w:ascii="楷体" w:hAnsi="楷体" w:eastAsia="楷体" w:cs="楷体"/>
          <w:spacing w:val="-38"/>
          <w:sz w:val="24"/>
          <w:szCs w:val="24"/>
        </w:rPr>
        <w:t xml:space="preserve"> </w:t>
      </w:r>
      <w:r>
        <w:rPr>
          <w:rFonts w:ascii="楷体" w:hAnsi="楷体" w:eastAsia="楷体" w:cs="楷体"/>
          <w:spacing w:val="-6"/>
          <w:sz w:val="24"/>
          <w:szCs w:val="24"/>
        </w:rPr>
        <w:t>月修订）</w:t>
      </w:r>
    </w:p>
    <w:p>
      <w:pPr>
        <w:spacing w:line="385" w:lineRule="auto"/>
        <w:rPr>
          <w:rFonts w:ascii="Malgun Gothic"/>
          <w:sz w:val="21"/>
        </w:rPr>
      </w:pPr>
    </w:p>
    <w:p>
      <w:pPr>
        <w:spacing w:before="86" w:line="313" w:lineRule="auto"/>
        <w:ind w:right="97"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为进一步完善教师和干部考核管理机制，明确教学质量考核管理要求，加强教</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7"/>
          <w:sz w:val="24"/>
          <w:szCs w:val="24"/>
        </w:rPr>
        <w:t>学质量管理，体现学校教学工作的中心地位，根据《中华人民共和国教师法》、</w:t>
      </w:r>
      <w:r>
        <w:rPr>
          <w:rFonts w:ascii="方正书宋简体" w:hAnsi="方正书宋简体" w:eastAsia="方正书宋简体" w:cs="方正书宋简体"/>
          <w:spacing w:val="36"/>
          <w:sz w:val="24"/>
          <w:szCs w:val="24"/>
        </w:rPr>
        <w:t xml:space="preserve"> </w:t>
      </w:r>
      <w:r>
        <w:rPr>
          <w:rFonts w:ascii="方正书宋简体" w:hAnsi="方正书宋简体" w:eastAsia="方正书宋简体" w:cs="方正书宋简体"/>
          <w:spacing w:val="-7"/>
          <w:sz w:val="24"/>
          <w:szCs w:val="24"/>
        </w:rPr>
        <w:t>《教</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育部关于全面提高高等教育质量的若干意见》</w:t>
      </w:r>
      <w:r>
        <w:rPr>
          <w:rFonts w:ascii="方正书宋简体" w:hAnsi="方正书宋简体" w:eastAsia="方正书宋简体" w:cs="方正书宋简体"/>
          <w:spacing w:val="43"/>
          <w:sz w:val="24"/>
          <w:szCs w:val="24"/>
        </w:rPr>
        <w:t xml:space="preserve"> </w:t>
      </w:r>
      <w:r>
        <w:rPr>
          <w:rFonts w:ascii="方正书宋简体" w:hAnsi="方正书宋简体" w:eastAsia="方正书宋简体" w:cs="方正书宋简体"/>
          <w:spacing w:val="-9"/>
          <w:sz w:val="24"/>
          <w:szCs w:val="24"/>
        </w:rPr>
        <w:t>（教高〔2012〕4</w:t>
      </w:r>
      <w:r>
        <w:rPr>
          <w:rFonts w:ascii="方正书宋简体" w:hAnsi="方正书宋简体" w:eastAsia="方正书宋简体" w:cs="方正书宋简体"/>
          <w:spacing w:val="47"/>
          <w:w w:val="101"/>
          <w:sz w:val="24"/>
          <w:szCs w:val="24"/>
        </w:rPr>
        <w:t xml:space="preserve"> </w:t>
      </w:r>
      <w:r>
        <w:rPr>
          <w:rFonts w:ascii="方正书宋简体" w:hAnsi="方正书宋简体" w:eastAsia="方正书宋简体" w:cs="方正书宋简体"/>
          <w:spacing w:val="-9"/>
          <w:sz w:val="24"/>
          <w:szCs w:val="24"/>
        </w:rPr>
        <w:t>号）</w:t>
      </w:r>
      <w:r>
        <w:rPr>
          <w:rFonts w:ascii="方正书宋简体" w:hAnsi="方正书宋简体" w:eastAsia="方正书宋简体" w:cs="方正书宋简体"/>
          <w:spacing w:val="53"/>
          <w:w w:val="101"/>
          <w:sz w:val="24"/>
          <w:szCs w:val="24"/>
        </w:rPr>
        <w:t xml:space="preserve"> </w:t>
      </w:r>
      <w:r>
        <w:rPr>
          <w:rFonts w:ascii="方正书宋简体" w:hAnsi="方正书宋简体" w:eastAsia="方正书宋简体" w:cs="方正书宋简体"/>
          <w:spacing w:val="-9"/>
          <w:sz w:val="24"/>
          <w:szCs w:val="24"/>
        </w:rPr>
        <w:t>等文件精神，结</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合我校实际，制订本实施办法。</w:t>
      </w:r>
    </w:p>
    <w:p>
      <w:pPr>
        <w:spacing w:before="1" w:line="202"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一、适用对象</w:t>
      </w:r>
    </w:p>
    <w:p>
      <w:pPr>
        <w:spacing w:before="113" w:line="239" w:lineRule="auto"/>
        <w:ind w:left="2" w:firstLine="48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我校在编专任教师，</w:t>
      </w:r>
      <w:r>
        <w:rPr>
          <w:rFonts w:ascii="方正书宋简体" w:hAnsi="方正书宋简体" w:eastAsia="方正书宋简体" w:cs="方正书宋简体"/>
          <w:spacing w:val="33"/>
          <w:sz w:val="24"/>
          <w:szCs w:val="24"/>
        </w:rPr>
        <w:t xml:space="preserve">  </w:t>
      </w:r>
      <w:r>
        <w:rPr>
          <w:rFonts w:ascii="方正书宋简体" w:hAnsi="方正书宋简体" w:eastAsia="方正书宋简体" w:cs="方正书宋简体"/>
          <w:spacing w:val="-7"/>
          <w:sz w:val="24"/>
          <w:szCs w:val="24"/>
        </w:rPr>
        <w:t>以及直接参与教学管理、教学运行、教学保障的管理人员、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教学辅助人员、后勤管理服务人员等相关人员。</w:t>
      </w:r>
    </w:p>
    <w:p>
      <w:pPr>
        <w:spacing w:before="205"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二、适用范围</w:t>
      </w:r>
    </w:p>
    <w:p>
      <w:pPr>
        <w:spacing w:before="153" w:line="264" w:lineRule="auto"/>
        <w:ind w:left="2"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教学质量一票否决制指教师、管理干部等人员在课堂教学、实践教学、教学管</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11"/>
          <w:sz w:val="24"/>
          <w:szCs w:val="24"/>
        </w:rPr>
        <w:t>理、考试考务、后勤服务等方面出现教学事故，</w:t>
      </w:r>
      <w:r>
        <w:rPr>
          <w:rFonts w:ascii="方正书宋简体" w:hAnsi="方正书宋简体" w:eastAsia="方正书宋简体" w:cs="方正书宋简体"/>
          <w:spacing w:val="34"/>
          <w:w w:val="101"/>
          <w:sz w:val="24"/>
          <w:szCs w:val="24"/>
        </w:rPr>
        <w:t xml:space="preserve">  </w:t>
      </w:r>
      <w:r>
        <w:rPr>
          <w:rFonts w:ascii="方正书宋简体" w:hAnsi="方正书宋简体" w:eastAsia="方正书宋简体" w:cs="方正书宋简体"/>
          <w:spacing w:val="-11"/>
          <w:sz w:val="24"/>
          <w:szCs w:val="24"/>
        </w:rPr>
        <w:t>受到学校相应处理后，</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在职务晋升、</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职称评定、岗位考核、评优评先等考核中实行一票否决制。</w:t>
      </w:r>
    </w:p>
    <w:p>
      <w:pPr>
        <w:spacing w:before="205"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三、实施办法</w:t>
      </w:r>
    </w:p>
    <w:p>
      <w:pPr>
        <w:spacing w:before="153" w:line="315" w:lineRule="auto"/>
        <w:ind w:left="1" w:right="96"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1、一学年内出现严重教学管理事故或教学事故一次或一般事故两次以上（含两</w:t>
      </w:r>
      <w:r>
        <w:rPr>
          <w:rFonts w:ascii="方正书宋简体" w:hAnsi="方正书宋简体" w:eastAsia="方正书宋简体" w:cs="方正书宋简体"/>
          <w:spacing w:val="4"/>
          <w:w w:val="101"/>
          <w:sz w:val="24"/>
          <w:szCs w:val="24"/>
        </w:rPr>
        <w:t xml:space="preserve"> </w:t>
      </w:r>
      <w:r>
        <w:rPr>
          <w:rFonts w:ascii="方正书宋简体" w:hAnsi="方正书宋简体" w:eastAsia="方正书宋简体" w:cs="方正书宋简体"/>
          <w:spacing w:val="2"/>
          <w:sz w:val="24"/>
          <w:szCs w:val="24"/>
        </w:rPr>
        <w:t>次）的直接责任人，取消本年度评优资格和各类荣誉称号的评定资格，已取得的资</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格或荣誉称号同时取消。造成严重事故的直接责任人不能参加当年的职称评审和晋</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薪。情节特别严重者，对教育教学工作造成重大损失者，将立即解除聘用合同，交</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3"/>
          <w:sz w:val="24"/>
          <w:szCs w:val="24"/>
        </w:rPr>
        <w:t>学校人事处按未聘人员管理。</w:t>
      </w:r>
    </w:p>
    <w:p>
      <w:pPr>
        <w:spacing w:before="1" w:line="315" w:lineRule="auto"/>
        <w:ind w:right="96"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2、工作态度不端正、责任心不强、工作效果差、群众意见大的教学管理人员和</w:t>
      </w:r>
      <w:r>
        <w:rPr>
          <w:rFonts w:ascii="方正书宋简体" w:hAnsi="方正书宋简体" w:eastAsia="方正书宋简体" w:cs="方正书宋简体"/>
          <w:spacing w:val="33"/>
          <w:w w:val="101"/>
          <w:sz w:val="24"/>
          <w:szCs w:val="24"/>
        </w:rPr>
        <w:t xml:space="preserve"> </w:t>
      </w:r>
      <w:r>
        <w:rPr>
          <w:rFonts w:ascii="方正书宋简体" w:hAnsi="方正书宋简体" w:eastAsia="方正书宋简体" w:cs="方正书宋简体"/>
          <w:spacing w:val="2"/>
          <w:sz w:val="24"/>
          <w:szCs w:val="24"/>
        </w:rPr>
        <w:t>师德教风方面表现差的教师，年度或师德考核不合格的人员，两年内不得参加职称</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评定、岗位聘任、不得晋升职务和工资、不得评选先进个人。对严重违反师德师风</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2"/>
          <w:sz w:val="24"/>
          <w:szCs w:val="24"/>
        </w:rPr>
        <w:t>建设基本要求的教师，给予必要的组织处理或党政纪律处理，直至取消教师资格并</w:t>
      </w:r>
      <w:r>
        <w:rPr>
          <w:rFonts w:ascii="方正书宋简体" w:hAnsi="方正书宋简体" w:eastAsia="方正书宋简体" w:cs="方正书宋简体"/>
          <w:spacing w:val="16"/>
          <w:sz w:val="24"/>
          <w:szCs w:val="24"/>
        </w:rPr>
        <w:t xml:space="preserve"> </w:t>
      </w:r>
      <w:r>
        <w:rPr>
          <w:rFonts w:ascii="方正书宋简体" w:hAnsi="方正书宋简体" w:eastAsia="方正书宋简体" w:cs="方正书宋简体"/>
          <w:spacing w:val="-5"/>
          <w:sz w:val="24"/>
          <w:szCs w:val="24"/>
        </w:rPr>
        <w:t>予以解聘。</w:t>
      </w:r>
    </w:p>
    <w:p>
      <w:pPr>
        <w:spacing w:before="4" w:line="315" w:lineRule="auto"/>
        <w:ind w:left="3" w:right="109"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3、违反《吉首大学课堂教学工作规范》，教学效果差、学生反映意见强烈，且</w:t>
      </w:r>
      <w:r>
        <w:rPr>
          <w:rFonts w:ascii="方正书宋简体" w:hAnsi="方正书宋简体" w:eastAsia="方正书宋简体" w:cs="方正书宋简体"/>
          <w:spacing w:val="19"/>
          <w:sz w:val="24"/>
          <w:szCs w:val="24"/>
        </w:rPr>
        <w:t xml:space="preserve"> </w:t>
      </w:r>
      <w:r>
        <w:rPr>
          <w:rFonts w:ascii="方正书宋简体" w:hAnsi="方正书宋简体" w:eastAsia="方正书宋简体" w:cs="方正书宋简体"/>
          <w:spacing w:val="-2"/>
          <w:sz w:val="24"/>
          <w:szCs w:val="24"/>
        </w:rPr>
        <w:t>两次教学质量评价结果不合格的教师，则取消授课资格，调离教师队伍。</w:t>
      </w:r>
    </w:p>
    <w:p>
      <w:pPr>
        <w:spacing w:before="1" w:line="239" w:lineRule="auto"/>
        <w:ind w:left="6" w:right="98"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4、无故不完成额定教学工作量的教师，</w:t>
      </w:r>
      <w:r>
        <w:rPr>
          <w:rFonts w:ascii="方正书宋简体" w:hAnsi="方正书宋简体" w:eastAsia="方正书宋简体" w:cs="方正书宋简体"/>
          <w:spacing w:val="37"/>
          <w:sz w:val="24"/>
          <w:szCs w:val="24"/>
        </w:rPr>
        <w:t xml:space="preserve">  </w:t>
      </w:r>
      <w:r>
        <w:rPr>
          <w:rFonts w:ascii="方正书宋简体" w:hAnsi="方正书宋简体" w:eastAsia="方正书宋简体" w:cs="方正书宋简体"/>
          <w:spacing w:val="-11"/>
          <w:sz w:val="24"/>
          <w:szCs w:val="24"/>
        </w:rPr>
        <w:t>年度考核则为不称职，</w:t>
      </w:r>
      <w:r>
        <w:rPr>
          <w:rFonts w:ascii="方正书宋简体" w:hAnsi="方正书宋简体" w:eastAsia="方正书宋简体" w:cs="方正书宋简体"/>
          <w:spacing w:val="21"/>
          <w:sz w:val="24"/>
          <w:szCs w:val="24"/>
        </w:rPr>
        <w:t xml:space="preserve">  </w:t>
      </w:r>
      <w:r>
        <w:rPr>
          <w:rFonts w:ascii="方正书宋简体" w:hAnsi="方正书宋简体" w:eastAsia="方正书宋简体" w:cs="方正书宋简体"/>
          <w:spacing w:val="-11"/>
          <w:sz w:val="24"/>
          <w:szCs w:val="24"/>
        </w:rPr>
        <w:t>推迟一年正常晋</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升工资，申报高一级职务的年限按有关文件执行。</w:t>
      </w:r>
    </w:p>
    <w:p>
      <w:pPr>
        <w:spacing w:before="216"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5、教师因在校外兼职、参加社会活动而影响学校正常教学秩序的，</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6"/>
          <w:sz w:val="24"/>
          <w:szCs w:val="24"/>
        </w:rPr>
        <w:t>将扣发或停</w:t>
      </w:r>
    </w:p>
    <w:p>
      <w:pPr>
        <w:spacing w:before="221"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349</w:t>
      </w:r>
    </w:p>
    <w:p>
      <w:pPr>
        <w:sectPr>
          <w:footerReference r:id="rId353" w:type="default"/>
          <w:pgSz w:w="11905" w:h="16840"/>
          <w:pgMar w:top="1431" w:right="1489" w:bottom="400" w:left="1590" w:header="0" w:footer="0" w:gutter="0"/>
          <w:cols w:space="720" w:num="1"/>
        </w:sectPr>
      </w:pPr>
    </w:p>
    <w:p>
      <w:pPr>
        <w:spacing w:before="426" w:line="180" w:lineRule="auto"/>
        <w:ind w:firstLine="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发本人岗位津贴，严重者将停薪停职，直至解聘。</w:t>
      </w:r>
    </w:p>
    <w:p>
      <w:pPr>
        <w:spacing w:before="191" w:line="316" w:lineRule="auto"/>
        <w:ind w:firstLine="486"/>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6、新毕业任教的青年教师及新调入教师队伍的人员无故不参加岗前培训、普通</w:t>
      </w:r>
      <w:r>
        <w:rPr>
          <w:rFonts w:ascii="方正书宋简体" w:hAnsi="方正书宋简体" w:eastAsia="方正书宋简体" w:cs="方正书宋简体"/>
          <w:spacing w:val="32"/>
          <w:w w:val="101"/>
          <w:sz w:val="24"/>
          <w:szCs w:val="24"/>
        </w:rPr>
        <w:t xml:space="preserve"> </w:t>
      </w:r>
      <w:r>
        <w:rPr>
          <w:rFonts w:ascii="方正书宋简体" w:hAnsi="方正书宋简体" w:eastAsia="方正书宋简体" w:cs="方正书宋简体"/>
          <w:spacing w:val="-2"/>
          <w:sz w:val="24"/>
          <w:szCs w:val="24"/>
        </w:rPr>
        <w:t>话测试，或没有取得合格证者，不能参加专业技术职务的晋升。</w:t>
      </w:r>
    </w:p>
    <w:p>
      <w:pPr>
        <w:spacing w:before="2" w:line="238" w:lineRule="auto"/>
        <w:ind w:left="9" w:firstLine="474"/>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7、凡受到教学通报批评及以上处理的个人及单位，</w:t>
      </w:r>
      <w:r>
        <w:rPr>
          <w:rFonts w:ascii="方正书宋简体" w:hAnsi="方正书宋简体" w:eastAsia="方正书宋简体" w:cs="方正书宋简体"/>
          <w:spacing w:val="28"/>
          <w:w w:val="101"/>
          <w:sz w:val="24"/>
          <w:szCs w:val="24"/>
        </w:rPr>
        <w:t xml:space="preserve">  </w:t>
      </w:r>
      <w:r>
        <w:rPr>
          <w:rFonts w:ascii="方正书宋简体" w:hAnsi="方正书宋简体" w:eastAsia="方正书宋简体" w:cs="方正书宋简体"/>
          <w:spacing w:val="-6"/>
          <w:sz w:val="24"/>
          <w:szCs w:val="24"/>
        </w:rPr>
        <w:t>取消个人和单位当年的评优</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9"/>
          <w:sz w:val="24"/>
          <w:szCs w:val="24"/>
        </w:rPr>
        <w:t>资格。</w:t>
      </w:r>
    </w:p>
    <w:p>
      <w:pPr>
        <w:spacing w:before="206" w:line="180" w:lineRule="auto"/>
        <w:ind w:firstLine="507"/>
        <w:rPr>
          <w:rFonts w:ascii="Microsoft JhengHei" w:hAnsi="Microsoft JhengHei" w:eastAsia="Microsoft JhengHei" w:cs="Microsoft JhengHei"/>
          <w:sz w:val="24"/>
          <w:szCs w:val="24"/>
        </w:rPr>
      </w:pPr>
      <w:r>
        <w:rPr>
          <w:rFonts w:ascii="Microsoft JhengHei" w:hAnsi="Microsoft JhengHei" w:eastAsia="Microsoft JhengHei" w:cs="Microsoft JhengHei"/>
          <w:spacing w:val="-6"/>
          <w:sz w:val="24"/>
          <w:szCs w:val="24"/>
        </w:rPr>
        <w:t>四、其他</w:t>
      </w:r>
    </w:p>
    <w:p>
      <w:pPr>
        <w:spacing w:before="152" w:line="315" w:lineRule="auto"/>
        <w:ind w:left="2"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1、受到“教学质量考核一票否决”的有关人员要限期整改，</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7"/>
          <w:sz w:val="24"/>
          <w:szCs w:val="24"/>
        </w:rPr>
        <w:t>由本单位党政领导</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对其进行谈话教育，定期考核其整改情况。</w:t>
      </w:r>
    </w:p>
    <w:p>
      <w:pPr>
        <w:spacing w:line="239" w:lineRule="auto"/>
        <w:ind w:left="28" w:right="1" w:firstLine="457"/>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2、在执行过程中，</w:t>
      </w:r>
      <w:r>
        <w:rPr>
          <w:rFonts w:ascii="方正书宋简体" w:hAnsi="方正书宋简体" w:eastAsia="方正书宋简体" w:cs="方正书宋简体"/>
          <w:spacing w:val="1"/>
          <w:w w:val="101"/>
          <w:sz w:val="24"/>
          <w:szCs w:val="24"/>
        </w:rPr>
        <w:t xml:space="preserve">   </w:t>
      </w:r>
      <w:r>
        <w:rPr>
          <w:rFonts w:ascii="方正书宋简体" w:hAnsi="方正书宋简体" w:eastAsia="方正书宋简体" w:cs="方正书宋简体"/>
          <w:spacing w:val="-11"/>
          <w:sz w:val="24"/>
          <w:szCs w:val="24"/>
        </w:rPr>
        <w:t>当事人若对“教学质量考核一票否决”的处理有异议的，</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sz w:val="24"/>
          <w:szCs w:val="24"/>
        </w:rPr>
        <w:t>可</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向校教学责任事件认定委员会提出申诉和复议。</w:t>
      </w:r>
    </w:p>
    <w:p>
      <w:pPr>
        <w:spacing w:before="217" w:line="180" w:lineRule="auto"/>
        <w:ind w:firstLine="489"/>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3、教学事故的认定和处理依据《吉首大学教学事故认定及处理办法》执行。</w:t>
      </w:r>
    </w:p>
    <w:p>
      <w:pPr>
        <w:spacing w:before="195"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4、本办法由教务处、人事处负责解释。</w:t>
      </w: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line="249" w:lineRule="auto"/>
        <w:rPr>
          <w:rFonts w:ascii="Malgun Gothic"/>
          <w:sz w:val="21"/>
        </w:rPr>
      </w:pPr>
    </w:p>
    <w:p>
      <w:pPr>
        <w:spacing w:before="62" w:line="180" w:lineRule="auto"/>
        <w:ind w:firstLine="4214"/>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350</w:t>
      </w:r>
    </w:p>
    <w:p>
      <w:pPr>
        <w:sectPr>
          <w:footerReference r:id="rId354" w:type="default"/>
          <w:pgSz w:w="11905" w:h="16840"/>
          <w:pgMar w:top="1431" w:right="1587" w:bottom="400" w:left="1588" w:header="0" w:footer="0" w:gutter="0"/>
          <w:cols w:space="720" w:num="1"/>
        </w:sectPr>
      </w:pPr>
    </w:p>
    <w:p>
      <w:pPr>
        <w:spacing w:before="349" w:line="180" w:lineRule="auto"/>
        <w:ind w:firstLine="1172"/>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吉首大学新设本科专业办学水平评估实施办法</w:t>
      </w:r>
    </w:p>
    <w:p>
      <w:pPr>
        <w:spacing w:before="110" w:line="184" w:lineRule="auto"/>
        <w:ind w:firstLine="3431"/>
        <w:rPr>
          <w:rFonts w:ascii="楷体" w:hAnsi="楷体" w:eastAsia="楷体" w:cs="楷体"/>
          <w:sz w:val="24"/>
          <w:szCs w:val="24"/>
        </w:rPr>
      </w:pPr>
      <w:r>
        <w:rPr>
          <w:rFonts w:ascii="楷体" w:hAnsi="楷体" w:eastAsia="楷体" w:cs="楷体"/>
          <w:spacing w:val="-4"/>
          <w:sz w:val="24"/>
          <w:szCs w:val="24"/>
        </w:rPr>
        <w:t>（2017</w:t>
      </w:r>
      <w:r>
        <w:rPr>
          <w:rFonts w:ascii="楷体" w:hAnsi="楷体" w:eastAsia="楷体" w:cs="楷体"/>
          <w:spacing w:val="-23"/>
          <w:sz w:val="24"/>
          <w:szCs w:val="24"/>
        </w:rPr>
        <w:t xml:space="preserve"> </w:t>
      </w:r>
      <w:r>
        <w:rPr>
          <w:rFonts w:ascii="楷体" w:hAnsi="楷体" w:eastAsia="楷体" w:cs="楷体"/>
          <w:spacing w:val="-4"/>
          <w:sz w:val="24"/>
          <w:szCs w:val="24"/>
        </w:rPr>
        <w:t>年修订）</w:t>
      </w:r>
    </w:p>
    <w:p>
      <w:pPr>
        <w:spacing w:line="380" w:lineRule="auto"/>
        <w:rPr>
          <w:rFonts w:ascii="Malgun Gothic"/>
          <w:sz w:val="21"/>
        </w:rPr>
      </w:pPr>
    </w:p>
    <w:p>
      <w:pPr>
        <w:spacing w:before="86" w:line="285" w:lineRule="auto"/>
        <w:ind w:right="91" w:firstLine="487"/>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为推进我校新设本科专业进一步明确办学定位，合理确定人才培养目标，严格</w:t>
      </w:r>
      <w:r>
        <w:rPr>
          <w:rFonts w:ascii="方正书宋简体" w:hAnsi="方正书宋简体" w:eastAsia="方正书宋简体" w:cs="方正书宋简体"/>
          <w:spacing w:val="32"/>
          <w:sz w:val="24"/>
          <w:szCs w:val="24"/>
        </w:rPr>
        <w:t xml:space="preserve"> </w:t>
      </w:r>
      <w:r>
        <w:rPr>
          <w:rFonts w:ascii="方正书宋简体" w:hAnsi="方正书宋简体" w:eastAsia="方正书宋简体" w:cs="方正书宋简体"/>
          <w:spacing w:val="2"/>
          <w:sz w:val="24"/>
          <w:szCs w:val="24"/>
        </w:rPr>
        <w:t>落实人才培养质量标准，科学构建人才培养体系，强化专业办学规范，保障人才培</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养质量，充实专业办学内涵，提高专业办学能力与水平，以优异的成绩通过湖南省</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教育厅组织的新设本科专业办学水平评估和新增学士学位授权学科专业评估，特制</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4"/>
          <w:sz w:val="24"/>
          <w:szCs w:val="24"/>
        </w:rPr>
        <w:t>定本评估实施办法。</w:t>
      </w:r>
    </w:p>
    <w:p>
      <w:pPr>
        <w:spacing w:before="205" w:line="180" w:lineRule="auto"/>
        <w:ind w:firstLine="492"/>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一、指导思想</w:t>
      </w:r>
    </w:p>
    <w:p>
      <w:pPr>
        <w:spacing w:before="148" w:line="294" w:lineRule="auto"/>
        <w:ind w:right="13"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z w:val="24"/>
          <w:szCs w:val="24"/>
        </w:rPr>
        <w:t>以党的十八大和十八届历次全会精神以及习近平总书记系列重要讲话为指导，</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5"/>
          <w:sz w:val="24"/>
          <w:szCs w:val="24"/>
        </w:rPr>
        <w:t>深入贯彻落实教育部《关于全面提高高等教育质量的若干意见》、湖南省教育厅《湖</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2"/>
          <w:sz w:val="24"/>
          <w:szCs w:val="24"/>
        </w:rPr>
        <w:t>南省普通高等学校新设本科专业办学水平评估和新增学士学位授权学科专业评估方</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1"/>
          <w:sz w:val="24"/>
          <w:szCs w:val="24"/>
        </w:rPr>
        <w:t>案》文件精神，</w:t>
      </w:r>
      <w:r>
        <w:rPr>
          <w:rFonts w:ascii="方正书宋简体" w:hAnsi="方正书宋简体" w:eastAsia="方正书宋简体" w:cs="方正书宋简体"/>
          <w:spacing w:val="28"/>
          <w:sz w:val="24"/>
          <w:szCs w:val="24"/>
        </w:rPr>
        <w:t xml:space="preserve">  </w:t>
      </w:r>
      <w:r>
        <w:rPr>
          <w:rFonts w:ascii="方正书宋简体" w:hAnsi="方正书宋简体" w:eastAsia="方正书宋简体" w:cs="方正书宋简体"/>
          <w:spacing w:val="-11"/>
          <w:sz w:val="24"/>
          <w:szCs w:val="24"/>
        </w:rPr>
        <w:t>通过实施新设本科专业办学水平评估，</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11"/>
          <w:sz w:val="24"/>
          <w:szCs w:val="24"/>
        </w:rPr>
        <w:t>加强新设专业基础条件建设，</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推进新设专业改革创新，强化新设专业内涵特色，提升新设专业人才培养质量，为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
          <w:sz w:val="24"/>
          <w:szCs w:val="24"/>
        </w:rPr>
        <w:t>新设专业接受教育厅组织的新设本科专业办学水平评估和新增学士学位授权学科专</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3"/>
          <w:sz w:val="24"/>
          <w:szCs w:val="24"/>
        </w:rPr>
        <w:t>业评估或专项评估奠定基础。</w:t>
      </w:r>
    </w:p>
    <w:p>
      <w:pPr>
        <w:spacing w:before="204" w:line="180"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二、基本原则</w:t>
      </w:r>
    </w:p>
    <w:p>
      <w:pPr>
        <w:spacing w:before="151" w:line="315" w:lineRule="auto"/>
        <w:ind w:right="91"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1、对标审核的原则。新设本科专业办学水平评估是专业办学水平的合格评估，</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按照教育部、省教育厅有关新专业办学水平评估要求和指标体系，根据实际，制定</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2"/>
          <w:sz w:val="24"/>
          <w:szCs w:val="24"/>
        </w:rPr>
        <w:t>了学校新设本科专业办学水平评估的指标体系。新设本科专业办学水平评估以指标</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2"/>
          <w:sz w:val="24"/>
          <w:szCs w:val="24"/>
        </w:rPr>
        <w:t>体系为依据，对新设专业进行对标审核，主要针对新设本科专业办学的基本条件保</w:t>
      </w:r>
      <w:r>
        <w:rPr>
          <w:rFonts w:ascii="方正书宋简体" w:hAnsi="方正书宋简体" w:eastAsia="方正书宋简体" w:cs="方正书宋简体"/>
          <w:spacing w:val="15"/>
          <w:sz w:val="24"/>
          <w:szCs w:val="24"/>
        </w:rPr>
        <w:t xml:space="preserve"> </w:t>
      </w:r>
      <w:r>
        <w:rPr>
          <w:rFonts w:ascii="方正书宋简体" w:hAnsi="方正书宋简体" w:eastAsia="方正书宋简体" w:cs="方正书宋简体"/>
          <w:spacing w:val="-3"/>
          <w:sz w:val="24"/>
          <w:szCs w:val="24"/>
        </w:rPr>
        <w:t>障和办学管理规范的审核。</w:t>
      </w:r>
    </w:p>
    <w:p>
      <w:pPr>
        <w:spacing w:before="2" w:line="313" w:lineRule="auto"/>
        <w:ind w:lef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9"/>
          <w:sz w:val="24"/>
          <w:szCs w:val="24"/>
        </w:rPr>
        <w:t>2、学院主体的原则。新设本科专业办学水平评估由教务处组织，</w:t>
      </w:r>
      <w:r>
        <w:rPr>
          <w:rFonts w:ascii="方正书宋简体" w:hAnsi="方正书宋简体" w:eastAsia="方正书宋简体" w:cs="方正书宋简体"/>
          <w:spacing w:val="11"/>
          <w:sz w:val="24"/>
          <w:szCs w:val="24"/>
        </w:rPr>
        <w:t xml:space="preserve">  </w:t>
      </w:r>
      <w:r>
        <w:rPr>
          <w:rFonts w:ascii="方正书宋简体" w:hAnsi="方正书宋简体" w:eastAsia="方正书宋简体" w:cs="方正书宋简体"/>
          <w:spacing w:val="-9"/>
          <w:sz w:val="24"/>
          <w:szCs w:val="24"/>
        </w:rPr>
        <w:t>以学院为主体。</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学院负责新设本科专业自评报告的撰写、基础数据的填报、支撑材料的准备、迎评</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
          <w:sz w:val="24"/>
          <w:szCs w:val="24"/>
        </w:rPr>
        <w:t>现场的布置。学院院长是评估工作的第一负责人，教学副院长是直接责任人。专业</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
          <w:sz w:val="24"/>
          <w:szCs w:val="24"/>
        </w:rPr>
        <w:t>负责人在学院的组织领导下具体开展新设本科专业办学水平评估的各项迎评工作。</w:t>
      </w:r>
    </w:p>
    <w:p>
      <w:pPr>
        <w:spacing w:before="13" w:line="313" w:lineRule="auto"/>
        <w:ind w:left="1" w:right="91"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3、促进发展的原则。通过新设本科专业办学水平评估，</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帮助新设专业总结专业</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2"/>
          <w:sz w:val="24"/>
          <w:szCs w:val="24"/>
        </w:rPr>
        <w:t>办学取得的成绩，查找专业办学中存在的问题，补齐专业建设中的短板，明确新设</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
          <w:sz w:val="24"/>
          <w:szCs w:val="24"/>
        </w:rPr>
        <w:t>专业未来发展的方向和建设的着力点。强化新设专业办学内涵，提升专业办学能力</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2"/>
          <w:sz w:val="24"/>
          <w:szCs w:val="24"/>
        </w:rPr>
        <w:t>与办学水平，提高人才培养质量，促进专业又好又快地发展。</w:t>
      </w:r>
    </w:p>
    <w:p>
      <w:pPr>
        <w:spacing w:before="72"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351</w:t>
      </w:r>
    </w:p>
    <w:p>
      <w:pPr>
        <w:sectPr>
          <w:footerReference r:id="rId355" w:type="default"/>
          <w:pgSz w:w="11905" w:h="16840"/>
          <w:pgMar w:top="1431" w:right="1494" w:bottom="400" w:left="1590" w:header="0" w:footer="0" w:gutter="0"/>
          <w:cols w:space="720" w:num="1"/>
        </w:sectPr>
      </w:pPr>
    </w:p>
    <w:p>
      <w:pPr>
        <w:spacing w:before="414" w:line="180" w:lineRule="auto"/>
        <w:ind w:firstLine="494"/>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三、组织机构</w:t>
      </w:r>
    </w:p>
    <w:p>
      <w:pPr>
        <w:spacing w:before="153" w:line="180" w:lineRule="auto"/>
        <w:ind w:firstLine="503"/>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1、评估领导小组</w:t>
      </w:r>
    </w:p>
    <w:p>
      <w:pPr>
        <w:spacing w:before="193" w:line="180" w:lineRule="auto"/>
        <w:ind w:firstLine="48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组</w:t>
      </w:r>
      <w:r>
        <w:rPr>
          <w:rFonts w:ascii="方正书宋简体" w:hAnsi="方正书宋简体" w:eastAsia="方正书宋简体" w:cs="方正书宋简体"/>
          <w:spacing w:val="2"/>
          <w:w w:val="101"/>
          <w:sz w:val="24"/>
          <w:szCs w:val="24"/>
        </w:rPr>
        <w:t xml:space="preserve">    </w:t>
      </w:r>
      <w:r>
        <w:rPr>
          <w:rFonts w:ascii="方正书宋简体" w:hAnsi="方正书宋简体" w:eastAsia="方正书宋简体" w:cs="方正书宋简体"/>
          <w:spacing w:val="-1"/>
          <w:sz w:val="24"/>
          <w:szCs w:val="24"/>
        </w:rPr>
        <w:t>长：主管教学工作副校长</w:t>
      </w:r>
    </w:p>
    <w:p>
      <w:pPr>
        <w:spacing w:before="191" w:line="239" w:lineRule="auto"/>
        <w:ind w:left="11" w:right="78" w:firstLine="477"/>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副组长：教务处处长、实验室与设备管理中心主任、教学质量监控与评估中心</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4"/>
          <w:sz w:val="24"/>
          <w:szCs w:val="24"/>
        </w:rPr>
        <w:t>主任</w:t>
      </w:r>
    </w:p>
    <w:p>
      <w:pPr>
        <w:spacing w:before="217" w:line="239" w:lineRule="auto"/>
        <w:ind w:left="8" w:right="78" w:firstLine="473"/>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成</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
          <w:sz w:val="24"/>
          <w:szCs w:val="24"/>
        </w:rPr>
        <w:t>员：张家界校区教科办正副主任、教务处副处长、实验室与设备管理中心</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副主任、教学质量监控与评估中心副主任、各学院院长</w:t>
      </w:r>
    </w:p>
    <w:p>
      <w:pPr>
        <w:spacing w:before="217" w:line="180" w:lineRule="auto"/>
        <w:ind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2、评估专家小组</w:t>
      </w:r>
    </w:p>
    <w:p>
      <w:pPr>
        <w:spacing w:before="189" w:line="303" w:lineRule="auto"/>
        <w:ind w:left="5" w:right="78" w:firstLine="478"/>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根据评估专业的学科专业特点，根据学科专业相近与相关的原则从学校教学专</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4"/>
          <w:sz w:val="24"/>
          <w:szCs w:val="24"/>
        </w:rPr>
        <w:t>家库中抽取产生。</w:t>
      </w:r>
    </w:p>
    <w:p>
      <w:pPr>
        <w:spacing w:before="28" w:line="187" w:lineRule="auto"/>
        <w:ind w:firstLine="505"/>
        <w:rPr>
          <w:rFonts w:ascii="Microsoft JhengHei" w:hAnsi="Microsoft JhengHei" w:eastAsia="Microsoft JhengHei" w:cs="Microsoft JhengHei"/>
          <w:sz w:val="24"/>
          <w:szCs w:val="24"/>
        </w:rPr>
      </w:pPr>
      <w:r>
        <w:rPr>
          <w:rFonts w:ascii="Microsoft JhengHei" w:hAnsi="Microsoft JhengHei" w:eastAsia="Microsoft JhengHei" w:cs="Microsoft JhengHei"/>
          <w:spacing w:val="-3"/>
          <w:sz w:val="24"/>
          <w:szCs w:val="24"/>
        </w:rPr>
        <w:t>四、评估对象与时间</w:t>
      </w:r>
    </w:p>
    <w:p>
      <w:pPr>
        <w:spacing w:before="137"/>
        <w:ind w:left="4" w:right="76" w:firstLine="498"/>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1、评估对象。经教育行政主管部门批准招生，</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当年有首届毕业生的本科专业和</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
          <w:sz w:val="24"/>
          <w:szCs w:val="24"/>
        </w:rPr>
        <w:t>拟新增学士学位授予权的学科专业为新设本科专业办学水平评估对象。</w:t>
      </w:r>
    </w:p>
    <w:p>
      <w:pPr>
        <w:spacing w:before="214"/>
        <w:ind w:right="75" w:firstLine="483"/>
        <w:rPr>
          <w:rFonts w:ascii="方正书宋简体" w:hAnsi="方正书宋简体" w:eastAsia="方正书宋简体" w:cs="方正书宋简体"/>
          <w:sz w:val="24"/>
          <w:szCs w:val="24"/>
        </w:rPr>
      </w:pPr>
      <w:r>
        <w:rPr>
          <w:rFonts w:ascii="方正书宋简体" w:hAnsi="方正书宋简体" w:eastAsia="方正书宋简体" w:cs="方正书宋简体"/>
          <w:spacing w:val="-6"/>
          <w:sz w:val="24"/>
          <w:szCs w:val="24"/>
        </w:rPr>
        <w:t>2、评估时间。每年</w:t>
      </w:r>
      <w:r>
        <w:rPr>
          <w:rFonts w:ascii="方正书宋简体" w:hAnsi="方正书宋简体" w:eastAsia="方正书宋简体" w:cs="方正书宋简体"/>
          <w:spacing w:val="20"/>
          <w:sz w:val="24"/>
          <w:szCs w:val="24"/>
        </w:rPr>
        <w:t xml:space="preserve"> </w:t>
      </w:r>
      <w:r>
        <w:rPr>
          <w:rFonts w:ascii="方正书宋简体" w:hAnsi="方正书宋简体" w:eastAsia="方正书宋简体" w:cs="方正书宋简体"/>
          <w:spacing w:val="-6"/>
          <w:sz w:val="24"/>
          <w:szCs w:val="24"/>
        </w:rPr>
        <w:t>3-4</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6"/>
          <w:sz w:val="24"/>
          <w:szCs w:val="24"/>
        </w:rPr>
        <w:t>月，</w:t>
      </w:r>
      <w:r>
        <w:rPr>
          <w:rFonts w:ascii="方正书宋简体" w:hAnsi="方正书宋简体" w:eastAsia="方正书宋简体" w:cs="方正书宋简体"/>
          <w:spacing w:val="13"/>
          <w:sz w:val="24"/>
          <w:szCs w:val="24"/>
        </w:rPr>
        <w:t xml:space="preserve">  </w:t>
      </w:r>
      <w:r>
        <w:rPr>
          <w:rFonts w:ascii="方正书宋简体" w:hAnsi="方正书宋简体" w:eastAsia="方正书宋简体" w:cs="方正书宋简体"/>
          <w:spacing w:val="-6"/>
          <w:sz w:val="24"/>
          <w:szCs w:val="24"/>
        </w:rPr>
        <w:t>具体时间以当年教务处组织新设本科专业办学水平</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4"/>
          <w:sz w:val="24"/>
          <w:szCs w:val="24"/>
        </w:rPr>
        <w:t>评估的通知为准。</w:t>
      </w:r>
    </w:p>
    <w:p>
      <w:pPr>
        <w:spacing w:before="206" w:line="180" w:lineRule="auto"/>
        <w:ind w:firstLine="489"/>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五、评估依据</w:t>
      </w:r>
    </w:p>
    <w:p>
      <w:pPr>
        <w:spacing w:before="153" w:line="310" w:lineRule="auto"/>
        <w:ind w:right="76" w:firstLine="501"/>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sz w:val="24"/>
          <w:szCs w:val="24"/>
        </w:rPr>
        <w:t>以《吉首大学新设本科专业办学水平评估和新增学士学位授权学科专业评估方</w:t>
      </w:r>
      <w:r>
        <w:rPr>
          <w:rFonts w:ascii="方正书宋简体" w:hAnsi="方正书宋简体" w:eastAsia="方正书宋简体" w:cs="方正书宋简体"/>
          <w:spacing w:val="29"/>
          <w:sz w:val="24"/>
          <w:szCs w:val="24"/>
        </w:rPr>
        <w:t xml:space="preserve"> </w:t>
      </w:r>
      <w:r>
        <w:rPr>
          <w:rFonts w:ascii="方正书宋简体" w:hAnsi="方正书宋简体" w:eastAsia="方正书宋简体" w:cs="方正书宋简体"/>
          <w:spacing w:val="-6"/>
          <w:sz w:val="24"/>
          <w:szCs w:val="24"/>
        </w:rPr>
        <w:t>案（2012</w:t>
      </w:r>
      <w:r>
        <w:rPr>
          <w:rFonts w:ascii="方正书宋简体" w:hAnsi="方正书宋简体" w:eastAsia="方正书宋简体" w:cs="方正书宋简体"/>
          <w:spacing w:val="25"/>
          <w:w w:val="101"/>
          <w:sz w:val="24"/>
          <w:szCs w:val="24"/>
        </w:rPr>
        <w:t xml:space="preserve"> </w:t>
      </w:r>
      <w:r>
        <w:rPr>
          <w:rFonts w:ascii="方正书宋简体" w:hAnsi="方正书宋简体" w:eastAsia="方正书宋简体" w:cs="方正书宋简体"/>
          <w:spacing w:val="-6"/>
          <w:sz w:val="24"/>
          <w:szCs w:val="24"/>
        </w:rPr>
        <w:t>年修订版）》中的指标体系与相关质量标准为依据。新设本科专业办学水平</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评估和新增学士学位授权学科、专业评估采用同一评估方案。</w:t>
      </w:r>
    </w:p>
    <w:p>
      <w:pPr>
        <w:spacing w:before="9" w:line="199" w:lineRule="auto"/>
        <w:ind w:firstLine="49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六、评估程序</w:t>
      </w:r>
    </w:p>
    <w:p>
      <w:pPr>
        <w:spacing w:before="117" w:line="180" w:lineRule="auto"/>
        <w:ind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3"/>
          <w:sz w:val="24"/>
          <w:szCs w:val="24"/>
        </w:rPr>
        <w:t>新设本科专业办学水平评估工作遵循以下程序：</w:t>
      </w:r>
    </w:p>
    <w:p>
      <w:pPr>
        <w:spacing w:before="196" w:line="310" w:lineRule="auto"/>
        <w:ind w:right="76" w:firstLine="502"/>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1、学院自评。各学院成立新设本科专业办学水平评估工作小组，</w:t>
      </w:r>
      <w:r>
        <w:rPr>
          <w:rFonts w:ascii="方正书宋简体" w:hAnsi="方正书宋简体" w:eastAsia="方正书宋简体" w:cs="方正书宋简体"/>
          <w:spacing w:val="35"/>
          <w:sz w:val="24"/>
          <w:szCs w:val="24"/>
        </w:rPr>
        <w:t xml:space="preserve">  </w:t>
      </w:r>
      <w:r>
        <w:rPr>
          <w:rFonts w:ascii="方正书宋简体" w:hAnsi="方正书宋简体" w:eastAsia="方正书宋简体" w:cs="方正书宋简体"/>
          <w:spacing w:val="-7"/>
          <w:sz w:val="24"/>
          <w:szCs w:val="24"/>
        </w:rPr>
        <w:t>对照评估指标</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1"/>
          <w:sz w:val="24"/>
          <w:szCs w:val="24"/>
        </w:rPr>
        <w:t>体系与等级标准开展自评，撰写自评报告并准备相关材料。自评报告于当年</w:t>
      </w:r>
      <w:r>
        <w:rPr>
          <w:rFonts w:ascii="方正书宋简体" w:hAnsi="方正书宋简体" w:eastAsia="方正书宋简体" w:cs="方正书宋简体"/>
          <w:spacing w:val="70"/>
          <w:sz w:val="24"/>
          <w:szCs w:val="24"/>
        </w:rPr>
        <w:t xml:space="preserve"> </w:t>
      </w:r>
      <w:r>
        <w:rPr>
          <w:rFonts w:ascii="方正书宋简体" w:hAnsi="方正书宋简体" w:eastAsia="方正书宋简体" w:cs="方正书宋简体"/>
          <w:spacing w:val="-1"/>
          <w:sz w:val="24"/>
          <w:szCs w:val="24"/>
        </w:rPr>
        <w:t>3</w:t>
      </w:r>
      <w:r>
        <w:rPr>
          <w:rFonts w:ascii="方正书宋简体" w:hAnsi="方正书宋简体" w:eastAsia="方正书宋简体" w:cs="方正书宋简体"/>
          <w:spacing w:val="54"/>
          <w:w w:val="101"/>
          <w:sz w:val="24"/>
          <w:szCs w:val="24"/>
        </w:rPr>
        <w:t xml:space="preserve"> </w:t>
      </w:r>
      <w:r>
        <w:rPr>
          <w:rFonts w:ascii="方正书宋简体" w:hAnsi="方正书宋简体" w:eastAsia="方正书宋简体" w:cs="方正书宋简体"/>
          <w:spacing w:val="-1"/>
          <w:sz w:val="24"/>
          <w:szCs w:val="24"/>
        </w:rPr>
        <w:t>月中</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2"/>
          <w:sz w:val="24"/>
          <w:szCs w:val="24"/>
        </w:rPr>
        <w:t>旬完成。本科专业和新增学士学位授权专业自评报告各一式五份。</w:t>
      </w:r>
    </w:p>
    <w:p>
      <w:pPr>
        <w:spacing w:before="19" w:line="315" w:lineRule="auto"/>
        <w:ind w:left="3" w:firstLine="480"/>
        <w:rPr>
          <w:rFonts w:ascii="方正书宋简体" w:hAnsi="方正书宋简体" w:eastAsia="方正书宋简体" w:cs="方正书宋简体"/>
          <w:sz w:val="24"/>
          <w:szCs w:val="24"/>
        </w:rPr>
      </w:pPr>
      <w:r>
        <w:rPr>
          <w:rFonts w:ascii="方正书宋简体" w:hAnsi="方正书宋简体" w:eastAsia="方正书宋简体" w:cs="方正书宋简体"/>
          <w:spacing w:val="-7"/>
          <w:sz w:val="24"/>
          <w:szCs w:val="24"/>
        </w:rPr>
        <w:t>2、教务处初评。教务处根据学科门类分别组建评估专家小组，</w:t>
      </w:r>
      <w:r>
        <w:rPr>
          <w:rFonts w:ascii="方正书宋简体" w:hAnsi="方正书宋简体" w:eastAsia="方正书宋简体" w:cs="方正书宋简体"/>
          <w:spacing w:val="10"/>
          <w:sz w:val="24"/>
          <w:szCs w:val="24"/>
        </w:rPr>
        <w:t xml:space="preserve">   </w:t>
      </w:r>
      <w:r>
        <w:rPr>
          <w:rFonts w:ascii="方正书宋简体" w:hAnsi="方正书宋简体" w:eastAsia="方正书宋简体" w:cs="方正书宋简体"/>
          <w:spacing w:val="-7"/>
          <w:sz w:val="24"/>
          <w:szCs w:val="24"/>
        </w:rPr>
        <w:t>由各专家组深入</w:t>
      </w:r>
      <w:r>
        <w:rPr>
          <w:rFonts w:ascii="方正书宋简体" w:hAnsi="方正书宋简体" w:eastAsia="方正书宋简体" w:cs="方正书宋简体"/>
          <w:w w:val="102"/>
          <w:sz w:val="24"/>
          <w:szCs w:val="24"/>
        </w:rPr>
        <w:t xml:space="preserve">  </w:t>
      </w:r>
      <w:r>
        <w:rPr>
          <w:rFonts w:ascii="方正书宋简体" w:hAnsi="方正书宋简体" w:eastAsia="方正书宋简体" w:cs="方正书宋简体"/>
          <w:spacing w:val="2"/>
          <w:sz w:val="24"/>
          <w:szCs w:val="24"/>
        </w:rPr>
        <w:t>学院对新设本科专业进行初期评估，指导各学院对照评估指标体系与等级标准总结</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sz w:val="24"/>
          <w:szCs w:val="24"/>
        </w:rPr>
        <w:t>经验，</w:t>
      </w:r>
      <w:r>
        <w:rPr>
          <w:rFonts w:ascii="方正书宋简体" w:hAnsi="方正书宋简体" w:eastAsia="方正书宋简体" w:cs="方正书宋简体"/>
          <w:spacing w:val="23"/>
          <w:w w:val="101"/>
          <w:sz w:val="24"/>
          <w:szCs w:val="24"/>
        </w:rPr>
        <w:t xml:space="preserve">  </w:t>
      </w:r>
      <w:r>
        <w:rPr>
          <w:rFonts w:ascii="方正书宋简体" w:hAnsi="方正书宋简体" w:eastAsia="方正书宋简体" w:cs="方正书宋简体"/>
          <w:spacing w:val="-11"/>
          <w:sz w:val="24"/>
          <w:szCs w:val="24"/>
        </w:rPr>
        <w:t>查找问题，</w:t>
      </w:r>
      <w:r>
        <w:rPr>
          <w:rFonts w:ascii="方正书宋简体" w:hAnsi="方正书宋简体" w:eastAsia="方正书宋简体" w:cs="方正书宋简体"/>
          <w:spacing w:val="21"/>
          <w:w w:val="101"/>
          <w:sz w:val="24"/>
          <w:szCs w:val="24"/>
        </w:rPr>
        <w:t xml:space="preserve">  </w:t>
      </w:r>
      <w:r>
        <w:rPr>
          <w:rFonts w:ascii="方正书宋简体" w:hAnsi="方正书宋简体" w:eastAsia="方正书宋简体" w:cs="方正书宋简体"/>
          <w:spacing w:val="-11"/>
          <w:sz w:val="24"/>
          <w:szCs w:val="24"/>
        </w:rPr>
        <w:t>对于“基本合格”和“不合格”的新设专业研究、制订整改措施，</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3"/>
          <w:sz w:val="24"/>
          <w:szCs w:val="24"/>
        </w:rPr>
        <w:t>指导学院有针对性地进行整改。</w:t>
      </w:r>
    </w:p>
    <w:p>
      <w:pPr>
        <w:spacing w:before="4" w:line="327" w:lineRule="auto"/>
        <w:ind w:left="1" w:right="75" w:firstLine="485"/>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3、学校终评。学校组织专家组进行现场考察评估。各专家组深入学院采取听取</w:t>
      </w:r>
      <w:r>
        <w:rPr>
          <w:rFonts w:ascii="方正书宋简体" w:hAnsi="方正书宋简体" w:eastAsia="方正书宋简体" w:cs="方正书宋简体"/>
          <w:spacing w:val="30"/>
          <w:sz w:val="24"/>
          <w:szCs w:val="24"/>
        </w:rPr>
        <w:t xml:space="preserve"> </w:t>
      </w:r>
      <w:r>
        <w:rPr>
          <w:rFonts w:ascii="方正书宋简体" w:hAnsi="方正书宋简体" w:eastAsia="方正书宋简体" w:cs="方正书宋简体"/>
          <w:spacing w:val="2"/>
          <w:sz w:val="24"/>
          <w:szCs w:val="24"/>
        </w:rPr>
        <w:t>专业负责人对办学基本情况的汇报、查看教学文档材料和支撑材料，召开师生座谈</w:t>
      </w:r>
    </w:p>
    <w:p>
      <w:pPr>
        <w:spacing w:before="24" w:line="180" w:lineRule="auto"/>
        <w:ind w:firstLine="4212"/>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352</w:t>
      </w:r>
    </w:p>
    <w:p>
      <w:pPr>
        <w:sectPr>
          <w:footerReference r:id="rId356" w:type="default"/>
          <w:pgSz w:w="11905" w:h="16840"/>
          <w:pgMar w:top="1431" w:right="1510" w:bottom="400" w:left="1590" w:header="0" w:footer="0" w:gutter="0"/>
          <w:cols w:space="720" w:num="1"/>
        </w:sectPr>
      </w:pPr>
    </w:p>
    <w:p>
      <w:pPr>
        <w:spacing w:before="425"/>
        <w:ind w:left="123" w:right="78" w:hanging="1"/>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会，随堂听课、考察教学条件、召开专家组评议会议等形式对学院新设本科专业进</w:t>
      </w:r>
      <w:r>
        <w:rPr>
          <w:rFonts w:ascii="方正书宋简体" w:hAnsi="方正书宋简体" w:eastAsia="方正书宋简体" w:cs="方正书宋简体"/>
          <w:spacing w:val="17"/>
          <w:sz w:val="24"/>
          <w:szCs w:val="24"/>
        </w:rPr>
        <w:t xml:space="preserve"> </w:t>
      </w:r>
      <w:r>
        <w:rPr>
          <w:rFonts w:ascii="方正书宋简体" w:hAnsi="方正书宋简体" w:eastAsia="方正书宋简体" w:cs="方正书宋简体"/>
          <w:spacing w:val="-2"/>
          <w:sz w:val="24"/>
          <w:szCs w:val="24"/>
        </w:rPr>
        <w:t>行终期评估，经充分评议形成评估结论。</w:t>
      </w:r>
    </w:p>
    <w:p>
      <w:pPr>
        <w:spacing w:before="204" w:line="180" w:lineRule="auto"/>
        <w:ind w:firstLine="61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七、评估结论的处理</w:t>
      </w:r>
    </w:p>
    <w:p>
      <w:pPr>
        <w:spacing w:before="151" w:line="284" w:lineRule="auto"/>
        <w:ind w:firstLine="603"/>
        <w:rPr>
          <w:rFonts w:ascii="方正书宋简体" w:hAnsi="方正书宋简体" w:eastAsia="方正书宋简体" w:cs="方正书宋简体"/>
          <w:sz w:val="24"/>
          <w:szCs w:val="24"/>
        </w:rPr>
      </w:pPr>
      <w:r>
        <w:rPr>
          <w:rFonts w:ascii="方正书宋简体" w:hAnsi="方正书宋简体" w:eastAsia="方正书宋简体" w:cs="方正书宋简体"/>
          <w:spacing w:val="-8"/>
          <w:sz w:val="24"/>
          <w:szCs w:val="24"/>
        </w:rPr>
        <w:t>新设本科专业评估结论分“合格”、</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8"/>
          <w:sz w:val="24"/>
          <w:szCs w:val="24"/>
        </w:rPr>
        <w:t>“基本合格”与“不合格”三种。新设本科</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5"/>
          <w:sz w:val="24"/>
          <w:szCs w:val="24"/>
        </w:rPr>
        <w:t>专业经学校专家组终期评估“合格”的，学校将其自评报告一份交湖南省人民政府</w:t>
      </w:r>
      <w:r>
        <w:rPr>
          <w:rFonts w:ascii="方正书宋简体" w:hAnsi="方正书宋简体" w:eastAsia="方正书宋简体" w:cs="方正书宋简体"/>
          <w:spacing w:val="15"/>
          <w:w w:val="103"/>
          <w:sz w:val="24"/>
          <w:szCs w:val="24"/>
        </w:rPr>
        <w:t xml:space="preserve">  </w:t>
      </w:r>
      <w:r>
        <w:rPr>
          <w:rFonts w:ascii="方正书宋简体" w:hAnsi="方正书宋简体" w:eastAsia="方正书宋简体" w:cs="方正书宋简体"/>
          <w:spacing w:val="-7"/>
          <w:sz w:val="24"/>
          <w:szCs w:val="24"/>
        </w:rPr>
        <w:t>学位委员会办公室，</w:t>
      </w:r>
      <w:r>
        <w:rPr>
          <w:rFonts w:ascii="方正书宋简体" w:hAnsi="方正书宋简体" w:eastAsia="方正书宋简体" w:cs="方正书宋简体"/>
          <w:spacing w:val="18"/>
          <w:w w:val="101"/>
          <w:sz w:val="24"/>
          <w:szCs w:val="24"/>
        </w:rPr>
        <w:t xml:space="preserve">  </w:t>
      </w:r>
      <w:r>
        <w:rPr>
          <w:rFonts w:ascii="方正书宋简体" w:hAnsi="方正书宋简体" w:eastAsia="方正书宋简体" w:cs="方正书宋简体"/>
          <w:spacing w:val="-7"/>
          <w:sz w:val="24"/>
          <w:szCs w:val="24"/>
        </w:rPr>
        <w:t>一份交省教育厅高等教育处参加省级评估，</w:t>
      </w:r>
      <w:r>
        <w:rPr>
          <w:rFonts w:ascii="方正书宋简体" w:hAnsi="方正书宋简体" w:eastAsia="方正书宋简体" w:cs="方正书宋简体"/>
          <w:spacing w:val="17"/>
          <w:w w:val="101"/>
          <w:sz w:val="24"/>
          <w:szCs w:val="24"/>
        </w:rPr>
        <w:t xml:space="preserve">  </w:t>
      </w:r>
      <w:r>
        <w:rPr>
          <w:rFonts w:ascii="方正书宋简体" w:hAnsi="方正书宋简体" w:eastAsia="方正书宋简体" w:cs="方正书宋简体"/>
          <w:spacing w:val="-7"/>
          <w:sz w:val="24"/>
          <w:szCs w:val="24"/>
        </w:rPr>
        <w:t>一份由教务处存档；</w:t>
      </w:r>
      <w:r>
        <w:rPr>
          <w:rFonts w:ascii="方正书宋简体" w:hAnsi="方正书宋简体" w:eastAsia="方正书宋简体" w:cs="方正书宋简体"/>
          <w:w w:val="101"/>
          <w:sz w:val="24"/>
          <w:szCs w:val="24"/>
        </w:rPr>
        <w:t xml:space="preserve"> </w:t>
      </w:r>
      <w:r>
        <w:rPr>
          <w:rFonts w:ascii="方正书宋简体" w:hAnsi="方正书宋简体" w:eastAsia="方正书宋简体" w:cs="方正书宋简体"/>
          <w:spacing w:val="-1"/>
          <w:sz w:val="24"/>
          <w:szCs w:val="24"/>
        </w:rPr>
        <w:t>“基本合格”的限期整改；评估“不合格”的取消该专业设置并停止招生。</w:t>
      </w:r>
    </w:p>
    <w:p>
      <w:pPr>
        <w:spacing w:before="166" w:line="180" w:lineRule="auto"/>
        <w:ind w:firstLine="608"/>
        <w:rPr>
          <w:rFonts w:ascii="Microsoft JhengHei" w:hAnsi="Microsoft JhengHei" w:eastAsia="Microsoft JhengHei" w:cs="Microsoft JhengHei"/>
          <w:sz w:val="24"/>
          <w:szCs w:val="24"/>
        </w:rPr>
      </w:pPr>
      <w:r>
        <w:rPr>
          <w:rFonts w:ascii="Microsoft JhengHei" w:hAnsi="Microsoft JhengHei" w:eastAsia="Microsoft JhengHei" w:cs="Microsoft JhengHei"/>
          <w:spacing w:val="-1"/>
          <w:sz w:val="24"/>
          <w:szCs w:val="24"/>
        </w:rPr>
        <w:t>八、组织实施与解释</w:t>
      </w:r>
    </w:p>
    <w:p>
      <w:pPr>
        <w:spacing w:before="153" w:line="314" w:lineRule="auto"/>
        <w:ind w:left="134" w:right="81" w:firstLine="470"/>
        <w:rPr>
          <w:rFonts w:ascii="方正书宋简体" w:hAnsi="方正书宋简体" w:eastAsia="方正书宋简体" w:cs="方正书宋简体"/>
          <w:sz w:val="24"/>
          <w:szCs w:val="24"/>
        </w:rPr>
      </w:pPr>
      <w:r>
        <w:rPr>
          <w:rFonts w:ascii="方正书宋简体" w:hAnsi="方正书宋简体" w:eastAsia="方正书宋简体" w:cs="方正书宋简体"/>
          <w:spacing w:val="2"/>
          <w:sz w:val="24"/>
          <w:szCs w:val="24"/>
        </w:rPr>
        <w:t>本实施办法自颁布之日起执行，由教务处、教学质量监控与评估中心组织实施</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6"/>
          <w:sz w:val="24"/>
          <w:szCs w:val="24"/>
        </w:rPr>
        <w:t>和负责解释。</w:t>
      </w: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7"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line="248" w:lineRule="auto"/>
        <w:rPr>
          <w:rFonts w:ascii="Malgun Gothic"/>
          <w:sz w:val="21"/>
        </w:rPr>
      </w:pPr>
    </w:p>
    <w:p>
      <w:pPr>
        <w:spacing w:before="61" w:line="180" w:lineRule="auto"/>
        <w:ind w:firstLine="43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353</w:t>
      </w:r>
    </w:p>
    <w:p>
      <w:pPr>
        <w:sectPr>
          <w:footerReference r:id="rId357" w:type="default"/>
          <w:pgSz w:w="11905" w:h="16840"/>
          <w:pgMar w:top="1431" w:right="1507" w:bottom="400" w:left="1466" w:header="0" w:footer="0" w:gutter="0"/>
          <w:cols w:space="720" w:num="1"/>
        </w:sectPr>
      </w:pPr>
    </w:p>
    <w:p>
      <w:pPr>
        <w:spacing w:before="429" w:line="180" w:lineRule="auto"/>
        <w:ind w:firstLine="149"/>
        <w:rPr>
          <w:rFonts w:ascii="方正书宋简体" w:hAnsi="方正书宋简体" w:eastAsia="方正书宋简体" w:cs="方正书宋简体"/>
          <w:sz w:val="24"/>
          <w:szCs w:val="24"/>
        </w:rPr>
      </w:pPr>
      <w:r>
        <w:rPr>
          <w:rFonts w:ascii="方正书宋简体" w:hAnsi="方正书宋简体" w:eastAsia="方正书宋简体" w:cs="方正书宋简体"/>
          <w:spacing w:val="-15"/>
          <w:sz w:val="24"/>
          <w:szCs w:val="24"/>
        </w:rPr>
        <w:t>附件：</w:t>
      </w:r>
    </w:p>
    <w:p>
      <w:pPr>
        <w:spacing w:before="112" w:line="180" w:lineRule="auto"/>
        <w:ind w:firstLine="2904"/>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吉首大学新设本科专业</w:t>
      </w:r>
    </w:p>
    <w:p>
      <w:pPr>
        <w:spacing w:before="36" w:line="195" w:lineRule="auto"/>
        <w:ind w:left="2548" w:right="1451" w:hanging="1079"/>
        <w:rPr>
          <w:rFonts w:ascii="Microsoft JhengHei" w:hAnsi="Microsoft JhengHei" w:eastAsia="Microsoft JhengHei" w:cs="Microsoft JhengHei"/>
          <w:sz w:val="32"/>
          <w:szCs w:val="32"/>
        </w:rPr>
      </w:pPr>
      <w:r>
        <w:rPr>
          <w:rFonts w:ascii="Microsoft JhengHei" w:hAnsi="Microsoft JhengHei" w:eastAsia="Microsoft JhengHei" w:cs="Microsoft JhengHei"/>
          <w:spacing w:val="-1"/>
          <w:sz w:val="32"/>
          <w:szCs w:val="32"/>
        </w:rPr>
        <w:t>办学水平评估和新增学士学位授权学科专业</w:t>
      </w:r>
      <w:r>
        <w:rPr>
          <w:rFonts w:ascii="Microsoft JhengHei" w:hAnsi="Microsoft JhengHei" w:eastAsia="Microsoft JhengHei" w:cs="Microsoft JhengHei"/>
          <w:spacing w:val="6"/>
          <w:sz w:val="32"/>
          <w:szCs w:val="32"/>
        </w:rPr>
        <w:t xml:space="preserve"> </w:t>
      </w:r>
      <w:r>
        <w:rPr>
          <w:rFonts w:ascii="Microsoft JhengHei" w:hAnsi="Microsoft JhengHei" w:eastAsia="Microsoft JhengHei" w:cs="Microsoft JhengHei"/>
          <w:spacing w:val="-8"/>
          <w:sz w:val="32"/>
          <w:szCs w:val="32"/>
        </w:rPr>
        <w:t>评估方案（2012</w:t>
      </w:r>
      <w:r>
        <w:rPr>
          <w:rFonts w:ascii="Microsoft JhengHei" w:hAnsi="Microsoft JhengHei" w:eastAsia="Microsoft JhengHei" w:cs="Microsoft JhengHei"/>
          <w:spacing w:val="13"/>
          <w:sz w:val="32"/>
          <w:szCs w:val="32"/>
        </w:rPr>
        <w:t xml:space="preserve"> </w:t>
      </w:r>
      <w:r>
        <w:rPr>
          <w:rFonts w:ascii="Microsoft JhengHei" w:hAnsi="Microsoft JhengHei" w:eastAsia="Microsoft JhengHei" w:cs="Microsoft JhengHei"/>
          <w:spacing w:val="-8"/>
          <w:sz w:val="32"/>
          <w:szCs w:val="32"/>
        </w:rPr>
        <w:t>年修订版）</w:t>
      </w:r>
    </w:p>
    <w:p>
      <w:pPr>
        <w:spacing w:line="271" w:lineRule="auto"/>
        <w:rPr>
          <w:rFonts w:ascii="Malgun Gothic"/>
          <w:sz w:val="21"/>
        </w:rPr>
      </w:pPr>
    </w:p>
    <w:p>
      <w:pPr>
        <w:spacing w:before="104" w:line="177" w:lineRule="auto"/>
        <w:ind w:firstLine="62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一、评估指标体系</w:t>
      </w:r>
    </w:p>
    <w:tbl>
      <w:tblPr>
        <w:tblStyle w:val="4"/>
        <w:tblW w:w="897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70"/>
        <w:gridCol w:w="47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4270" w:type="dxa"/>
            <w:tcBorders>
              <w:top w:val="single" w:color="000000" w:sz="6" w:space="0"/>
              <w:left w:val="single" w:color="000000" w:sz="6" w:space="0"/>
            </w:tcBorders>
            <w:vAlign w:val="top"/>
          </w:tcPr>
          <w:p>
            <w:pPr>
              <w:spacing w:before="117" w:line="180" w:lineRule="auto"/>
              <w:ind w:firstLine="155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一</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级</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指</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标</w:t>
            </w:r>
          </w:p>
        </w:tc>
        <w:tc>
          <w:tcPr>
            <w:tcW w:w="4702" w:type="dxa"/>
            <w:tcBorders>
              <w:top w:val="single" w:color="000000" w:sz="6" w:space="0"/>
              <w:right w:val="single" w:color="000000" w:sz="6" w:space="0"/>
            </w:tcBorders>
            <w:vAlign w:val="top"/>
          </w:tcPr>
          <w:p>
            <w:pPr>
              <w:spacing w:before="117" w:line="180" w:lineRule="auto"/>
              <w:ind w:firstLine="177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二</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级</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指</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sz w:val="21"/>
                <w:szCs w:val="21"/>
                <w14:textOutline w14:w="2667" w14:cap="flat" w14:cmpd="sng">
                  <w14:solidFill>
                    <w14:srgbClr w14:val="000000"/>
                  </w14:solidFill>
                  <w14:prstDash w14:val="solid"/>
                  <w14:miter w14:val="1"/>
                </w14:textOutline>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4270" w:type="dxa"/>
            <w:vMerge w:val="restart"/>
            <w:tcBorders>
              <w:left w:val="single" w:color="000000" w:sz="6" w:space="0"/>
              <w:bottom w:val="nil"/>
            </w:tcBorders>
            <w:vAlign w:val="top"/>
          </w:tcPr>
          <w:p>
            <w:pPr>
              <w:spacing w:before="332" w:line="180" w:lineRule="auto"/>
              <w:ind w:firstLine="125"/>
              <w:rPr>
                <w:rFonts w:ascii="方正书宋简体" w:hAnsi="方正书宋简体" w:eastAsia="方正书宋简体" w:cs="方正书宋简体"/>
                <w:sz w:val="21"/>
                <w:szCs w:val="21"/>
              </w:rPr>
            </w:pPr>
            <w:r>
              <w:rPr>
                <w:rFonts w:ascii="方正书宋简体" w:hAnsi="方正书宋简体" w:eastAsia="方正书宋简体" w:cs="方正书宋简体"/>
                <w:spacing w:val="-10"/>
                <w:w w:val="97"/>
                <w:sz w:val="21"/>
                <w:szCs w:val="21"/>
              </w:rPr>
              <w:t>1．</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0"/>
                <w:w w:val="97"/>
                <w:sz w:val="21"/>
                <w:szCs w:val="21"/>
              </w:rPr>
              <w:t>定位</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0"/>
                <w:w w:val="97"/>
                <w:sz w:val="21"/>
                <w:szCs w:val="21"/>
              </w:rPr>
              <w:t>与规</w:t>
            </w:r>
            <w:r>
              <w:rPr>
                <w:rFonts w:ascii="方正书宋简体" w:hAnsi="方正书宋简体" w:eastAsia="方正书宋简体" w:cs="方正书宋简体"/>
                <w:spacing w:val="-6"/>
                <w:sz w:val="21"/>
                <w:szCs w:val="21"/>
              </w:rPr>
              <w:t xml:space="preserve"> </w:t>
            </w:r>
            <w:r>
              <w:rPr>
                <w:rFonts w:ascii="方正书宋简体" w:hAnsi="方正书宋简体" w:eastAsia="方正书宋简体" w:cs="方正书宋简体"/>
                <w:spacing w:val="-10"/>
                <w:w w:val="97"/>
                <w:sz w:val="21"/>
                <w:szCs w:val="21"/>
              </w:rPr>
              <w:t>划</w:t>
            </w:r>
          </w:p>
        </w:tc>
        <w:tc>
          <w:tcPr>
            <w:tcW w:w="4702" w:type="dxa"/>
            <w:tcBorders>
              <w:right w:val="single" w:color="000000" w:sz="6" w:space="0"/>
            </w:tcBorders>
            <w:vAlign w:val="top"/>
          </w:tcPr>
          <w:p>
            <w:pPr>
              <w:spacing w:before="104" w:line="180" w:lineRule="auto"/>
              <w:ind w:firstLine="126"/>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1.1</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3"/>
                <w:sz w:val="21"/>
                <w:szCs w:val="21"/>
              </w:rPr>
              <w:t>专业定位与规划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4270" w:type="dxa"/>
            <w:vMerge w:val="continue"/>
            <w:tcBorders>
              <w:top w:val="nil"/>
              <w:left w:val="single" w:color="000000" w:sz="6" w:space="0"/>
            </w:tcBorders>
            <w:vAlign w:val="top"/>
          </w:tcPr>
          <w:p>
            <w:pPr>
              <w:rPr>
                <w:rFonts w:ascii="Malgun Gothic"/>
                <w:sz w:val="21"/>
              </w:rPr>
            </w:pPr>
          </w:p>
        </w:tc>
        <w:tc>
          <w:tcPr>
            <w:tcW w:w="4702" w:type="dxa"/>
            <w:tcBorders>
              <w:right w:val="single" w:color="000000" w:sz="6" w:space="0"/>
            </w:tcBorders>
            <w:vAlign w:val="top"/>
          </w:tcPr>
          <w:p>
            <w:pPr>
              <w:spacing w:before="109" w:line="180" w:lineRule="auto"/>
              <w:ind w:firstLine="12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1.2</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4"/>
                <w:sz w:val="21"/>
                <w:szCs w:val="21"/>
              </w:rPr>
              <w:t>培养方案*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restart"/>
            <w:tcBorders>
              <w:left w:val="single" w:color="000000" w:sz="6" w:space="0"/>
              <w:bottom w:val="nil"/>
            </w:tcBorders>
            <w:vAlign w:val="top"/>
          </w:tcPr>
          <w:p>
            <w:pPr>
              <w:spacing w:line="241" w:lineRule="auto"/>
              <w:rPr>
                <w:rFonts w:ascii="Malgun Gothic"/>
                <w:sz w:val="21"/>
              </w:rPr>
            </w:pPr>
          </w:p>
          <w:p>
            <w:pPr>
              <w:spacing w:line="241" w:lineRule="auto"/>
              <w:rPr>
                <w:rFonts w:ascii="Malgun Gothic"/>
                <w:sz w:val="21"/>
              </w:rPr>
            </w:pPr>
          </w:p>
          <w:p>
            <w:pPr>
              <w:spacing w:before="75"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2．师资队伍</w:t>
            </w:r>
          </w:p>
        </w:tc>
        <w:tc>
          <w:tcPr>
            <w:tcW w:w="4702" w:type="dxa"/>
            <w:tcBorders>
              <w:right w:val="single" w:color="000000" w:sz="6" w:space="0"/>
            </w:tcBorders>
            <w:vAlign w:val="top"/>
          </w:tcPr>
          <w:p>
            <w:pPr>
              <w:spacing w:before="106"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整体结构*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10"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主讲教师*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15"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2.3</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师资培养与教学水平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4270" w:type="dxa"/>
            <w:vMerge w:val="continue"/>
            <w:tcBorders>
              <w:top w:val="nil"/>
              <w:left w:val="single" w:color="000000" w:sz="6" w:space="0"/>
            </w:tcBorders>
            <w:vAlign w:val="top"/>
          </w:tcPr>
          <w:p>
            <w:pPr>
              <w:rPr>
                <w:rFonts w:ascii="Malgun Gothic"/>
                <w:sz w:val="21"/>
              </w:rPr>
            </w:pPr>
          </w:p>
        </w:tc>
        <w:tc>
          <w:tcPr>
            <w:tcW w:w="4702" w:type="dxa"/>
            <w:tcBorders>
              <w:right w:val="single" w:color="000000" w:sz="6" w:space="0"/>
            </w:tcBorders>
            <w:vAlign w:val="top"/>
          </w:tcPr>
          <w:p>
            <w:pPr>
              <w:spacing w:before="120"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
                <w:sz w:val="21"/>
                <w:szCs w:val="21"/>
              </w:rPr>
              <w:t>学科水平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restart"/>
            <w:tcBorders>
              <w:left w:val="single" w:color="000000" w:sz="6" w:space="0"/>
              <w:bottom w:val="nil"/>
            </w:tcBorders>
            <w:vAlign w:val="top"/>
          </w:tcPr>
          <w:p>
            <w:pPr>
              <w:spacing w:line="242" w:lineRule="auto"/>
              <w:rPr>
                <w:rFonts w:ascii="Malgun Gothic"/>
                <w:sz w:val="21"/>
              </w:rPr>
            </w:pPr>
          </w:p>
          <w:p>
            <w:pPr>
              <w:spacing w:line="242" w:lineRule="auto"/>
              <w:rPr>
                <w:rFonts w:ascii="Malgun Gothic"/>
                <w:sz w:val="21"/>
              </w:rPr>
            </w:pPr>
          </w:p>
          <w:p>
            <w:pPr>
              <w:spacing w:before="75" w:line="180" w:lineRule="auto"/>
              <w:ind w:firstLine="11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3．教学条件</w:t>
            </w:r>
          </w:p>
        </w:tc>
        <w:tc>
          <w:tcPr>
            <w:tcW w:w="4702" w:type="dxa"/>
            <w:tcBorders>
              <w:right w:val="single" w:color="000000" w:sz="6" w:space="0"/>
            </w:tcBorders>
            <w:vAlign w:val="top"/>
          </w:tcPr>
          <w:p>
            <w:pPr>
              <w:spacing w:before="110" w:line="180"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实验室建设*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14" w:line="180"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3.2</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实习基地建设*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14" w:line="193"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2"/>
                <w:sz w:val="21"/>
                <w:szCs w:val="21"/>
              </w:rPr>
              <w:t>教材建设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4270" w:type="dxa"/>
            <w:vMerge w:val="continue"/>
            <w:tcBorders>
              <w:top w:val="nil"/>
              <w:left w:val="single" w:color="000000" w:sz="6" w:space="0"/>
            </w:tcBorders>
            <w:vAlign w:val="top"/>
          </w:tcPr>
          <w:p>
            <w:pPr>
              <w:rPr>
                <w:rFonts w:ascii="Malgun Gothic"/>
                <w:sz w:val="21"/>
              </w:rPr>
            </w:pPr>
          </w:p>
        </w:tc>
        <w:tc>
          <w:tcPr>
            <w:tcW w:w="4702" w:type="dxa"/>
            <w:tcBorders>
              <w:right w:val="single" w:color="000000" w:sz="6" w:space="0"/>
            </w:tcBorders>
            <w:vAlign w:val="top"/>
          </w:tcPr>
          <w:p>
            <w:pPr>
              <w:spacing w:before="120" w:line="180" w:lineRule="auto"/>
              <w:ind w:firstLine="11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3.4</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信息资源建设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restart"/>
            <w:tcBorders>
              <w:left w:val="single" w:color="000000" w:sz="6" w:space="0"/>
              <w:bottom w:val="nil"/>
            </w:tcBorders>
            <w:vAlign w:val="top"/>
          </w:tcPr>
          <w:p>
            <w:pPr>
              <w:spacing w:line="321" w:lineRule="auto"/>
              <w:rPr>
                <w:rFonts w:ascii="Malgun Gothic"/>
                <w:sz w:val="21"/>
              </w:rPr>
            </w:pPr>
          </w:p>
          <w:p>
            <w:pPr>
              <w:spacing w:line="322" w:lineRule="auto"/>
              <w:rPr>
                <w:rFonts w:ascii="Malgun Gothic"/>
                <w:sz w:val="21"/>
              </w:rPr>
            </w:pPr>
          </w:p>
          <w:p>
            <w:pPr>
              <w:spacing w:before="75" w:line="180" w:lineRule="auto"/>
              <w:ind w:firstLine="105"/>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4．教学运行与管理</w:t>
            </w:r>
          </w:p>
        </w:tc>
        <w:tc>
          <w:tcPr>
            <w:tcW w:w="4702" w:type="dxa"/>
            <w:tcBorders>
              <w:right w:val="single" w:color="000000" w:sz="6" w:space="0"/>
            </w:tcBorders>
            <w:vAlign w:val="top"/>
          </w:tcPr>
          <w:p>
            <w:pPr>
              <w:spacing w:before="117"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
                <w:sz w:val="21"/>
                <w:szCs w:val="21"/>
              </w:rPr>
              <w:t>教学研究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23"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理论教学*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25"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实践教学*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26"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4.4</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1"/>
                <w:sz w:val="21"/>
                <w:szCs w:val="21"/>
              </w:rPr>
              <w:t>教学管理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270" w:type="dxa"/>
            <w:vMerge w:val="continue"/>
            <w:tcBorders>
              <w:top w:val="nil"/>
              <w:left w:val="single" w:color="000000" w:sz="6" w:space="0"/>
            </w:tcBorders>
            <w:vAlign w:val="top"/>
          </w:tcPr>
          <w:p>
            <w:pPr>
              <w:rPr>
                <w:rFonts w:ascii="Malgun Gothic"/>
                <w:sz w:val="21"/>
              </w:rPr>
            </w:pPr>
          </w:p>
        </w:tc>
        <w:tc>
          <w:tcPr>
            <w:tcW w:w="4702" w:type="dxa"/>
            <w:tcBorders>
              <w:right w:val="single" w:color="000000" w:sz="6" w:space="0"/>
            </w:tcBorders>
            <w:vAlign w:val="top"/>
          </w:tcPr>
          <w:p>
            <w:pPr>
              <w:spacing w:before="130" w:line="180" w:lineRule="auto"/>
              <w:ind w:firstLine="10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4.5</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1"/>
                <w:sz w:val="21"/>
                <w:szCs w:val="21"/>
              </w:rPr>
              <w:t>质量监控*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restart"/>
            <w:tcBorders>
              <w:left w:val="single" w:color="000000" w:sz="6" w:space="0"/>
              <w:bottom w:val="nil"/>
            </w:tcBorders>
            <w:vAlign w:val="top"/>
          </w:tcPr>
          <w:p>
            <w:pPr>
              <w:spacing w:line="322" w:lineRule="auto"/>
              <w:rPr>
                <w:rFonts w:ascii="Malgun Gothic"/>
                <w:sz w:val="21"/>
              </w:rPr>
            </w:pPr>
          </w:p>
          <w:p>
            <w:pPr>
              <w:spacing w:line="323" w:lineRule="auto"/>
              <w:rPr>
                <w:rFonts w:ascii="Malgun Gothic"/>
                <w:sz w:val="21"/>
              </w:rPr>
            </w:pPr>
          </w:p>
          <w:p>
            <w:pPr>
              <w:spacing w:before="76" w:line="180" w:lineRule="auto"/>
              <w:ind w:firstLine="10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5．培养质量</w:t>
            </w:r>
          </w:p>
        </w:tc>
        <w:tc>
          <w:tcPr>
            <w:tcW w:w="4702" w:type="dxa"/>
            <w:tcBorders>
              <w:right w:val="single" w:color="000000" w:sz="6" w:space="0"/>
            </w:tcBorders>
            <w:vAlign w:val="top"/>
          </w:tcPr>
          <w:p>
            <w:pPr>
              <w:spacing w:before="121"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5.1</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
                <w:sz w:val="21"/>
                <w:szCs w:val="21"/>
              </w:rPr>
              <w:t>基本理论与基本技能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24"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5.2</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w w:val="99"/>
                <w:sz w:val="21"/>
                <w:szCs w:val="21"/>
              </w:rPr>
              <w:t>毕业论文（设计、综合训练）</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5"/>
                <w:w w:val="99"/>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25"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5.3</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
                <w:sz w:val="21"/>
                <w:szCs w:val="21"/>
              </w:rPr>
              <w:t>思想道德与身心素质*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4270" w:type="dxa"/>
            <w:vMerge w:val="continue"/>
            <w:tcBorders>
              <w:top w:val="nil"/>
              <w:left w:val="single" w:color="000000" w:sz="6" w:space="0"/>
              <w:bottom w:val="nil"/>
            </w:tcBorders>
            <w:vAlign w:val="top"/>
          </w:tcPr>
          <w:p>
            <w:pPr>
              <w:rPr>
                <w:rFonts w:ascii="Malgun Gothic"/>
                <w:sz w:val="21"/>
              </w:rPr>
            </w:pPr>
          </w:p>
        </w:tc>
        <w:tc>
          <w:tcPr>
            <w:tcW w:w="4702" w:type="dxa"/>
            <w:tcBorders>
              <w:right w:val="single" w:color="000000" w:sz="6" w:space="0"/>
            </w:tcBorders>
            <w:vAlign w:val="top"/>
          </w:tcPr>
          <w:p>
            <w:pPr>
              <w:spacing w:before="131"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5.4</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学生满意度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4270" w:type="dxa"/>
            <w:vMerge w:val="continue"/>
            <w:tcBorders>
              <w:top w:val="nil"/>
              <w:left w:val="single" w:color="000000" w:sz="6" w:space="0"/>
              <w:bottom w:val="single" w:color="000000" w:sz="6" w:space="0"/>
            </w:tcBorders>
            <w:vAlign w:val="top"/>
          </w:tcPr>
          <w:p>
            <w:pPr>
              <w:rPr>
                <w:rFonts w:ascii="Malgun Gothic"/>
                <w:sz w:val="21"/>
              </w:rPr>
            </w:pPr>
          </w:p>
        </w:tc>
        <w:tc>
          <w:tcPr>
            <w:tcW w:w="4702" w:type="dxa"/>
            <w:tcBorders>
              <w:bottom w:val="single" w:color="000000" w:sz="6" w:space="0"/>
              <w:right w:val="single" w:color="000000" w:sz="6" w:space="0"/>
            </w:tcBorders>
            <w:vAlign w:val="top"/>
          </w:tcPr>
          <w:p>
            <w:pPr>
              <w:spacing w:before="134" w:line="180" w:lineRule="auto"/>
              <w:ind w:firstLine="10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5.5</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2"/>
                <w:sz w:val="21"/>
                <w:szCs w:val="21"/>
              </w:rPr>
              <w:t>生源与就业</w:t>
            </w:r>
          </w:p>
        </w:tc>
      </w:tr>
    </w:tbl>
    <w:p>
      <w:pPr>
        <w:spacing w:line="357" w:lineRule="auto"/>
        <w:rPr>
          <w:rFonts w:ascii="Malgun Gothic"/>
          <w:sz w:val="21"/>
        </w:rPr>
      </w:pPr>
    </w:p>
    <w:p>
      <w:pPr>
        <w:spacing w:line="358" w:lineRule="auto"/>
        <w:rPr>
          <w:rFonts w:ascii="Malgun Gothic"/>
          <w:sz w:val="21"/>
        </w:rPr>
      </w:pPr>
    </w:p>
    <w:p>
      <w:pPr>
        <w:spacing w:before="60" w:line="180" w:lineRule="auto"/>
        <w:ind w:firstLine="4345"/>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354</w:t>
      </w:r>
    </w:p>
    <w:p>
      <w:pPr>
        <w:sectPr>
          <w:footerReference r:id="rId358" w:type="default"/>
          <w:pgSz w:w="11905" w:h="16840"/>
          <w:pgMar w:top="1431" w:right="1458" w:bottom="400" w:left="1458" w:header="0" w:footer="0" w:gutter="0"/>
          <w:cols w:space="720" w:num="1"/>
        </w:sectPr>
      </w:pPr>
    </w:p>
    <w:p>
      <w:pPr>
        <w:spacing w:before="447" w:line="180" w:lineRule="auto"/>
        <w:ind w:firstLine="681"/>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二、评估指标和等级标准</w:t>
      </w:r>
    </w:p>
    <w:tbl>
      <w:tblPr>
        <w:tblStyle w:val="4"/>
        <w:tblW w:w="908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330"/>
        <w:gridCol w:w="5151"/>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754" w:type="dxa"/>
            <w:tcBorders>
              <w:top w:val="single" w:color="000000" w:sz="6" w:space="0"/>
              <w:left w:val="single" w:color="000000" w:sz="6" w:space="0"/>
            </w:tcBorders>
            <w:vAlign w:val="top"/>
          </w:tcPr>
          <w:p>
            <w:pPr>
              <w:spacing w:before="74" w:line="334" w:lineRule="exact"/>
              <w:ind w:firstLine="1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14:textOutline w14:w="2667" w14:cap="flat" w14:cmpd="sng">
                  <w14:solidFill>
                    <w14:srgbClr w14:val="000000"/>
                  </w14:solidFill>
                  <w14:prstDash w14:val="solid"/>
                  <w14:miter w14:val="1"/>
                </w14:textOutline>
              </w:rPr>
              <w:t>一级</w:t>
            </w:r>
          </w:p>
          <w:p>
            <w:pPr>
              <w:spacing w:line="204" w:lineRule="auto"/>
              <w:ind w:firstLine="1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指标</w:t>
            </w:r>
          </w:p>
        </w:tc>
        <w:tc>
          <w:tcPr>
            <w:tcW w:w="1330" w:type="dxa"/>
            <w:tcBorders>
              <w:top w:val="single" w:color="000000" w:sz="6" w:space="0"/>
            </w:tcBorders>
            <w:vAlign w:val="top"/>
          </w:tcPr>
          <w:p>
            <w:pPr>
              <w:spacing w:before="239"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二级指标</w:t>
            </w:r>
          </w:p>
        </w:tc>
        <w:tc>
          <w:tcPr>
            <w:tcW w:w="5151" w:type="dxa"/>
            <w:tcBorders>
              <w:top w:val="single" w:color="000000" w:sz="6" w:space="0"/>
            </w:tcBorders>
            <w:vAlign w:val="top"/>
          </w:tcPr>
          <w:p>
            <w:pPr>
              <w:spacing w:before="237" w:line="180" w:lineRule="auto"/>
              <w:ind w:firstLine="167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评</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估</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等</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级</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标</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准</w:t>
            </w:r>
          </w:p>
        </w:tc>
        <w:tc>
          <w:tcPr>
            <w:tcW w:w="1854" w:type="dxa"/>
            <w:tcBorders>
              <w:top w:val="single" w:color="000000" w:sz="6" w:space="0"/>
              <w:right w:val="single" w:color="000000" w:sz="6" w:space="0"/>
            </w:tcBorders>
            <w:vAlign w:val="top"/>
          </w:tcPr>
          <w:p>
            <w:pPr>
              <w:spacing w:before="237"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54" w:type="dxa"/>
            <w:vMerge w:val="restart"/>
            <w:tcBorders>
              <w:left w:val="single" w:color="000000" w:sz="6" w:space="0"/>
              <w:bottom w:val="nil"/>
            </w:tcBorders>
            <w:vAlign w:val="top"/>
          </w:tcPr>
          <w:p>
            <w:pPr>
              <w:spacing w:line="317" w:lineRule="auto"/>
              <w:rPr>
                <w:rFonts w:ascii="Malgun Gothic"/>
                <w:sz w:val="21"/>
              </w:rPr>
            </w:pPr>
          </w:p>
          <w:p>
            <w:pPr>
              <w:spacing w:line="317" w:lineRule="auto"/>
              <w:rPr>
                <w:rFonts w:ascii="Malgun Gothic"/>
                <w:sz w:val="21"/>
              </w:rPr>
            </w:pPr>
          </w:p>
          <w:p>
            <w:pPr>
              <w:spacing w:before="74" w:line="307" w:lineRule="exact"/>
              <w:ind w:firstLine="31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6"/>
                <w:position w:val="10"/>
                <w:sz w:val="21"/>
                <w:szCs w:val="21"/>
              </w:rPr>
              <w:t>1.</w:t>
            </w:r>
          </w:p>
          <w:p>
            <w:pPr>
              <w:spacing w:line="204" w:lineRule="auto"/>
              <w:ind w:firstLine="26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定</w:t>
            </w:r>
          </w:p>
          <w:p>
            <w:pPr>
              <w:spacing w:before="81"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位</w:t>
            </w:r>
          </w:p>
          <w:p>
            <w:pPr>
              <w:spacing w:before="112"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14"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规</w:t>
            </w:r>
          </w:p>
          <w:p>
            <w:pPr>
              <w:spacing w:before="113"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划</w:t>
            </w:r>
          </w:p>
        </w:tc>
        <w:tc>
          <w:tcPr>
            <w:tcW w:w="1330" w:type="dxa"/>
            <w:vAlign w:val="top"/>
          </w:tcPr>
          <w:p>
            <w:pPr>
              <w:spacing w:before="238" w:line="264" w:lineRule="auto"/>
              <w:ind w:left="237" w:right="246" w:firstLine="309"/>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7"/>
                <w:sz w:val="21"/>
                <w:szCs w:val="21"/>
              </w:rPr>
              <w:t>1.1</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专业定位</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sz w:val="21"/>
                <w:szCs w:val="21"/>
              </w:rPr>
              <w:t>与</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sz w:val="21"/>
                <w:szCs w:val="21"/>
              </w:rPr>
              <w:t>规</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5"/>
                <w:sz w:val="21"/>
                <w:szCs w:val="21"/>
              </w:rPr>
              <w:t>划</w:t>
            </w:r>
          </w:p>
        </w:tc>
        <w:tc>
          <w:tcPr>
            <w:tcW w:w="5151" w:type="dxa"/>
            <w:vAlign w:val="top"/>
          </w:tcPr>
          <w:p>
            <w:pPr>
              <w:spacing w:before="59" w:line="221" w:lineRule="auto"/>
              <w:ind w:left="103" w:right="97"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6"/>
                <w:sz w:val="21"/>
                <w:szCs w:val="21"/>
              </w:rPr>
              <w:t>1.专业办学思想明确，</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5"/>
                <w:w w:val="96"/>
                <w:sz w:val="21"/>
                <w:szCs w:val="21"/>
              </w:rPr>
              <w:t>专业定位合理，</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5"/>
                <w:w w:val="96"/>
                <w:sz w:val="21"/>
                <w:szCs w:val="21"/>
              </w:rPr>
              <w:t>符合学校整体办</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学定位；</w:t>
            </w:r>
          </w:p>
          <w:p>
            <w:pPr>
              <w:spacing w:before="98" w:line="208" w:lineRule="auto"/>
              <w:ind w:left="102" w:right="31" w:firstLine="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2.有专业建设规划（计划</w:t>
            </w:r>
            <w:r>
              <w:rPr>
                <w:rFonts w:ascii="方正书宋简体" w:hAnsi="方正书宋简体" w:eastAsia="方正书宋简体" w:cs="方正书宋简体"/>
                <w:spacing w:val="-77"/>
                <w:sz w:val="21"/>
                <w:szCs w:val="21"/>
              </w:rPr>
              <w:t>），</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5"/>
                <w:w w:val="99"/>
                <w:sz w:val="21"/>
                <w:szCs w:val="21"/>
              </w:rPr>
              <w:t>建设目标明确、措施得力，</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建设经费有保障，取得了明显的阶段性建设成果。</w:t>
            </w:r>
          </w:p>
        </w:tc>
        <w:tc>
          <w:tcPr>
            <w:tcW w:w="1854" w:type="dxa"/>
            <w:vMerge w:val="restart"/>
            <w:tcBorders>
              <w:bottom w:val="nil"/>
              <w:right w:val="single" w:color="000000" w:sz="6" w:space="0"/>
            </w:tcBorders>
            <w:vAlign w:val="top"/>
          </w:tcPr>
          <w:p>
            <w:pPr>
              <w:spacing w:line="271" w:lineRule="auto"/>
              <w:rPr>
                <w:rFonts w:ascii="Malgun Gothic"/>
                <w:sz w:val="21"/>
              </w:rPr>
            </w:pPr>
          </w:p>
          <w:p>
            <w:pPr>
              <w:spacing w:line="272" w:lineRule="auto"/>
              <w:rPr>
                <w:rFonts w:ascii="Malgun Gothic"/>
                <w:sz w:val="21"/>
              </w:rPr>
            </w:pPr>
          </w:p>
          <w:p>
            <w:pPr>
              <w:spacing w:before="75" w:line="255" w:lineRule="auto"/>
              <w:ind w:left="108" w:right="103" w:firstLine="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106"/>
                <w:sz w:val="21"/>
                <w:szCs w:val="21"/>
              </w:rPr>
              <w:t>[1]各项指标的评</w:t>
            </w:r>
            <w:r>
              <w:rPr>
                <w:rFonts w:ascii="方正书宋简体" w:hAnsi="方正书宋简体" w:eastAsia="方正书宋简体" w:cs="方正书宋简体"/>
                <w:spacing w:val="7"/>
                <w:w w:val="101"/>
                <w:sz w:val="21"/>
                <w:szCs w:val="21"/>
              </w:rPr>
              <w:t xml:space="preserve"> </w:t>
            </w:r>
            <w:r>
              <w:rPr>
                <w:rFonts w:ascii="方正书宋简体" w:hAnsi="方正书宋简体" w:eastAsia="方正书宋简体" w:cs="方正书宋简体"/>
                <w:spacing w:val="11"/>
                <w:sz w:val="21"/>
                <w:szCs w:val="21"/>
              </w:rPr>
              <w:t>估</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1"/>
                <w:sz w:val="21"/>
                <w:szCs w:val="21"/>
              </w:rPr>
              <w:t>以被评</w:t>
            </w:r>
            <w:r>
              <w:rPr>
                <w:rFonts w:ascii="方正书宋简体" w:hAnsi="方正书宋简体" w:eastAsia="方正书宋简体" w:cs="方正书宋简体"/>
                <w:spacing w:val="-20"/>
                <w:sz w:val="21"/>
                <w:szCs w:val="21"/>
              </w:rPr>
              <w:t xml:space="preserve"> </w:t>
            </w:r>
            <w:r>
              <w:rPr>
                <w:rFonts w:ascii="方正书宋简体" w:hAnsi="方正书宋简体" w:eastAsia="方正书宋简体" w:cs="方正书宋简体"/>
                <w:spacing w:val="11"/>
                <w:sz w:val="21"/>
                <w:szCs w:val="21"/>
              </w:rPr>
              <w:t>专业开</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8"/>
                <w:sz w:val="21"/>
                <w:szCs w:val="21"/>
              </w:rPr>
              <w:t>办以来（近四年或</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7"/>
                <w:sz w:val="21"/>
                <w:szCs w:val="21"/>
              </w:rPr>
              <w:t>五年）的情况为依</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18"/>
                <w:sz w:val="21"/>
                <w:szCs w:val="21"/>
              </w:rPr>
              <w:t>据，</w:t>
            </w:r>
            <w:r>
              <w:rPr>
                <w:rFonts w:ascii="方正书宋简体" w:hAnsi="方正书宋简体" w:eastAsia="方正书宋简体" w:cs="方正书宋简体"/>
                <w:spacing w:val="41"/>
                <w:sz w:val="21"/>
                <w:szCs w:val="21"/>
              </w:rPr>
              <w:t xml:space="preserve"> </w:t>
            </w:r>
            <w:r>
              <w:rPr>
                <w:rFonts w:ascii="方正书宋简体" w:hAnsi="方正书宋简体" w:eastAsia="方正书宋简体" w:cs="方正书宋简体"/>
                <w:spacing w:val="-18"/>
                <w:sz w:val="21"/>
                <w:szCs w:val="21"/>
              </w:rPr>
              <w:t>评估时要求提</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sz w:val="21"/>
                <w:szCs w:val="21"/>
              </w:rPr>
              <w:t>供</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13"/>
                <w:sz w:val="21"/>
                <w:szCs w:val="21"/>
              </w:rPr>
              <w:t>开办以</w:t>
            </w:r>
            <w:r>
              <w:rPr>
                <w:rFonts w:ascii="方正书宋简体" w:hAnsi="方正书宋简体" w:eastAsia="方正书宋简体" w:cs="方正书宋简体"/>
                <w:spacing w:val="-23"/>
                <w:sz w:val="21"/>
                <w:szCs w:val="21"/>
              </w:rPr>
              <w:t xml:space="preserve"> </w:t>
            </w:r>
            <w:r>
              <w:rPr>
                <w:rFonts w:ascii="方正书宋简体" w:hAnsi="方正书宋简体" w:eastAsia="方正书宋简体" w:cs="方正书宋简体"/>
                <w:spacing w:val="13"/>
                <w:sz w:val="21"/>
                <w:szCs w:val="21"/>
              </w:rPr>
              <w:t>来相关</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sz w:val="21"/>
                <w:szCs w:val="21"/>
              </w:rPr>
              <w:t>的原始材料。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8" w:hRule="atLeast"/>
        </w:trPr>
        <w:tc>
          <w:tcPr>
            <w:tcW w:w="754" w:type="dxa"/>
            <w:vMerge w:val="continue"/>
            <w:tcBorders>
              <w:top w:val="nil"/>
              <w:left w:val="single" w:color="000000" w:sz="6" w:space="0"/>
            </w:tcBorders>
            <w:vAlign w:val="top"/>
          </w:tcPr>
          <w:p>
            <w:pPr>
              <w:rPr>
                <w:rFonts w:ascii="Malgun Gothic"/>
                <w:sz w:val="21"/>
              </w:rPr>
            </w:pPr>
          </w:p>
        </w:tc>
        <w:tc>
          <w:tcPr>
            <w:tcW w:w="1330" w:type="dxa"/>
            <w:vAlign w:val="top"/>
          </w:tcPr>
          <w:p>
            <w:pPr>
              <w:spacing w:line="322" w:lineRule="auto"/>
              <w:rPr>
                <w:rFonts w:ascii="Malgun Gothic"/>
                <w:sz w:val="21"/>
              </w:rPr>
            </w:pPr>
          </w:p>
          <w:p>
            <w:pPr>
              <w:spacing w:line="322" w:lineRule="auto"/>
              <w:rPr>
                <w:rFonts w:ascii="Malgun Gothic"/>
                <w:sz w:val="21"/>
              </w:rPr>
            </w:pPr>
          </w:p>
          <w:p>
            <w:pPr>
              <w:spacing w:before="76" w:line="180" w:lineRule="auto"/>
              <w:ind w:firstLine="546"/>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1.2</w:t>
            </w:r>
          </w:p>
          <w:p>
            <w:pPr>
              <w:spacing w:before="80"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培养方案*</w:t>
            </w:r>
          </w:p>
        </w:tc>
        <w:tc>
          <w:tcPr>
            <w:tcW w:w="5151" w:type="dxa"/>
            <w:vAlign w:val="top"/>
          </w:tcPr>
          <w:p>
            <w:pPr>
              <w:spacing w:before="67" w:line="248" w:lineRule="auto"/>
              <w:ind w:left="99" w:firstLine="2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sz w:val="21"/>
                <w:szCs w:val="21"/>
              </w:rPr>
              <w:t>1.人才培养目标基本符合国家和湖南经济建设与社会</w:t>
            </w:r>
            <w:r>
              <w:rPr>
                <w:rFonts w:ascii="方正书宋简体" w:hAnsi="方正书宋简体" w:eastAsia="方正书宋简体" w:cs="方正书宋简体"/>
                <w:spacing w:val="2"/>
                <w:w w:val="102"/>
                <w:sz w:val="21"/>
                <w:szCs w:val="21"/>
              </w:rPr>
              <w:t xml:space="preserve">   </w:t>
            </w:r>
            <w:r>
              <w:rPr>
                <w:rFonts w:ascii="方正书宋简体" w:hAnsi="方正书宋简体" w:eastAsia="方正书宋简体" w:cs="方正书宋简体"/>
                <w:spacing w:val="-3"/>
                <w:sz w:val="21"/>
                <w:szCs w:val="21"/>
              </w:rPr>
              <w:t>发展的需要，培养规格和课程体系符合专业培养目标，</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3"/>
                <w:sz w:val="21"/>
                <w:szCs w:val="21"/>
              </w:rPr>
              <w:t>符合教育部有关专业课程方案要求；</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9"/>
                <w:sz w:val="21"/>
                <w:szCs w:val="21"/>
              </w:rPr>
              <w:t>2.根据培养目标和学生的需求，</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5"/>
                <w:w w:val="99"/>
                <w:sz w:val="21"/>
                <w:szCs w:val="21"/>
              </w:rPr>
              <w:t>开设了足够数量的选修</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3"/>
                <w:sz w:val="21"/>
                <w:szCs w:val="21"/>
              </w:rPr>
              <w:t>课程；</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5"/>
                <w:sz w:val="21"/>
                <w:szCs w:val="21"/>
              </w:rPr>
              <w:t>3.实践教学环节的设置，人文社科类专业占总学分（学时）</w:t>
            </w:r>
            <w:r>
              <w:rPr>
                <w:rFonts w:ascii="方正书宋简体" w:hAnsi="方正书宋简体" w:eastAsia="方正书宋简体" w:cs="方正书宋简体"/>
                <w:spacing w:val="41"/>
                <w:sz w:val="21"/>
                <w:szCs w:val="21"/>
              </w:rPr>
              <w:t xml:space="preserve"> </w:t>
            </w:r>
            <w:r>
              <w:rPr>
                <w:rFonts w:ascii="方正书宋简体" w:hAnsi="方正书宋简体" w:eastAsia="方正书宋简体" w:cs="方正书宋简体"/>
                <w:spacing w:val="-13"/>
                <w:sz w:val="21"/>
                <w:szCs w:val="21"/>
              </w:rPr>
              <w:t>比例不低于</w:t>
            </w:r>
            <w:r>
              <w:rPr>
                <w:rFonts w:ascii="方正书宋简体" w:hAnsi="方正书宋简体" w:eastAsia="方正书宋简体" w:cs="方正书宋简体"/>
                <w:spacing w:val="67"/>
                <w:w w:val="101"/>
                <w:sz w:val="21"/>
                <w:szCs w:val="21"/>
              </w:rPr>
              <w:t xml:space="preserve"> </w:t>
            </w:r>
            <w:r>
              <w:rPr>
                <w:rFonts w:ascii="方正书宋简体" w:hAnsi="方正书宋简体" w:eastAsia="方正书宋简体" w:cs="方正书宋简体"/>
                <w:spacing w:val="-13"/>
                <w:sz w:val="21"/>
                <w:szCs w:val="21"/>
              </w:rPr>
              <w:t>20%，</w:t>
            </w:r>
            <w:r>
              <w:rPr>
                <w:rFonts w:ascii="方正书宋简体" w:hAnsi="方正书宋简体" w:eastAsia="方正书宋简体" w:cs="方正书宋简体"/>
                <w:spacing w:val="15"/>
                <w:w w:val="101"/>
                <w:sz w:val="21"/>
                <w:szCs w:val="21"/>
              </w:rPr>
              <w:t xml:space="preserve">  </w:t>
            </w:r>
            <w:r>
              <w:rPr>
                <w:rFonts w:ascii="方正书宋简体" w:hAnsi="方正书宋简体" w:eastAsia="方正书宋简体" w:cs="方正书宋简体"/>
                <w:spacing w:val="-13"/>
                <w:sz w:val="21"/>
                <w:szCs w:val="21"/>
              </w:rPr>
              <w:t>理工农医类专业占总学分（学时）比</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4"/>
                <w:sz w:val="21"/>
                <w:szCs w:val="21"/>
              </w:rPr>
              <w:t>例不低于</w:t>
            </w:r>
            <w:r>
              <w:rPr>
                <w:rFonts w:ascii="方正书宋简体" w:hAnsi="方正书宋简体" w:eastAsia="方正书宋简体" w:cs="方正书宋简体"/>
                <w:spacing w:val="-3"/>
                <w:sz w:val="21"/>
                <w:szCs w:val="21"/>
              </w:rPr>
              <w:t xml:space="preserve"> </w:t>
            </w:r>
            <w:r>
              <w:rPr>
                <w:rFonts w:ascii="方正书宋简体" w:hAnsi="方正书宋简体" w:eastAsia="方正书宋简体" w:cs="方正书宋简体"/>
                <w:spacing w:val="-14"/>
                <w:sz w:val="21"/>
                <w:szCs w:val="21"/>
              </w:rPr>
              <w:t>25%，</w:t>
            </w:r>
            <w:r>
              <w:rPr>
                <w:rFonts w:ascii="方正书宋简体" w:hAnsi="方正书宋简体" w:eastAsia="方正书宋简体" w:cs="方正书宋简体"/>
                <w:spacing w:val="16"/>
                <w:sz w:val="21"/>
                <w:szCs w:val="21"/>
              </w:rPr>
              <w:t xml:space="preserve">  </w:t>
            </w:r>
            <w:r>
              <w:rPr>
                <w:rFonts w:ascii="方正书宋简体" w:hAnsi="方正书宋简体" w:eastAsia="方正书宋简体" w:cs="方正书宋简体"/>
                <w:spacing w:val="-14"/>
                <w:sz w:val="21"/>
                <w:szCs w:val="21"/>
              </w:rPr>
              <w:t>师范类专业教育实习不少于</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14"/>
                <w:sz w:val="21"/>
                <w:szCs w:val="21"/>
              </w:rPr>
              <w:t>12</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14"/>
                <w:sz w:val="21"/>
                <w:szCs w:val="21"/>
              </w:rPr>
              <w:t>周。</w:t>
            </w:r>
          </w:p>
        </w:tc>
        <w:tc>
          <w:tcPr>
            <w:tcW w:w="1854"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5" w:hRule="atLeast"/>
        </w:trPr>
        <w:tc>
          <w:tcPr>
            <w:tcW w:w="754" w:type="dxa"/>
            <w:vMerge w:val="restart"/>
            <w:tcBorders>
              <w:left w:val="single" w:color="000000" w:sz="6" w:space="0"/>
              <w:bottom w:val="nil"/>
            </w:tcBorders>
            <w:vAlign w:val="top"/>
          </w:tcPr>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line="243" w:lineRule="auto"/>
              <w:rPr>
                <w:rFonts w:ascii="Malgun Gothic"/>
                <w:sz w:val="21"/>
              </w:rPr>
            </w:pPr>
          </w:p>
          <w:p>
            <w:pPr>
              <w:spacing w:before="75" w:line="307" w:lineRule="exact"/>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0"/>
                <w:sz w:val="21"/>
                <w:szCs w:val="21"/>
              </w:rPr>
              <w:t>2.</w:t>
            </w:r>
          </w:p>
          <w:p>
            <w:pPr>
              <w:spacing w:line="204"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师</w:t>
            </w:r>
          </w:p>
          <w:p>
            <w:pPr>
              <w:spacing w:before="81" w:line="180" w:lineRule="auto"/>
              <w:ind w:firstLine="25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资</w:t>
            </w:r>
          </w:p>
          <w:p>
            <w:pPr>
              <w:spacing w:before="118" w:line="180" w:lineRule="auto"/>
              <w:ind w:firstLine="282"/>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队</w:t>
            </w:r>
          </w:p>
          <w:p>
            <w:pPr>
              <w:spacing w:before="105" w:line="180" w:lineRule="auto"/>
              <w:ind w:firstLine="263"/>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伍</w:t>
            </w:r>
          </w:p>
        </w:tc>
        <w:tc>
          <w:tcPr>
            <w:tcW w:w="1330" w:type="dxa"/>
            <w:vAlign w:val="top"/>
          </w:tcPr>
          <w:p>
            <w:pPr>
              <w:spacing w:line="332" w:lineRule="auto"/>
              <w:rPr>
                <w:rFonts w:ascii="Malgun Gothic"/>
                <w:sz w:val="21"/>
              </w:rPr>
            </w:pPr>
          </w:p>
          <w:p>
            <w:pPr>
              <w:spacing w:before="75" w:line="266" w:lineRule="auto"/>
              <w:ind w:left="187" w:right="192" w:firstLine="34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2.1</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整体结构*</w:t>
            </w:r>
          </w:p>
        </w:tc>
        <w:tc>
          <w:tcPr>
            <w:tcW w:w="5151" w:type="dxa"/>
            <w:vAlign w:val="top"/>
          </w:tcPr>
          <w:p>
            <w:pPr>
              <w:spacing w:before="66" w:line="241" w:lineRule="auto"/>
              <w:ind w:left="102" w:right="30"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8"/>
                <w:sz w:val="21"/>
                <w:szCs w:val="21"/>
              </w:rPr>
              <w:t>1.师资队伍年龄、学历、专业技术职务等结构基本合理，</w:t>
            </w:r>
            <w:r>
              <w:rPr>
                <w:rFonts w:ascii="方正书宋简体" w:hAnsi="方正书宋简体" w:eastAsia="方正书宋简体" w:cs="方正书宋简体"/>
                <w:spacing w:val="27"/>
                <w:w w:val="101"/>
                <w:sz w:val="21"/>
                <w:szCs w:val="21"/>
              </w:rPr>
              <w:t xml:space="preserve"> </w:t>
            </w:r>
            <w:r>
              <w:rPr>
                <w:rFonts w:ascii="方正书宋简体" w:hAnsi="方正书宋简体" w:eastAsia="方正书宋简体" w:cs="方正书宋简体"/>
                <w:spacing w:val="-3"/>
                <w:sz w:val="21"/>
                <w:szCs w:val="21"/>
              </w:rPr>
              <w:t>教师数量基本满足教学需要；</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2.专任教师中具有硕士学位、博士学位的比例≥50%；</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2"/>
                <w:sz w:val="21"/>
                <w:szCs w:val="21"/>
              </w:rPr>
              <w:t>3.专业负责人具有本专业学科背景、博士学位或者副教</w:t>
            </w:r>
            <w:r>
              <w:rPr>
                <w:rFonts w:ascii="方正书宋简体" w:hAnsi="方正书宋简体" w:eastAsia="方正书宋简体" w:cs="方正书宋简体"/>
                <w:spacing w:val="1"/>
                <w:w w:val="103"/>
                <w:sz w:val="21"/>
                <w:szCs w:val="21"/>
              </w:rPr>
              <w:t xml:space="preserve">  </w:t>
            </w:r>
            <w:r>
              <w:rPr>
                <w:rFonts w:ascii="方正书宋简体" w:hAnsi="方正书宋简体" w:eastAsia="方正书宋简体" w:cs="方正书宋简体"/>
                <w:spacing w:val="-2"/>
                <w:sz w:val="21"/>
                <w:szCs w:val="21"/>
              </w:rPr>
              <w:t>授及以上职称，并主要从事本专业的教学工作。</w:t>
            </w:r>
          </w:p>
        </w:tc>
        <w:tc>
          <w:tcPr>
            <w:tcW w:w="1854" w:type="dxa"/>
            <w:vMerge w:val="restart"/>
            <w:tcBorders>
              <w:bottom w:val="nil"/>
              <w:right w:val="single" w:color="000000" w:sz="6" w:space="0"/>
            </w:tcBorders>
            <w:vAlign w:val="top"/>
          </w:tcPr>
          <w:p>
            <w:pPr>
              <w:spacing w:before="60" w:line="254" w:lineRule="auto"/>
              <w:ind w:left="109" w:right="103" w:firstLine="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[2]师资指本学科</w:t>
            </w:r>
            <w:r>
              <w:rPr>
                <w:rFonts w:ascii="方正书宋简体" w:hAnsi="方正书宋简体" w:eastAsia="方正书宋简体" w:cs="方正书宋简体"/>
                <w:spacing w:val="1"/>
                <w:w w:val="102"/>
                <w:sz w:val="21"/>
                <w:szCs w:val="21"/>
              </w:rPr>
              <w:t xml:space="preserve">    </w:t>
            </w:r>
            <w:r>
              <w:rPr>
                <w:rFonts w:ascii="方正书宋简体" w:hAnsi="方正书宋简体" w:eastAsia="方正书宋简体" w:cs="方正书宋简体"/>
                <w:spacing w:val="-1"/>
                <w:sz w:val="21"/>
                <w:szCs w:val="21"/>
              </w:rPr>
              <w:t>专业在编的具有</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教师专业技术职</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6"/>
                <w:sz w:val="21"/>
                <w:szCs w:val="21"/>
              </w:rPr>
              <w:t>务的人员。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[3]专任教师是指</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7"/>
                <w:sz w:val="21"/>
                <w:szCs w:val="21"/>
              </w:rPr>
              <w:t>具有教师资格、专</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
                <w:sz w:val="21"/>
                <w:szCs w:val="21"/>
              </w:rPr>
              <w:t>门从事本专业教</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sz w:val="21"/>
                <w:szCs w:val="21"/>
              </w:rPr>
              <w:t>学工作的人员。</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7"/>
                <w:sz w:val="21"/>
                <w:szCs w:val="21"/>
              </w:rPr>
              <w:t>[4]</w:t>
            </w:r>
            <w:r>
              <w:rPr>
                <w:rFonts w:ascii="方正书宋简体" w:hAnsi="方正书宋简体" w:eastAsia="方正书宋简体" w:cs="方正书宋简体"/>
                <w:spacing w:val="14"/>
                <w:sz w:val="21"/>
                <w:szCs w:val="21"/>
              </w:rPr>
              <w:t xml:space="preserve">  </w:t>
            </w:r>
            <w:r>
              <w:rPr>
                <w:rFonts w:ascii="方正书宋简体" w:hAnsi="方正书宋简体" w:eastAsia="方正书宋简体" w:cs="方正书宋简体"/>
                <w:spacing w:val="-5"/>
                <w:w w:val="97"/>
                <w:sz w:val="21"/>
                <w:szCs w:val="21"/>
              </w:rPr>
              <w:t>主讲教师符合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1"/>
                <w:sz w:val="21"/>
                <w:szCs w:val="21"/>
              </w:rPr>
              <w:t>岗位资格指具有讲</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1"/>
                <w:sz w:val="21"/>
                <w:szCs w:val="21"/>
              </w:rPr>
              <w:t>师及以上职务或具</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1"/>
                <w:sz w:val="21"/>
                <w:szCs w:val="21"/>
              </w:rPr>
              <w:t>有硕士及以上学</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1"/>
                <w:sz w:val="21"/>
                <w:szCs w:val="21"/>
              </w:rPr>
              <w:t>位，通过岗前培训</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5"/>
                <w:sz w:val="21"/>
                <w:szCs w:val="21"/>
              </w:rPr>
              <w:t>并取得合格证。</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
                <w:sz w:val="21"/>
                <w:szCs w:val="21"/>
              </w:rPr>
              <w:t>[5]教学奖励指教</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7"/>
                <w:sz w:val="21"/>
                <w:szCs w:val="21"/>
              </w:rPr>
              <w:t>学成果奖、优秀教</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7"/>
                <w:sz w:val="21"/>
                <w:szCs w:val="21"/>
              </w:rPr>
              <w:t>师奖、教学竞赛奖</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
                <w:sz w:val="21"/>
                <w:szCs w:val="21"/>
              </w:rPr>
              <w:t>等教学工作方面</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6"/>
                <w:sz w:val="21"/>
                <w:szCs w:val="21"/>
              </w:rPr>
              <w:t>的获奖。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before="426"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2.2</w:t>
            </w:r>
          </w:p>
          <w:p>
            <w:pPr>
              <w:spacing w:before="77" w:line="180" w:lineRule="auto"/>
              <w:ind w:firstLine="193"/>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主讲教师*</w:t>
            </w:r>
          </w:p>
        </w:tc>
        <w:tc>
          <w:tcPr>
            <w:tcW w:w="5151" w:type="dxa"/>
            <w:vAlign w:val="top"/>
          </w:tcPr>
          <w:p>
            <w:pPr>
              <w:spacing w:before="65" w:line="239" w:lineRule="auto"/>
              <w:ind w:left="103" w:right="98"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1.在编的专业主讲教师中符合岗位资格的教师≥90%；</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2"/>
                <w:sz w:val="21"/>
                <w:szCs w:val="21"/>
              </w:rPr>
              <w:t>2.专业基础课均由具有讲师以上职称的教师主讲；</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3.有一定数量的具备专业（行业）职业资格和职业经历</w:t>
            </w:r>
            <w:r>
              <w:rPr>
                <w:rFonts w:ascii="方正书宋简体" w:hAnsi="方正书宋简体" w:eastAsia="方正书宋简体" w:cs="方正书宋简体"/>
                <w:spacing w:val="2"/>
                <w:sz w:val="21"/>
                <w:szCs w:val="21"/>
              </w:rPr>
              <w:t xml:space="preserve"> </w:t>
            </w:r>
            <w:r>
              <w:rPr>
                <w:rFonts w:ascii="方正书宋简体" w:hAnsi="方正书宋简体" w:eastAsia="方正书宋简体" w:cs="方正书宋简体"/>
                <w:spacing w:val="-5"/>
                <w:sz w:val="21"/>
                <w:szCs w:val="21"/>
              </w:rPr>
              <w:t>的教师任教。</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8"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before="431"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2.3</w:t>
            </w:r>
          </w:p>
          <w:p>
            <w:pPr>
              <w:spacing w:before="80" w:line="180" w:lineRule="auto"/>
              <w:ind w:firstLine="24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师资培养</w:t>
            </w:r>
          </w:p>
          <w:p>
            <w:pPr>
              <w:spacing w:before="113" w:line="180" w:lineRule="auto"/>
              <w:ind w:firstLine="1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与教学水平</w:t>
            </w:r>
          </w:p>
        </w:tc>
        <w:tc>
          <w:tcPr>
            <w:tcW w:w="5151" w:type="dxa"/>
            <w:vAlign w:val="top"/>
          </w:tcPr>
          <w:p>
            <w:pPr>
              <w:spacing w:before="70" w:line="266" w:lineRule="auto"/>
              <w:ind w:left="101" w:right="100" w:firstLine="19"/>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1.有师资培养计划，实施效果明显；</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6"/>
                <w:sz w:val="21"/>
                <w:szCs w:val="21"/>
              </w:rPr>
              <w:t>2.有提高教师教学水平和能力的政策与措施，执行良好；</w:t>
            </w:r>
            <w:r>
              <w:rPr>
                <w:rFonts w:ascii="方正书宋简体" w:hAnsi="方正书宋简体" w:eastAsia="方正书宋简体" w:cs="方正书宋简体"/>
                <w:spacing w:val="12"/>
                <w:sz w:val="21"/>
                <w:szCs w:val="21"/>
              </w:rPr>
              <w:t xml:space="preserve">  </w:t>
            </w:r>
            <w:r>
              <w:rPr>
                <w:rFonts w:ascii="方正书宋简体" w:hAnsi="方正书宋简体" w:eastAsia="方正书宋简体" w:cs="方正书宋简体"/>
                <w:spacing w:val="-4"/>
                <w:w w:val="93"/>
                <w:sz w:val="21"/>
                <w:szCs w:val="21"/>
              </w:rPr>
              <w:t>3.教师能履行岗位职责，</w:t>
            </w:r>
            <w:r>
              <w:rPr>
                <w:rFonts w:ascii="方正书宋简体" w:hAnsi="方正书宋简体" w:eastAsia="方正书宋简体" w:cs="方正书宋简体"/>
                <w:spacing w:val="17"/>
                <w:sz w:val="21"/>
                <w:szCs w:val="21"/>
              </w:rPr>
              <w:t xml:space="preserve">  </w:t>
            </w:r>
            <w:r>
              <w:rPr>
                <w:rFonts w:ascii="方正书宋简体" w:hAnsi="方正书宋简体" w:eastAsia="方正书宋简体" w:cs="方正书宋简体"/>
                <w:spacing w:val="-4"/>
                <w:w w:val="93"/>
                <w:sz w:val="21"/>
                <w:szCs w:val="21"/>
              </w:rPr>
              <w:t>为人师表，</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4"/>
                <w:w w:val="93"/>
                <w:sz w:val="21"/>
                <w:szCs w:val="21"/>
              </w:rPr>
              <w:t>教书育人，</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4"/>
                <w:w w:val="93"/>
                <w:sz w:val="21"/>
                <w:szCs w:val="21"/>
              </w:rPr>
              <w:t>教学效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8"/>
                <w:sz w:val="21"/>
                <w:szCs w:val="21"/>
              </w:rPr>
              <w:t>果较好；</w:t>
            </w:r>
          </w:p>
          <w:p>
            <w:pPr>
              <w:spacing w:before="2" w:line="201" w:lineRule="auto"/>
              <w:ind w:firstLine="10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4.教师获得校级及以上教学奖励。</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0" w:hRule="atLeast"/>
        </w:trPr>
        <w:tc>
          <w:tcPr>
            <w:tcW w:w="754" w:type="dxa"/>
            <w:vMerge w:val="continue"/>
            <w:tcBorders>
              <w:top w:val="nil"/>
              <w:left w:val="single" w:color="000000" w:sz="6" w:space="0"/>
            </w:tcBorders>
            <w:vAlign w:val="top"/>
          </w:tcPr>
          <w:p>
            <w:pPr>
              <w:rPr>
                <w:rFonts w:ascii="Malgun Gothic"/>
                <w:sz w:val="21"/>
              </w:rPr>
            </w:pPr>
          </w:p>
        </w:tc>
        <w:tc>
          <w:tcPr>
            <w:tcW w:w="1330" w:type="dxa"/>
            <w:vAlign w:val="top"/>
          </w:tcPr>
          <w:p>
            <w:pPr>
              <w:spacing w:before="434" w:line="268" w:lineRule="auto"/>
              <w:ind w:left="238" w:right="246" w:firstLine="2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2.4</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学科水平</w:t>
            </w:r>
          </w:p>
        </w:tc>
        <w:tc>
          <w:tcPr>
            <w:tcW w:w="5151" w:type="dxa"/>
            <w:vAlign w:val="top"/>
          </w:tcPr>
          <w:p>
            <w:pPr>
              <w:spacing w:before="72" w:line="239" w:lineRule="auto"/>
              <w:ind w:left="100" w:right="55" w:firstLine="20"/>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w w:val="91"/>
                <w:sz w:val="21"/>
                <w:szCs w:val="21"/>
              </w:rPr>
              <w:t>1.专业教师承担了一定数量的科研项目，</w:t>
            </w:r>
            <w:r>
              <w:rPr>
                <w:rFonts w:ascii="方正书宋简体" w:hAnsi="方正书宋简体" w:eastAsia="方正书宋简体" w:cs="方正书宋简体"/>
                <w:spacing w:val="24"/>
                <w:w w:val="101"/>
                <w:sz w:val="21"/>
                <w:szCs w:val="21"/>
              </w:rPr>
              <w:t xml:space="preserve">  </w:t>
            </w:r>
            <w:r>
              <w:rPr>
                <w:rFonts w:ascii="方正书宋简体" w:hAnsi="方正书宋简体" w:eastAsia="方正书宋简体" w:cs="方正书宋简体"/>
                <w:spacing w:val="-4"/>
                <w:w w:val="91"/>
                <w:sz w:val="21"/>
                <w:szCs w:val="21"/>
              </w:rPr>
              <w:t>注重产学研结合；</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2.专业教师参加科研或教研的比例≥80%；</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9"/>
                <w:sz w:val="21"/>
                <w:szCs w:val="21"/>
              </w:rPr>
              <w:t>3.有一定数量和水平的论文公开发表，</w:t>
            </w:r>
            <w:r>
              <w:rPr>
                <w:rFonts w:ascii="方正书宋简体" w:hAnsi="方正书宋简体" w:eastAsia="方正书宋简体" w:cs="方正书宋简体"/>
                <w:spacing w:val="13"/>
                <w:sz w:val="21"/>
                <w:szCs w:val="21"/>
              </w:rPr>
              <w:t xml:space="preserve">  </w:t>
            </w:r>
            <w:r>
              <w:rPr>
                <w:rFonts w:ascii="方正书宋简体" w:hAnsi="方正书宋简体" w:eastAsia="方正书宋简体" w:cs="方正书宋简体"/>
                <w:spacing w:val="-5"/>
                <w:w w:val="99"/>
                <w:sz w:val="21"/>
                <w:szCs w:val="21"/>
              </w:rPr>
              <w:t>或有校级及以上</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科研成果。</w:t>
            </w:r>
          </w:p>
        </w:tc>
        <w:tc>
          <w:tcPr>
            <w:tcW w:w="1854"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54" w:type="dxa"/>
            <w:vMerge w:val="restart"/>
            <w:tcBorders>
              <w:left w:val="single" w:color="000000" w:sz="6" w:space="0"/>
              <w:bottom w:val="nil"/>
            </w:tcBorders>
            <w:vAlign w:val="top"/>
          </w:tcPr>
          <w:p>
            <w:pPr>
              <w:spacing w:before="284" w:line="308" w:lineRule="exact"/>
              <w:ind w:firstLine="29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10"/>
                <w:sz w:val="21"/>
                <w:szCs w:val="21"/>
              </w:rPr>
              <w:t>3.</w:t>
            </w:r>
          </w:p>
          <w:p>
            <w:pPr>
              <w:spacing w:line="204"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82" w:line="180" w:lineRule="auto"/>
              <w:ind w:firstLine="26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106"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条</w:t>
            </w:r>
          </w:p>
          <w:p>
            <w:pPr>
              <w:spacing w:before="115"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件</w:t>
            </w:r>
          </w:p>
        </w:tc>
        <w:tc>
          <w:tcPr>
            <w:tcW w:w="1330" w:type="dxa"/>
            <w:vAlign w:val="top"/>
          </w:tcPr>
          <w:p>
            <w:pPr>
              <w:spacing w:before="104" w:line="180" w:lineRule="auto"/>
              <w:ind w:firstLine="5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3.1</w:t>
            </w:r>
          </w:p>
          <w:p>
            <w:pPr>
              <w:spacing w:before="83" w:line="180" w:lineRule="auto"/>
              <w:ind w:firstLine="346"/>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实验室</w:t>
            </w:r>
          </w:p>
          <w:p>
            <w:pPr>
              <w:spacing w:before="107" w:line="180" w:lineRule="auto"/>
              <w:ind w:firstLine="290"/>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建</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设*</w:t>
            </w:r>
          </w:p>
        </w:tc>
        <w:tc>
          <w:tcPr>
            <w:tcW w:w="5151" w:type="dxa"/>
            <w:vAlign w:val="top"/>
          </w:tcPr>
          <w:p>
            <w:pPr>
              <w:spacing w:before="234" w:line="258" w:lineRule="auto"/>
              <w:ind w:left="103" w:right="501"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1.实验教学队伍结构基本合理，符合教学要求；</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2.实验室设施以及设备台套数基本满足教学需要。</w:t>
            </w:r>
          </w:p>
        </w:tc>
        <w:tc>
          <w:tcPr>
            <w:tcW w:w="1854" w:type="dxa"/>
            <w:vMerge w:val="restart"/>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754" w:type="dxa"/>
            <w:vMerge w:val="continue"/>
            <w:tcBorders>
              <w:top w:val="nil"/>
              <w:left w:val="single" w:color="000000" w:sz="6" w:space="0"/>
              <w:bottom w:val="single" w:color="000000" w:sz="6" w:space="0"/>
            </w:tcBorders>
            <w:vAlign w:val="top"/>
          </w:tcPr>
          <w:p>
            <w:pPr>
              <w:rPr>
                <w:rFonts w:ascii="Malgun Gothic"/>
                <w:sz w:val="21"/>
              </w:rPr>
            </w:pPr>
          </w:p>
        </w:tc>
        <w:tc>
          <w:tcPr>
            <w:tcW w:w="1330" w:type="dxa"/>
            <w:tcBorders>
              <w:bottom w:val="single" w:color="000000" w:sz="6" w:space="0"/>
            </w:tcBorders>
            <w:vAlign w:val="top"/>
          </w:tcPr>
          <w:p>
            <w:pPr>
              <w:spacing w:before="109" w:line="224" w:lineRule="auto"/>
              <w:ind w:left="238" w:right="246"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3.2</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实习基地</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2"/>
                <w:sz w:val="21"/>
                <w:szCs w:val="21"/>
              </w:rPr>
              <w:t>建</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2"/>
                <w:sz w:val="21"/>
                <w:szCs w:val="21"/>
              </w:rPr>
              <w:t>设*</w:t>
            </w:r>
          </w:p>
        </w:tc>
        <w:tc>
          <w:tcPr>
            <w:tcW w:w="5151" w:type="dxa"/>
            <w:tcBorders>
              <w:bottom w:val="single" w:color="000000" w:sz="6" w:space="0"/>
            </w:tcBorders>
            <w:vAlign w:val="top"/>
          </w:tcPr>
          <w:p>
            <w:pPr>
              <w:spacing w:before="240" w:line="258" w:lineRule="auto"/>
              <w:ind w:left="103" w:right="501"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1.有基本满足教学需要的校内外实习实训基地；</w:t>
            </w:r>
            <w:r>
              <w:rPr>
                <w:rFonts w:ascii="方正书宋简体" w:hAnsi="方正书宋简体" w:eastAsia="方正书宋简体" w:cs="方正书宋简体"/>
                <w:spacing w:val="1"/>
                <w:w w:val="101"/>
                <w:sz w:val="21"/>
                <w:szCs w:val="21"/>
              </w:rPr>
              <w:t xml:space="preserve">     </w:t>
            </w:r>
            <w:r>
              <w:rPr>
                <w:rFonts w:ascii="方正书宋简体" w:hAnsi="方正书宋简体" w:eastAsia="方正书宋简体" w:cs="方正书宋简体"/>
                <w:spacing w:val="-2"/>
                <w:sz w:val="21"/>
                <w:szCs w:val="21"/>
              </w:rPr>
              <w:t>2.实习实训经费有保证，指导教师队伍相对稳定。</w:t>
            </w:r>
          </w:p>
        </w:tc>
        <w:tc>
          <w:tcPr>
            <w:tcW w:w="1854" w:type="dxa"/>
            <w:vMerge w:val="continue"/>
            <w:tcBorders>
              <w:top w:val="nil"/>
              <w:bottom w:val="single" w:color="000000" w:sz="6" w:space="0"/>
              <w:right w:val="single" w:color="000000" w:sz="6" w:space="0"/>
            </w:tcBorders>
            <w:vAlign w:val="top"/>
          </w:tcPr>
          <w:p>
            <w:pPr>
              <w:rPr>
                <w:rFonts w:ascii="Malgun Gothic"/>
                <w:sz w:val="21"/>
              </w:rPr>
            </w:pPr>
          </w:p>
        </w:tc>
      </w:tr>
    </w:tbl>
    <w:p>
      <w:pPr>
        <w:spacing w:before="319" w:line="180" w:lineRule="auto"/>
        <w:ind w:firstLine="44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355</w:t>
      </w:r>
    </w:p>
    <w:p>
      <w:pPr>
        <w:sectPr>
          <w:footerReference r:id="rId359" w:type="default"/>
          <w:pgSz w:w="11905" w:h="16840"/>
          <w:pgMar w:top="1431" w:right="1399" w:bottom="400" w:left="1400" w:header="0" w:footer="0" w:gutter="0"/>
          <w:cols w:space="720" w:num="1"/>
        </w:sectPr>
      </w:pPr>
    </w:p>
    <w:p/>
    <w:p>
      <w:pPr>
        <w:spacing w:line="28" w:lineRule="exact"/>
      </w:pPr>
    </w:p>
    <w:tbl>
      <w:tblPr>
        <w:tblStyle w:val="4"/>
        <w:tblW w:w="908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330"/>
        <w:gridCol w:w="5151"/>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754" w:type="dxa"/>
            <w:tcBorders>
              <w:top w:val="single" w:color="000000" w:sz="6" w:space="0"/>
              <w:left w:val="single" w:color="000000" w:sz="6" w:space="0"/>
            </w:tcBorders>
            <w:vAlign w:val="top"/>
          </w:tcPr>
          <w:p>
            <w:pPr>
              <w:spacing w:before="74" w:line="334" w:lineRule="exact"/>
              <w:ind w:firstLine="1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14:textOutline w14:w="2667" w14:cap="flat" w14:cmpd="sng">
                  <w14:solidFill>
                    <w14:srgbClr w14:val="000000"/>
                  </w14:solidFill>
                  <w14:prstDash w14:val="solid"/>
                  <w14:miter w14:val="1"/>
                </w14:textOutline>
              </w:rPr>
              <w:t>一级</w:t>
            </w:r>
          </w:p>
          <w:p>
            <w:pPr>
              <w:spacing w:line="204" w:lineRule="auto"/>
              <w:ind w:firstLine="1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指标</w:t>
            </w:r>
          </w:p>
        </w:tc>
        <w:tc>
          <w:tcPr>
            <w:tcW w:w="1330" w:type="dxa"/>
            <w:tcBorders>
              <w:top w:val="single" w:color="000000" w:sz="6" w:space="0"/>
            </w:tcBorders>
            <w:vAlign w:val="top"/>
          </w:tcPr>
          <w:p>
            <w:pPr>
              <w:spacing w:before="238"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二级指标</w:t>
            </w:r>
          </w:p>
        </w:tc>
        <w:tc>
          <w:tcPr>
            <w:tcW w:w="5151" w:type="dxa"/>
            <w:tcBorders>
              <w:top w:val="single" w:color="000000" w:sz="6" w:space="0"/>
            </w:tcBorders>
            <w:vAlign w:val="top"/>
          </w:tcPr>
          <w:p>
            <w:pPr>
              <w:spacing w:before="236" w:line="180" w:lineRule="auto"/>
              <w:ind w:firstLine="167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评</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估</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等</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级</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标</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准</w:t>
            </w:r>
          </w:p>
        </w:tc>
        <w:tc>
          <w:tcPr>
            <w:tcW w:w="1854" w:type="dxa"/>
            <w:tcBorders>
              <w:top w:val="single" w:color="000000" w:sz="6" w:space="0"/>
              <w:right w:val="single" w:color="000000" w:sz="6" w:space="0"/>
            </w:tcBorders>
            <w:vAlign w:val="top"/>
          </w:tcPr>
          <w:p>
            <w:pPr>
              <w:spacing w:before="236"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6" w:hRule="atLeast"/>
        </w:trPr>
        <w:tc>
          <w:tcPr>
            <w:tcW w:w="754" w:type="dxa"/>
            <w:vMerge w:val="restart"/>
            <w:tcBorders>
              <w:left w:val="single" w:color="000000" w:sz="6" w:space="0"/>
              <w:bottom w:val="nil"/>
            </w:tcBorders>
            <w:vAlign w:val="top"/>
          </w:tcPr>
          <w:p>
            <w:pPr>
              <w:rPr>
                <w:rFonts w:ascii="Malgun Gothic"/>
                <w:sz w:val="21"/>
              </w:rPr>
            </w:pPr>
          </w:p>
        </w:tc>
        <w:tc>
          <w:tcPr>
            <w:tcW w:w="1330" w:type="dxa"/>
            <w:vAlign w:val="top"/>
          </w:tcPr>
          <w:p>
            <w:pPr>
              <w:spacing w:before="407" w:line="180" w:lineRule="auto"/>
              <w:ind w:firstLine="532"/>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3.3</w:t>
            </w:r>
          </w:p>
          <w:p>
            <w:pPr>
              <w:spacing w:before="76" w:line="193" w:lineRule="auto"/>
              <w:ind w:firstLine="23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教材建设</w:t>
            </w:r>
          </w:p>
        </w:tc>
        <w:tc>
          <w:tcPr>
            <w:tcW w:w="5151" w:type="dxa"/>
            <w:vAlign w:val="top"/>
          </w:tcPr>
          <w:p>
            <w:pPr>
              <w:spacing w:before="56" w:line="252" w:lineRule="auto"/>
              <w:ind w:left="100" w:right="97" w:firstLine="20"/>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1.注重教材建设，有科学合理的教材选用及评价制度,</w:t>
            </w:r>
            <w:r>
              <w:rPr>
                <w:rFonts w:ascii="方正书宋简体" w:hAnsi="方正书宋简体" w:eastAsia="方正书宋简体" w:cs="方正书宋简体"/>
                <w:spacing w:val="19"/>
                <w:w w:val="101"/>
                <w:sz w:val="21"/>
                <w:szCs w:val="21"/>
              </w:rPr>
              <w:t xml:space="preserve"> </w:t>
            </w:r>
            <w:r>
              <w:rPr>
                <w:rFonts w:ascii="方正书宋简体" w:hAnsi="方正书宋简体" w:eastAsia="方正书宋简体" w:cs="方正书宋简体"/>
                <w:spacing w:val="-6"/>
                <w:sz w:val="21"/>
                <w:szCs w:val="21"/>
              </w:rPr>
              <w:t>并严格执行；</w:t>
            </w:r>
          </w:p>
          <w:p>
            <w:pPr>
              <w:spacing w:before="22" w:line="222" w:lineRule="auto"/>
              <w:ind w:left="103" w:right="9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2.选用符合教学大纲要求的教材，</w:t>
            </w:r>
            <w:r>
              <w:rPr>
                <w:rFonts w:ascii="方正书宋简体" w:hAnsi="方正书宋简体" w:eastAsia="方正书宋简体" w:cs="方正书宋简体"/>
                <w:spacing w:val="11"/>
                <w:w w:val="101"/>
                <w:sz w:val="21"/>
                <w:szCs w:val="21"/>
              </w:rPr>
              <w:t xml:space="preserve">  </w:t>
            </w:r>
            <w:r>
              <w:rPr>
                <w:rFonts w:ascii="方正书宋简体" w:hAnsi="方正书宋简体" w:eastAsia="方正书宋简体" w:cs="方正书宋简体"/>
                <w:spacing w:val="-5"/>
                <w:w w:val="99"/>
                <w:sz w:val="21"/>
                <w:szCs w:val="21"/>
              </w:rPr>
              <w:t>优先选用省级及以上</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规划教材、获奖教材及统编教材。</w:t>
            </w:r>
          </w:p>
        </w:tc>
        <w:tc>
          <w:tcPr>
            <w:tcW w:w="1854" w:type="dxa"/>
            <w:vMerge w:val="restart"/>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754" w:type="dxa"/>
            <w:vMerge w:val="continue"/>
            <w:tcBorders>
              <w:top w:val="nil"/>
              <w:left w:val="single" w:color="000000" w:sz="6" w:space="0"/>
            </w:tcBorders>
            <w:vAlign w:val="top"/>
          </w:tcPr>
          <w:p>
            <w:pPr>
              <w:rPr>
                <w:rFonts w:ascii="Malgun Gothic"/>
                <w:sz w:val="21"/>
              </w:rPr>
            </w:pPr>
          </w:p>
        </w:tc>
        <w:tc>
          <w:tcPr>
            <w:tcW w:w="1330" w:type="dxa"/>
            <w:vAlign w:val="top"/>
          </w:tcPr>
          <w:p>
            <w:pPr>
              <w:spacing w:before="256" w:line="263" w:lineRule="auto"/>
              <w:ind w:left="237" w:right="246" w:firstLine="295"/>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3.4</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信息资源</w:t>
            </w:r>
            <w:r>
              <w:rPr>
                <w:rFonts w:ascii="方正书宋简体" w:hAnsi="方正书宋简体" w:eastAsia="方正书宋简体" w:cs="方正书宋简体"/>
                <w:spacing w:val="3"/>
                <w:w w:val="101"/>
                <w:sz w:val="21"/>
                <w:szCs w:val="21"/>
              </w:rPr>
              <w:t xml:space="preserve"> </w:t>
            </w:r>
            <w:r>
              <w:rPr>
                <w:rFonts w:ascii="方正书宋简体" w:hAnsi="方正书宋简体" w:eastAsia="方正书宋简体" w:cs="方正书宋简体"/>
                <w:spacing w:val="-2"/>
                <w:sz w:val="21"/>
                <w:szCs w:val="21"/>
              </w:rPr>
              <w:t>建</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设</w:t>
            </w:r>
          </w:p>
        </w:tc>
        <w:tc>
          <w:tcPr>
            <w:tcW w:w="5151" w:type="dxa"/>
            <w:vAlign w:val="top"/>
          </w:tcPr>
          <w:p>
            <w:pPr>
              <w:spacing w:before="63" w:line="239" w:lineRule="auto"/>
              <w:ind w:left="101" w:right="27" w:firstLine="19"/>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1.图书资料及数字资源基本满足专业教学需要；</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4"/>
                <w:w w:val="93"/>
                <w:sz w:val="21"/>
                <w:szCs w:val="21"/>
              </w:rPr>
              <w:t>2.自行开发一定数量的多媒体课件，</w:t>
            </w:r>
            <w:r>
              <w:rPr>
                <w:rFonts w:ascii="方正书宋简体" w:hAnsi="方正书宋简体" w:eastAsia="方正书宋简体" w:cs="方正书宋简体"/>
                <w:spacing w:val="40"/>
                <w:w w:val="101"/>
                <w:sz w:val="21"/>
                <w:szCs w:val="21"/>
              </w:rPr>
              <w:t xml:space="preserve"> </w:t>
            </w:r>
            <w:r>
              <w:rPr>
                <w:rFonts w:ascii="方正书宋简体" w:hAnsi="方正书宋简体" w:eastAsia="方正书宋简体" w:cs="方正书宋简体"/>
                <w:spacing w:val="-4"/>
                <w:w w:val="93"/>
                <w:sz w:val="21"/>
                <w:szCs w:val="21"/>
              </w:rPr>
              <w:t>有助于提高教学效果；</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6"/>
                <w:sz w:val="21"/>
                <w:szCs w:val="21"/>
              </w:rPr>
              <w:t>3.积极开发网络教学资源，</w:t>
            </w:r>
            <w:r>
              <w:rPr>
                <w:rFonts w:ascii="方正书宋简体" w:hAnsi="方正书宋简体" w:eastAsia="方正书宋简体" w:cs="方正书宋简体"/>
                <w:spacing w:val="25"/>
                <w:w w:val="101"/>
                <w:sz w:val="21"/>
                <w:szCs w:val="21"/>
              </w:rPr>
              <w:t xml:space="preserve">  </w:t>
            </w:r>
            <w:r>
              <w:rPr>
                <w:rFonts w:ascii="方正书宋简体" w:hAnsi="方正书宋简体" w:eastAsia="方正书宋简体" w:cs="方正书宋简体"/>
                <w:spacing w:val="-5"/>
                <w:w w:val="96"/>
                <w:sz w:val="21"/>
                <w:szCs w:val="21"/>
              </w:rPr>
              <w:t>充分利用现代教育手段，</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5"/>
                <w:w w:val="96"/>
                <w:sz w:val="21"/>
                <w:szCs w:val="21"/>
              </w:rPr>
              <w:t>共</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4"/>
                <w:sz w:val="21"/>
                <w:szCs w:val="21"/>
              </w:rPr>
              <w:t>享优质教学资源。</w:t>
            </w:r>
          </w:p>
        </w:tc>
        <w:tc>
          <w:tcPr>
            <w:tcW w:w="1854"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trPr>
        <w:tc>
          <w:tcPr>
            <w:tcW w:w="754" w:type="dxa"/>
            <w:vMerge w:val="restart"/>
            <w:tcBorders>
              <w:left w:val="single" w:color="000000" w:sz="6" w:space="0"/>
              <w:bottom w:val="nil"/>
            </w:tcBorders>
            <w:vAlign w:val="top"/>
          </w:tcPr>
          <w:p>
            <w:pPr>
              <w:spacing w:line="272" w:lineRule="auto"/>
              <w:rPr>
                <w:rFonts w:ascii="Malgun Gothic"/>
                <w:sz w:val="21"/>
              </w:rPr>
            </w:pPr>
          </w:p>
          <w:p>
            <w:pPr>
              <w:spacing w:line="272" w:lineRule="auto"/>
              <w:rPr>
                <w:rFonts w:ascii="Malgun Gothic"/>
                <w:sz w:val="21"/>
              </w:rPr>
            </w:pPr>
          </w:p>
          <w:p>
            <w:pPr>
              <w:spacing w:line="272" w:lineRule="auto"/>
              <w:rPr>
                <w:rFonts w:ascii="Malgun Gothic"/>
                <w:sz w:val="21"/>
              </w:rPr>
            </w:pPr>
          </w:p>
          <w:p>
            <w:pPr>
              <w:spacing w:line="272" w:lineRule="auto"/>
              <w:rPr>
                <w:rFonts w:ascii="Malgun Gothic"/>
                <w:sz w:val="21"/>
              </w:rPr>
            </w:pPr>
          </w:p>
          <w:p>
            <w:pPr>
              <w:spacing w:line="272" w:lineRule="auto"/>
              <w:rPr>
                <w:rFonts w:ascii="Malgun Gothic"/>
                <w:sz w:val="21"/>
              </w:rPr>
            </w:pPr>
          </w:p>
          <w:p>
            <w:pPr>
              <w:spacing w:before="75" w:line="309" w:lineRule="exact"/>
              <w:ind w:firstLine="291"/>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rPr>
              <w:t>4.</w:t>
            </w:r>
          </w:p>
          <w:p>
            <w:pPr>
              <w:spacing w:line="204"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教</w:t>
            </w:r>
          </w:p>
          <w:p>
            <w:pPr>
              <w:spacing w:before="82" w:line="180" w:lineRule="auto"/>
              <w:ind w:firstLine="26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学</w:t>
            </w:r>
          </w:p>
          <w:p>
            <w:pPr>
              <w:spacing w:before="121"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运</w:t>
            </w:r>
          </w:p>
          <w:p>
            <w:pPr>
              <w:spacing w:before="103" w:line="180" w:lineRule="auto"/>
              <w:ind w:firstLine="264"/>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行</w:t>
            </w:r>
          </w:p>
          <w:p>
            <w:pPr>
              <w:spacing w:before="110" w:line="180" w:lineRule="auto"/>
              <w:ind w:firstLine="270"/>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与</w:t>
            </w:r>
          </w:p>
          <w:p>
            <w:pPr>
              <w:spacing w:before="112" w:line="180" w:lineRule="auto"/>
              <w:ind w:firstLine="267"/>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管</w:t>
            </w:r>
          </w:p>
          <w:p>
            <w:pPr>
              <w:spacing w:before="125"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理</w:t>
            </w:r>
          </w:p>
        </w:tc>
        <w:tc>
          <w:tcPr>
            <w:tcW w:w="1330" w:type="dxa"/>
            <w:vAlign w:val="top"/>
          </w:tcPr>
          <w:p>
            <w:pPr>
              <w:spacing w:before="424" w:line="268" w:lineRule="auto"/>
              <w:ind w:left="237" w:right="246" w:firstLine="2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4.1</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教学研究</w:t>
            </w:r>
          </w:p>
        </w:tc>
        <w:tc>
          <w:tcPr>
            <w:tcW w:w="5151" w:type="dxa"/>
            <w:vAlign w:val="top"/>
          </w:tcPr>
          <w:p>
            <w:pPr>
              <w:spacing w:before="67" w:line="238" w:lineRule="auto"/>
              <w:ind w:left="102" w:right="98"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8"/>
                <w:sz w:val="21"/>
                <w:szCs w:val="21"/>
              </w:rPr>
              <w:t>1.有教研活动计划，</w:t>
            </w:r>
            <w:r>
              <w:rPr>
                <w:rFonts w:ascii="方正书宋简体" w:hAnsi="方正书宋简体" w:eastAsia="方正书宋简体" w:cs="方正书宋简体"/>
                <w:spacing w:val="28"/>
                <w:sz w:val="21"/>
                <w:szCs w:val="21"/>
              </w:rPr>
              <w:t xml:space="preserve">  </w:t>
            </w:r>
            <w:r>
              <w:rPr>
                <w:rFonts w:ascii="方正书宋简体" w:hAnsi="方正书宋简体" w:eastAsia="方正书宋简体" w:cs="方正书宋简体"/>
                <w:spacing w:val="-5"/>
                <w:w w:val="98"/>
                <w:sz w:val="21"/>
                <w:szCs w:val="21"/>
              </w:rPr>
              <w:t>围绕专业人才培养开展经常性的集</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7"/>
                <w:sz w:val="21"/>
                <w:szCs w:val="21"/>
              </w:rPr>
              <w:t>体教研活动；</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2.有从专业实际出发的校级及以上教研教改项目；</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2"/>
                <w:sz w:val="21"/>
                <w:szCs w:val="21"/>
              </w:rPr>
              <w:t>3.公开发表一定数量的教学研究论文。</w:t>
            </w:r>
          </w:p>
        </w:tc>
        <w:tc>
          <w:tcPr>
            <w:tcW w:w="1854" w:type="dxa"/>
            <w:vMerge w:val="restart"/>
            <w:tcBorders>
              <w:bottom w:val="nil"/>
              <w:right w:val="single" w:color="000000" w:sz="6" w:space="0"/>
            </w:tcBorders>
            <w:vAlign w:val="top"/>
          </w:tcPr>
          <w:p>
            <w:pPr>
              <w:spacing w:line="241"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line="242" w:lineRule="auto"/>
              <w:rPr>
                <w:rFonts w:ascii="Malgun Gothic"/>
                <w:sz w:val="21"/>
              </w:rPr>
            </w:pPr>
          </w:p>
          <w:p>
            <w:pPr>
              <w:spacing w:before="75" w:line="251" w:lineRule="auto"/>
              <w:ind w:left="109" w:right="74" w:firstLine="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[6]设计性实验是</w:t>
            </w:r>
            <w:r>
              <w:rPr>
                <w:rFonts w:ascii="方正书宋简体" w:hAnsi="方正书宋简体" w:eastAsia="方正书宋简体" w:cs="方正书宋简体"/>
                <w:spacing w:val="1"/>
                <w:w w:val="102"/>
                <w:sz w:val="21"/>
                <w:szCs w:val="21"/>
              </w:rPr>
              <w:t xml:space="preserve">    </w:t>
            </w:r>
            <w:r>
              <w:rPr>
                <w:rFonts w:ascii="方正书宋简体" w:hAnsi="方正书宋简体" w:eastAsia="方正书宋简体" w:cs="方正书宋简体"/>
                <w:spacing w:val="-3"/>
                <w:sz w:val="21"/>
                <w:szCs w:val="21"/>
              </w:rPr>
              <w:t>指给定实验目的、</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要求和实验条件，</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
                <w:sz w:val="21"/>
                <w:szCs w:val="21"/>
              </w:rPr>
              <w:t>由学生自行设计</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
                <w:sz w:val="21"/>
                <w:szCs w:val="21"/>
              </w:rPr>
              <w:t>实验方案并加以</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9"/>
                <w:sz w:val="21"/>
                <w:szCs w:val="21"/>
              </w:rPr>
              <w:t>实现的实验；</w:t>
            </w:r>
            <w:r>
              <w:rPr>
                <w:rFonts w:ascii="方正书宋简体" w:hAnsi="方正书宋简体" w:eastAsia="方正书宋简体" w:cs="方正书宋简体"/>
                <w:spacing w:val="48"/>
                <w:w w:val="101"/>
                <w:sz w:val="21"/>
                <w:szCs w:val="21"/>
              </w:rPr>
              <w:t xml:space="preserve"> </w:t>
            </w:r>
            <w:r>
              <w:rPr>
                <w:rFonts w:ascii="方正书宋简体" w:hAnsi="方正书宋简体" w:eastAsia="方正书宋简体" w:cs="方正书宋简体"/>
                <w:spacing w:val="-19"/>
                <w:sz w:val="21"/>
                <w:szCs w:val="21"/>
              </w:rPr>
              <w:t>综合</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
                <w:sz w:val="21"/>
                <w:szCs w:val="21"/>
              </w:rPr>
              <w:t>性实验是指实验</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
                <w:sz w:val="21"/>
                <w:szCs w:val="21"/>
              </w:rPr>
              <w:t>内容涉及本课程</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
                <w:sz w:val="21"/>
                <w:szCs w:val="21"/>
              </w:rPr>
              <w:t>的综合知识或与</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1"/>
                <w:sz w:val="21"/>
                <w:szCs w:val="21"/>
              </w:rPr>
              <w:t>本课程相关课程</w:t>
            </w:r>
            <w:r>
              <w:rPr>
                <w:rFonts w:ascii="方正书宋简体" w:hAnsi="方正书宋简体" w:eastAsia="方正书宋简体" w:cs="方正书宋简体"/>
                <w:w w:val="102"/>
                <w:sz w:val="21"/>
                <w:szCs w:val="21"/>
              </w:rPr>
              <w:t xml:space="preserve">     </w:t>
            </w:r>
            <w:r>
              <w:rPr>
                <w:rFonts w:ascii="方正书宋简体" w:hAnsi="方正书宋简体" w:eastAsia="方正书宋简体" w:cs="方正书宋简体"/>
                <w:spacing w:val="-4"/>
                <w:sz w:val="21"/>
                <w:szCs w:val="21"/>
              </w:rPr>
              <w:t>知识的实验。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before="270" w:line="180" w:lineRule="auto"/>
              <w:ind w:firstLine="5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4.2</w:t>
            </w:r>
          </w:p>
          <w:p>
            <w:pPr>
              <w:spacing w:before="83" w:line="180" w:lineRule="auto"/>
              <w:ind w:firstLine="18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理论教学*</w:t>
            </w:r>
          </w:p>
        </w:tc>
        <w:tc>
          <w:tcPr>
            <w:tcW w:w="5151" w:type="dxa"/>
            <w:vAlign w:val="top"/>
          </w:tcPr>
          <w:p>
            <w:pPr>
              <w:spacing w:before="64" w:line="236" w:lineRule="auto"/>
              <w:ind w:left="103" w:right="18"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1.能按计划开出本专业全部课程；</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3"/>
                <w:sz w:val="21"/>
                <w:szCs w:val="21"/>
              </w:rPr>
              <w:t>2.教学过程组织规范，教学秩序良好；</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7"/>
                <w:sz w:val="21"/>
                <w:szCs w:val="21"/>
              </w:rPr>
              <w:t>3.开展启发式、参与式教学，</w:t>
            </w:r>
            <w:r>
              <w:rPr>
                <w:rFonts w:ascii="方正书宋简体" w:hAnsi="方正书宋简体" w:eastAsia="方正书宋简体" w:cs="方正书宋简体"/>
                <w:spacing w:val="56"/>
                <w:sz w:val="21"/>
                <w:szCs w:val="21"/>
              </w:rPr>
              <w:t xml:space="preserve"> </w:t>
            </w:r>
            <w:r>
              <w:rPr>
                <w:rFonts w:ascii="方正书宋简体" w:hAnsi="方正书宋简体" w:eastAsia="方正书宋简体" w:cs="方正书宋简体"/>
                <w:spacing w:val="-5"/>
                <w:w w:val="97"/>
                <w:sz w:val="21"/>
                <w:szCs w:val="21"/>
              </w:rPr>
              <w:t>注重学生创新精神的培养。</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9"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line="443" w:lineRule="auto"/>
              <w:rPr>
                <w:rFonts w:ascii="Malgun Gothic"/>
                <w:sz w:val="21"/>
              </w:rPr>
            </w:pPr>
          </w:p>
          <w:p>
            <w:pPr>
              <w:spacing w:before="75" w:line="180" w:lineRule="auto"/>
              <w:ind w:firstLine="5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4.3</w:t>
            </w:r>
          </w:p>
          <w:p>
            <w:pPr>
              <w:spacing w:before="84"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实践教学*</w:t>
            </w:r>
          </w:p>
        </w:tc>
        <w:tc>
          <w:tcPr>
            <w:tcW w:w="5151" w:type="dxa"/>
            <w:vAlign w:val="top"/>
          </w:tcPr>
          <w:p>
            <w:pPr>
              <w:spacing w:before="74" w:line="221" w:lineRule="auto"/>
              <w:ind w:left="102" w:right="98"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1.实验开出率达到教学大纲要求的</w:t>
            </w:r>
            <w:r>
              <w:rPr>
                <w:rFonts w:ascii="方正书宋简体" w:hAnsi="方正书宋简体" w:eastAsia="方正书宋简体" w:cs="方正书宋简体"/>
                <w:spacing w:val="19"/>
                <w:sz w:val="21"/>
                <w:szCs w:val="21"/>
              </w:rPr>
              <w:t xml:space="preserve"> </w:t>
            </w:r>
            <w:r>
              <w:rPr>
                <w:rFonts w:ascii="方正书宋简体" w:hAnsi="方正书宋简体" w:eastAsia="方正书宋简体" w:cs="方正书宋简体"/>
                <w:spacing w:val="-5"/>
                <w:w w:val="99"/>
                <w:sz w:val="21"/>
                <w:szCs w:val="21"/>
              </w:rPr>
              <w:t>90%，</w:t>
            </w:r>
            <w:r>
              <w:rPr>
                <w:rFonts w:ascii="方正书宋简体" w:hAnsi="方正书宋简体" w:eastAsia="方正书宋简体" w:cs="方正书宋简体"/>
                <w:spacing w:val="29"/>
                <w:sz w:val="21"/>
                <w:szCs w:val="21"/>
              </w:rPr>
              <w:t xml:space="preserve"> </w:t>
            </w:r>
            <w:r>
              <w:rPr>
                <w:rFonts w:ascii="方正书宋简体" w:hAnsi="方正书宋简体" w:eastAsia="方正书宋简体" w:cs="方正书宋简体"/>
                <w:spacing w:val="-5"/>
                <w:w w:val="99"/>
                <w:sz w:val="21"/>
                <w:szCs w:val="21"/>
              </w:rPr>
              <w:t>教学组织规范</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9"/>
                <w:sz w:val="21"/>
                <w:szCs w:val="21"/>
              </w:rPr>
              <w:t>有序；</w:t>
            </w:r>
          </w:p>
          <w:p>
            <w:pPr>
              <w:spacing w:before="99" w:line="234" w:lineRule="auto"/>
              <w:ind w:left="104" w:right="97" w:hanging="1"/>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8"/>
                <w:sz w:val="21"/>
                <w:szCs w:val="21"/>
              </w:rPr>
              <w:t>2.有一定数量的综合性、设计性实验，</w:t>
            </w:r>
            <w:r>
              <w:rPr>
                <w:rFonts w:ascii="方正书宋简体" w:hAnsi="方正书宋简体" w:eastAsia="方正书宋简体" w:cs="方正书宋简体"/>
                <w:spacing w:val="37"/>
                <w:sz w:val="21"/>
                <w:szCs w:val="21"/>
              </w:rPr>
              <w:t xml:space="preserve">  </w:t>
            </w:r>
            <w:r>
              <w:rPr>
                <w:rFonts w:ascii="方正书宋简体" w:hAnsi="方正书宋简体" w:eastAsia="方正书宋简体" w:cs="方正书宋简体"/>
                <w:spacing w:val="-5"/>
                <w:w w:val="98"/>
                <w:sz w:val="21"/>
                <w:szCs w:val="21"/>
              </w:rPr>
              <w:t>开展了创新实践</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14"/>
                <w:sz w:val="21"/>
                <w:szCs w:val="21"/>
              </w:rPr>
              <w:t>活动；</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5"/>
                <w:w w:val="99"/>
                <w:sz w:val="21"/>
                <w:szCs w:val="21"/>
              </w:rPr>
              <w:t>3.能与企事业单位紧密合作开展专业实习与实训，</w:t>
            </w:r>
            <w:r>
              <w:rPr>
                <w:rFonts w:ascii="方正书宋简体" w:hAnsi="方正书宋简体" w:eastAsia="方正书宋简体" w:cs="方正书宋简体"/>
                <w:spacing w:val="11"/>
                <w:sz w:val="21"/>
                <w:szCs w:val="21"/>
              </w:rPr>
              <w:t xml:space="preserve">  </w:t>
            </w:r>
            <w:r>
              <w:rPr>
                <w:rFonts w:ascii="方正书宋简体" w:hAnsi="方正书宋简体" w:eastAsia="方正书宋简体" w:cs="方正书宋简体"/>
                <w:spacing w:val="-5"/>
                <w:w w:val="99"/>
                <w:sz w:val="21"/>
                <w:szCs w:val="21"/>
              </w:rPr>
              <w:t>实习</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实训时间和内容有保证，指导到位，效果较好。</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before="278" w:line="267" w:lineRule="auto"/>
              <w:ind w:left="237" w:right="246" w:firstLine="288"/>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4.4</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教学管理</w:t>
            </w:r>
          </w:p>
        </w:tc>
        <w:tc>
          <w:tcPr>
            <w:tcW w:w="5151" w:type="dxa"/>
            <w:vAlign w:val="top"/>
          </w:tcPr>
          <w:p>
            <w:pPr>
              <w:spacing w:before="72" w:line="236" w:lineRule="auto"/>
              <w:ind w:left="103" w:right="301"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1.建立了符合专业特点的教学管理制度，执行严格；</w:t>
            </w:r>
            <w:r>
              <w:rPr>
                <w:rFonts w:ascii="方正书宋简体" w:hAnsi="方正书宋简体" w:eastAsia="方正书宋简体" w:cs="方正书宋简体"/>
                <w:spacing w:val="14"/>
                <w:w w:val="101"/>
                <w:sz w:val="21"/>
                <w:szCs w:val="21"/>
              </w:rPr>
              <w:t xml:space="preserve"> </w:t>
            </w:r>
            <w:r>
              <w:rPr>
                <w:rFonts w:ascii="方正书宋简体" w:hAnsi="方正书宋简体" w:eastAsia="方正书宋简体" w:cs="方正书宋简体"/>
                <w:spacing w:val="-3"/>
                <w:sz w:val="21"/>
                <w:szCs w:val="21"/>
              </w:rPr>
              <w:t>2.教学运行安全、平稳有序；</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3.专业教学档案齐全，管理规范，方便查阅。</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trPr>
        <w:tc>
          <w:tcPr>
            <w:tcW w:w="754" w:type="dxa"/>
            <w:vMerge w:val="continue"/>
            <w:tcBorders>
              <w:top w:val="nil"/>
              <w:left w:val="single" w:color="000000" w:sz="6" w:space="0"/>
            </w:tcBorders>
            <w:vAlign w:val="top"/>
          </w:tcPr>
          <w:p>
            <w:pPr>
              <w:rPr>
                <w:rFonts w:ascii="Malgun Gothic"/>
                <w:sz w:val="21"/>
              </w:rPr>
            </w:pPr>
          </w:p>
        </w:tc>
        <w:tc>
          <w:tcPr>
            <w:tcW w:w="1330" w:type="dxa"/>
            <w:vAlign w:val="top"/>
          </w:tcPr>
          <w:p>
            <w:pPr>
              <w:spacing w:before="437" w:line="180" w:lineRule="auto"/>
              <w:ind w:firstLine="52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4.5</w:t>
            </w:r>
          </w:p>
          <w:p>
            <w:pPr>
              <w:spacing w:before="83" w:line="180" w:lineRule="auto"/>
              <w:ind w:firstLine="187"/>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质量监控*</w:t>
            </w:r>
          </w:p>
        </w:tc>
        <w:tc>
          <w:tcPr>
            <w:tcW w:w="5151" w:type="dxa"/>
            <w:vAlign w:val="top"/>
          </w:tcPr>
          <w:p>
            <w:pPr>
              <w:spacing w:before="79" w:line="239" w:lineRule="auto"/>
              <w:ind w:left="103" w:right="93" w:firstLine="18"/>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1.较严格地执行了对教师的课程教学考核；</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2.注重学风建设，对学生的课程考核与评价严格规范，</w:t>
            </w:r>
            <w:r>
              <w:rPr>
                <w:rFonts w:ascii="方正书宋简体" w:hAnsi="方正书宋简体" w:eastAsia="方正书宋简体" w:cs="方正书宋简体"/>
                <w:spacing w:val="8"/>
                <w:sz w:val="21"/>
                <w:szCs w:val="21"/>
              </w:rPr>
              <w:t xml:space="preserve"> </w:t>
            </w:r>
            <w:r>
              <w:rPr>
                <w:rFonts w:ascii="方正书宋简体" w:hAnsi="方正书宋简体" w:eastAsia="方正书宋简体" w:cs="方正书宋简体"/>
                <w:spacing w:val="-6"/>
                <w:sz w:val="21"/>
                <w:szCs w:val="21"/>
              </w:rPr>
              <w:t>考风考纪良好；</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3.教学过程监控措施得力，效果明显。</w:t>
            </w:r>
          </w:p>
        </w:tc>
        <w:tc>
          <w:tcPr>
            <w:tcW w:w="1854" w:type="dxa"/>
            <w:vMerge w:val="continue"/>
            <w:tcBorders>
              <w:top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54" w:type="dxa"/>
            <w:vMerge w:val="restart"/>
            <w:tcBorders>
              <w:left w:val="single" w:color="000000" w:sz="6" w:space="0"/>
              <w:bottom w:val="nil"/>
            </w:tcBorders>
            <w:vAlign w:val="top"/>
          </w:tcPr>
          <w:p>
            <w:pPr>
              <w:spacing w:line="345" w:lineRule="auto"/>
              <w:rPr>
                <w:rFonts w:ascii="Malgun Gothic"/>
                <w:sz w:val="21"/>
              </w:rPr>
            </w:pPr>
          </w:p>
          <w:p>
            <w:pPr>
              <w:spacing w:before="75" w:line="310" w:lineRule="exact"/>
              <w:ind w:firstLine="294"/>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position w:val="10"/>
                <w:sz w:val="21"/>
                <w:szCs w:val="21"/>
              </w:rPr>
              <w:t>5.</w:t>
            </w:r>
          </w:p>
          <w:p>
            <w:pPr>
              <w:spacing w:line="204" w:lineRule="auto"/>
              <w:ind w:firstLine="268"/>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培</w:t>
            </w:r>
          </w:p>
          <w:p>
            <w:pPr>
              <w:spacing w:before="79"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养</w:t>
            </w:r>
          </w:p>
          <w:p>
            <w:pPr>
              <w:spacing w:before="114" w:line="180" w:lineRule="auto"/>
              <w:ind w:firstLine="266"/>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质</w:t>
            </w:r>
          </w:p>
          <w:p>
            <w:pPr>
              <w:spacing w:before="116" w:line="180" w:lineRule="auto"/>
              <w:ind w:firstLine="265"/>
              <w:rPr>
                <w:rFonts w:ascii="方正书宋简体" w:hAnsi="方正书宋简体" w:eastAsia="方正书宋简体" w:cs="方正书宋简体"/>
                <w:sz w:val="21"/>
                <w:szCs w:val="21"/>
              </w:rPr>
            </w:pPr>
            <w:r>
              <w:rPr>
                <w:rFonts w:ascii="方正书宋简体" w:hAnsi="方正书宋简体" w:eastAsia="方正书宋简体" w:cs="方正书宋简体"/>
                <w:sz w:val="21"/>
                <w:szCs w:val="21"/>
              </w:rPr>
              <w:t>量</w:t>
            </w:r>
          </w:p>
        </w:tc>
        <w:tc>
          <w:tcPr>
            <w:tcW w:w="1330" w:type="dxa"/>
            <w:vAlign w:val="top"/>
          </w:tcPr>
          <w:p>
            <w:pPr>
              <w:spacing w:before="103"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5.1</w:t>
            </w:r>
          </w:p>
          <w:p>
            <w:pPr>
              <w:spacing w:before="84"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基本理论</w:t>
            </w:r>
          </w:p>
          <w:p>
            <w:pPr>
              <w:spacing w:before="112" w:line="180" w:lineRule="auto"/>
              <w:ind w:firstLine="13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与基本技能</w:t>
            </w:r>
          </w:p>
        </w:tc>
        <w:tc>
          <w:tcPr>
            <w:tcW w:w="5151" w:type="dxa"/>
            <w:vAlign w:val="top"/>
          </w:tcPr>
          <w:p>
            <w:pPr>
              <w:spacing w:before="236" w:line="258" w:lineRule="auto"/>
              <w:ind w:left="103" w:right="147"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5"/>
                <w:sz w:val="21"/>
                <w:szCs w:val="21"/>
              </w:rPr>
              <w:t>1.学生基本理论与基本技能总体水平符合培养目标要求；</w:t>
            </w:r>
            <w:r>
              <w:rPr>
                <w:rFonts w:ascii="方正书宋简体" w:hAnsi="方正书宋简体" w:eastAsia="方正书宋简体" w:cs="方正书宋简体"/>
                <w:spacing w:val="50"/>
                <w:w w:val="101"/>
                <w:sz w:val="21"/>
                <w:szCs w:val="21"/>
              </w:rPr>
              <w:t xml:space="preserve"> </w:t>
            </w:r>
            <w:r>
              <w:rPr>
                <w:rFonts w:ascii="方正书宋简体" w:hAnsi="方正书宋简体" w:eastAsia="方正书宋简体" w:cs="方正书宋简体"/>
                <w:spacing w:val="-5"/>
                <w:w w:val="96"/>
                <w:sz w:val="21"/>
                <w:szCs w:val="21"/>
              </w:rPr>
              <w:t>2.部分学生有创新实践成果和校级及以上学科竞赛获奖。</w:t>
            </w:r>
          </w:p>
        </w:tc>
        <w:tc>
          <w:tcPr>
            <w:tcW w:w="1854" w:type="dxa"/>
            <w:vMerge w:val="restart"/>
            <w:tcBorders>
              <w:bottom w:val="nil"/>
              <w:right w:val="single" w:color="000000" w:sz="6" w:space="0"/>
            </w:tcBorders>
            <w:vAlign w:val="top"/>
          </w:tcPr>
          <w:p>
            <w:pPr>
              <w:spacing w:before="140" w:line="251" w:lineRule="auto"/>
              <w:ind w:left="109" w:right="103" w:firstLine="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[8]毕业综合训练</w:t>
            </w:r>
            <w:r>
              <w:rPr>
                <w:rFonts w:ascii="方正书宋简体" w:hAnsi="方正书宋简体" w:eastAsia="方正书宋简体" w:cs="方正书宋简体"/>
                <w:spacing w:val="1"/>
                <w:w w:val="102"/>
                <w:sz w:val="21"/>
                <w:szCs w:val="21"/>
              </w:rPr>
              <w:t xml:space="preserve">    </w:t>
            </w:r>
            <w:r>
              <w:rPr>
                <w:rFonts w:ascii="方正书宋简体" w:hAnsi="方正书宋简体" w:eastAsia="方正书宋简体" w:cs="方正书宋简体"/>
                <w:spacing w:val="-1"/>
                <w:sz w:val="21"/>
                <w:szCs w:val="21"/>
              </w:rPr>
              <w:t>包括不同学科专</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7"/>
                <w:sz w:val="21"/>
                <w:szCs w:val="21"/>
              </w:rPr>
              <w:t>业的汇报演出、作</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7"/>
                <w:sz w:val="21"/>
                <w:szCs w:val="21"/>
              </w:rPr>
              <w:t>品展示、医学临床</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7"/>
                <w:sz w:val="21"/>
                <w:szCs w:val="21"/>
              </w:rPr>
              <w:t>实习、社会调查报</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1"/>
                <w:sz w:val="21"/>
                <w:szCs w:val="21"/>
              </w:rPr>
              <w:t>告等不同形式的</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1"/>
                <w:sz w:val="21"/>
                <w:szCs w:val="21"/>
              </w:rPr>
              <w:t>对学生毕业环节</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4"/>
                <w:sz w:val="21"/>
                <w:szCs w:val="21"/>
              </w:rPr>
              <w:t>的综合考核。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8" w:hRule="atLeast"/>
        </w:trPr>
        <w:tc>
          <w:tcPr>
            <w:tcW w:w="754" w:type="dxa"/>
            <w:vMerge w:val="continue"/>
            <w:tcBorders>
              <w:top w:val="nil"/>
              <w:left w:val="single" w:color="000000" w:sz="6" w:space="0"/>
              <w:bottom w:val="single" w:color="000000" w:sz="6" w:space="0"/>
            </w:tcBorders>
            <w:vAlign w:val="top"/>
          </w:tcPr>
          <w:p>
            <w:pPr>
              <w:rPr>
                <w:rFonts w:ascii="Malgun Gothic"/>
                <w:sz w:val="21"/>
              </w:rPr>
            </w:pPr>
          </w:p>
        </w:tc>
        <w:tc>
          <w:tcPr>
            <w:tcW w:w="1330" w:type="dxa"/>
            <w:tcBorders>
              <w:bottom w:val="single" w:color="000000" w:sz="6" w:space="0"/>
            </w:tcBorders>
            <w:vAlign w:val="top"/>
          </w:tcPr>
          <w:p>
            <w:pPr>
              <w:spacing w:before="263"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5.2</w:t>
            </w:r>
          </w:p>
          <w:p>
            <w:pPr>
              <w:spacing w:before="83" w:line="180" w:lineRule="auto"/>
              <w:ind w:firstLine="23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毕业论文</w:t>
            </w:r>
          </w:p>
          <w:p>
            <w:pPr>
              <w:spacing w:before="88" w:line="180" w:lineRule="auto"/>
              <w:ind w:firstLine="224"/>
              <w:rPr>
                <w:rFonts w:ascii="方正书宋简体" w:hAnsi="方正书宋简体" w:eastAsia="方正书宋简体" w:cs="方正书宋简体"/>
                <w:sz w:val="21"/>
                <w:szCs w:val="21"/>
              </w:rPr>
            </w:pPr>
            <w:r>
              <w:rPr>
                <w:rFonts w:ascii="方正书宋简体" w:hAnsi="方正书宋简体" w:eastAsia="方正书宋简体" w:cs="方正书宋简体"/>
                <w:spacing w:val="-3"/>
                <w:sz w:val="21"/>
                <w:szCs w:val="21"/>
              </w:rPr>
              <w:t>（设计、</w:t>
            </w:r>
          </w:p>
          <w:p>
            <w:pPr>
              <w:spacing w:before="112" w:line="180" w:lineRule="auto"/>
              <w:ind w:firstLine="98"/>
              <w:rPr>
                <w:rFonts w:ascii="方正书宋简体" w:hAnsi="方正书宋简体" w:eastAsia="方正书宋简体" w:cs="方正书宋简体"/>
                <w:sz w:val="21"/>
                <w:szCs w:val="21"/>
              </w:rPr>
            </w:pPr>
            <w:r>
              <w:rPr>
                <w:rFonts w:ascii="方正书宋简体" w:hAnsi="方正书宋简体" w:eastAsia="方正书宋简体" w:cs="方正书宋简体"/>
                <w:spacing w:val="-7"/>
                <w:sz w:val="21"/>
                <w:szCs w:val="21"/>
              </w:rPr>
              <w:t>综合训练）*</w:t>
            </w:r>
          </w:p>
        </w:tc>
        <w:tc>
          <w:tcPr>
            <w:tcW w:w="5151" w:type="dxa"/>
            <w:tcBorders>
              <w:bottom w:val="single" w:color="000000" w:sz="6" w:space="0"/>
            </w:tcBorders>
            <w:vAlign w:val="top"/>
          </w:tcPr>
          <w:p>
            <w:pPr>
              <w:spacing w:before="75" w:line="221" w:lineRule="auto"/>
              <w:ind w:left="101" w:right="98" w:firstLine="19"/>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1.</w:t>
            </w:r>
            <w:r>
              <w:rPr>
                <w:rFonts w:ascii="方正书宋简体" w:hAnsi="方正书宋简体" w:eastAsia="方正书宋简体" w:cs="方正书宋简体"/>
                <w:spacing w:val="8"/>
                <w:w w:val="101"/>
                <w:sz w:val="21"/>
                <w:szCs w:val="21"/>
              </w:rPr>
              <w:t xml:space="preserve">  </w:t>
            </w:r>
            <w:r>
              <w:rPr>
                <w:rFonts w:ascii="方正书宋简体" w:hAnsi="方正书宋简体" w:eastAsia="方正书宋简体" w:cs="方正书宋简体"/>
                <w:spacing w:val="1"/>
                <w:sz w:val="21"/>
                <w:szCs w:val="21"/>
              </w:rPr>
              <w:t>毕业论文（设计、综合训练）结合实际，体现专业</w:t>
            </w:r>
            <w:r>
              <w:rPr>
                <w:rFonts w:ascii="方正书宋简体" w:hAnsi="方正书宋简体" w:eastAsia="方正书宋简体" w:cs="方正书宋简体"/>
                <w:w w:val="101"/>
                <w:sz w:val="21"/>
                <w:szCs w:val="21"/>
              </w:rPr>
              <w:t xml:space="preserve"> </w:t>
            </w:r>
            <w:r>
              <w:rPr>
                <w:rFonts w:ascii="方正书宋简体" w:hAnsi="方正书宋简体" w:eastAsia="方正书宋简体" w:cs="方正书宋简体"/>
                <w:spacing w:val="-5"/>
                <w:sz w:val="21"/>
                <w:szCs w:val="21"/>
              </w:rPr>
              <w:t>人才培养要求；</w:t>
            </w:r>
          </w:p>
          <w:p>
            <w:pPr>
              <w:spacing w:before="100" w:line="228" w:lineRule="auto"/>
              <w:ind w:left="107" w:right="28" w:hanging="3"/>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2.有</w:t>
            </w:r>
            <w:r>
              <w:rPr>
                <w:rFonts w:ascii="方正书宋简体" w:hAnsi="方正书宋简体" w:eastAsia="方正书宋简体" w:cs="方正书宋简体"/>
                <w:spacing w:val="29"/>
                <w:sz w:val="21"/>
                <w:szCs w:val="21"/>
              </w:rPr>
              <w:t xml:space="preserve"> </w:t>
            </w:r>
            <w:r>
              <w:rPr>
                <w:rFonts w:ascii="方正书宋简体" w:hAnsi="方正书宋简体" w:eastAsia="方正书宋简体" w:cs="方正书宋简体"/>
                <w:spacing w:val="-5"/>
                <w:w w:val="99"/>
                <w:sz w:val="21"/>
                <w:szCs w:val="21"/>
              </w:rPr>
              <w:t>50%以上毕业论文（设计、综合训练）</w:t>
            </w:r>
            <w:r>
              <w:rPr>
                <w:rFonts w:ascii="方正书宋简体" w:hAnsi="方正书宋简体" w:eastAsia="方正书宋简体" w:cs="方正书宋简体"/>
                <w:spacing w:val="36"/>
                <w:w w:val="101"/>
                <w:sz w:val="21"/>
                <w:szCs w:val="21"/>
              </w:rPr>
              <w:t xml:space="preserve"> </w:t>
            </w:r>
            <w:r>
              <w:rPr>
                <w:rFonts w:ascii="方正书宋简体" w:hAnsi="方正书宋简体" w:eastAsia="方正书宋简体" w:cs="方正书宋简体"/>
                <w:spacing w:val="-5"/>
                <w:w w:val="99"/>
                <w:sz w:val="21"/>
                <w:szCs w:val="21"/>
              </w:rPr>
              <w:t>在实验、实</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10"/>
                <w:sz w:val="21"/>
                <w:szCs w:val="21"/>
              </w:rPr>
              <w:t>习、工程实践和社会调查等社会实践中完成，质量合格；</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2"/>
                <w:sz w:val="21"/>
                <w:szCs w:val="21"/>
              </w:rPr>
              <w:t>3.教师指导学生人数适当，指导规范，质量合格。</w:t>
            </w:r>
          </w:p>
        </w:tc>
        <w:tc>
          <w:tcPr>
            <w:tcW w:w="1854" w:type="dxa"/>
            <w:vMerge w:val="continue"/>
            <w:tcBorders>
              <w:top w:val="nil"/>
              <w:bottom w:val="single" w:color="000000" w:sz="6" w:space="0"/>
              <w:right w:val="single" w:color="000000" w:sz="6" w:space="0"/>
            </w:tcBorders>
            <w:vAlign w:val="top"/>
          </w:tcPr>
          <w:p>
            <w:pPr>
              <w:rPr>
                <w:rFonts w:ascii="Malgun Gothic"/>
                <w:sz w:val="21"/>
              </w:rPr>
            </w:pPr>
          </w:p>
        </w:tc>
      </w:tr>
    </w:tbl>
    <w:p>
      <w:pPr>
        <w:spacing w:line="437" w:lineRule="auto"/>
        <w:rPr>
          <w:rFonts w:ascii="Malgun Gothic"/>
          <w:sz w:val="21"/>
        </w:rPr>
      </w:pPr>
    </w:p>
    <w:p>
      <w:pPr>
        <w:spacing w:before="61" w:line="180" w:lineRule="auto"/>
        <w:ind w:firstLine="44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356</w:t>
      </w:r>
    </w:p>
    <w:p>
      <w:pPr>
        <w:sectPr>
          <w:footerReference r:id="rId360" w:type="default"/>
          <w:pgSz w:w="11905" w:h="16840"/>
          <w:pgMar w:top="1431" w:right="1399" w:bottom="400" w:left="1400" w:header="0" w:footer="0" w:gutter="0"/>
          <w:cols w:space="720" w:num="1"/>
        </w:sectPr>
      </w:pPr>
    </w:p>
    <w:p/>
    <w:p>
      <w:pPr>
        <w:spacing w:line="28" w:lineRule="exact"/>
      </w:pPr>
    </w:p>
    <w:tbl>
      <w:tblPr>
        <w:tblStyle w:val="4"/>
        <w:tblW w:w="9089"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1330"/>
        <w:gridCol w:w="5151"/>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754" w:type="dxa"/>
            <w:tcBorders>
              <w:top w:val="single" w:color="000000" w:sz="6" w:space="0"/>
              <w:left w:val="single" w:color="000000" w:sz="6" w:space="0"/>
            </w:tcBorders>
            <w:vAlign w:val="top"/>
          </w:tcPr>
          <w:p>
            <w:pPr>
              <w:spacing w:before="74" w:line="334" w:lineRule="exact"/>
              <w:ind w:firstLine="160"/>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position w:val="10"/>
                <w:sz w:val="21"/>
                <w:szCs w:val="21"/>
                <w14:textOutline w14:w="2667" w14:cap="flat" w14:cmpd="sng">
                  <w14:solidFill>
                    <w14:srgbClr w14:val="000000"/>
                  </w14:solidFill>
                  <w14:prstDash w14:val="solid"/>
                  <w14:miter w14:val="1"/>
                </w14:textOutline>
              </w:rPr>
              <w:t>一级</w:t>
            </w:r>
          </w:p>
          <w:p>
            <w:pPr>
              <w:spacing w:line="204" w:lineRule="auto"/>
              <w:ind w:firstLine="161"/>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14:textOutline w14:w="2667" w14:cap="flat" w14:cmpd="sng">
                  <w14:solidFill>
                    <w14:srgbClr w14:val="000000"/>
                  </w14:solidFill>
                  <w14:prstDash w14:val="solid"/>
                  <w14:miter w14:val="1"/>
                </w14:textOutline>
              </w:rPr>
              <w:t>指标</w:t>
            </w:r>
          </w:p>
        </w:tc>
        <w:tc>
          <w:tcPr>
            <w:tcW w:w="1330" w:type="dxa"/>
            <w:tcBorders>
              <w:top w:val="single" w:color="000000" w:sz="6" w:space="0"/>
            </w:tcBorders>
            <w:vAlign w:val="top"/>
          </w:tcPr>
          <w:p>
            <w:pPr>
              <w:spacing w:before="238" w:line="180" w:lineRule="auto"/>
              <w:ind w:firstLine="236"/>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二级指标</w:t>
            </w:r>
          </w:p>
        </w:tc>
        <w:tc>
          <w:tcPr>
            <w:tcW w:w="5151" w:type="dxa"/>
            <w:tcBorders>
              <w:top w:val="single" w:color="000000" w:sz="6" w:space="0"/>
            </w:tcBorders>
            <w:vAlign w:val="top"/>
          </w:tcPr>
          <w:p>
            <w:pPr>
              <w:spacing w:before="236" w:line="180" w:lineRule="auto"/>
              <w:ind w:firstLine="1676"/>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评</w:t>
            </w:r>
            <w:r>
              <w:rPr>
                <w:rFonts w:ascii="方正书宋简体" w:hAnsi="方正书宋简体" w:eastAsia="方正书宋简体" w:cs="方正书宋简体"/>
                <w:spacing w:val="4"/>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估</w:t>
            </w:r>
            <w:r>
              <w:rPr>
                <w:rFonts w:ascii="方正书宋简体" w:hAnsi="方正书宋简体" w:eastAsia="方正书宋简体" w:cs="方正书宋简体"/>
                <w:spacing w:val="4"/>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等</w:t>
            </w:r>
            <w:r>
              <w:rPr>
                <w:rFonts w:ascii="方正书宋简体" w:hAnsi="方正书宋简体" w:eastAsia="方正书宋简体" w:cs="方正书宋简体"/>
                <w:spacing w:val="5"/>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级</w:t>
            </w:r>
            <w:r>
              <w:rPr>
                <w:rFonts w:ascii="方正书宋简体" w:hAnsi="方正书宋简体" w:eastAsia="方正书宋简体" w:cs="方正书宋简体"/>
                <w:spacing w:val="2"/>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标</w:t>
            </w:r>
            <w:r>
              <w:rPr>
                <w:rFonts w:ascii="方正书宋简体" w:hAnsi="方正书宋简体" w:eastAsia="方正书宋简体" w:cs="方正书宋简体"/>
                <w:spacing w:val="5"/>
                <w:w w:val="101"/>
                <w:sz w:val="21"/>
                <w:szCs w:val="21"/>
              </w:rPr>
              <w:t xml:space="preserve">  </w:t>
            </w:r>
            <w:r>
              <w:rPr>
                <w:rFonts w:ascii="方正书宋简体" w:hAnsi="方正书宋简体" w:eastAsia="方正书宋简体" w:cs="方正书宋简体"/>
                <w:spacing w:val="-4"/>
                <w:sz w:val="21"/>
                <w:szCs w:val="21"/>
                <w14:textOutline w14:w="2667" w14:cap="flat" w14:cmpd="sng">
                  <w14:solidFill>
                    <w14:srgbClr w14:val="000000"/>
                  </w14:solidFill>
                  <w14:prstDash w14:val="solid"/>
                  <w14:miter w14:val="1"/>
                </w14:textOutline>
              </w:rPr>
              <w:t>准</w:t>
            </w:r>
          </w:p>
        </w:tc>
        <w:tc>
          <w:tcPr>
            <w:tcW w:w="1854" w:type="dxa"/>
            <w:tcBorders>
              <w:top w:val="single" w:color="000000" w:sz="6" w:space="0"/>
              <w:right w:val="single" w:color="000000" w:sz="6" w:space="0"/>
            </w:tcBorders>
            <w:vAlign w:val="top"/>
          </w:tcPr>
          <w:p>
            <w:pPr>
              <w:spacing w:before="236" w:line="180" w:lineRule="auto"/>
              <w:ind w:firstLine="71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14:textOutline w14:w="2667" w14:cap="flat" w14:cmpd="sng">
                  <w14:solidFill>
                    <w14:srgbClr w14:val="000000"/>
                  </w14:solidFill>
                  <w14:prstDash w14:val="solid"/>
                  <w14:miter w14:val="1"/>
                </w14:textOutli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754" w:type="dxa"/>
            <w:vMerge w:val="restart"/>
            <w:tcBorders>
              <w:left w:val="single" w:color="000000" w:sz="6" w:space="0"/>
              <w:bottom w:val="nil"/>
            </w:tcBorders>
            <w:vAlign w:val="top"/>
          </w:tcPr>
          <w:p>
            <w:pPr>
              <w:rPr>
                <w:rFonts w:ascii="Malgun Gothic"/>
                <w:sz w:val="21"/>
              </w:rPr>
            </w:pPr>
          </w:p>
        </w:tc>
        <w:tc>
          <w:tcPr>
            <w:tcW w:w="1330" w:type="dxa"/>
            <w:vAlign w:val="top"/>
          </w:tcPr>
          <w:p>
            <w:pPr>
              <w:spacing w:before="105"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5.3</w:t>
            </w:r>
          </w:p>
          <w:p>
            <w:pPr>
              <w:spacing w:before="84"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思想道德与</w:t>
            </w:r>
          </w:p>
          <w:p>
            <w:pPr>
              <w:spacing w:before="87" w:line="180" w:lineRule="auto"/>
              <w:ind w:firstLine="188"/>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身心素质*</w:t>
            </w:r>
          </w:p>
        </w:tc>
        <w:tc>
          <w:tcPr>
            <w:tcW w:w="5151" w:type="dxa"/>
            <w:vAlign w:val="top"/>
          </w:tcPr>
          <w:p>
            <w:pPr>
              <w:spacing w:before="58" w:line="236" w:lineRule="auto"/>
              <w:ind w:left="103" w:right="712" w:firstLine="17"/>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sz w:val="21"/>
                <w:szCs w:val="21"/>
              </w:rPr>
              <w:t>1.学生思想道德素质好，专业思想牢固；</w:t>
            </w:r>
            <w:r>
              <w:rPr>
                <w:rFonts w:ascii="方正书宋简体" w:hAnsi="方正书宋简体" w:eastAsia="方正书宋简体" w:cs="方正书宋简体"/>
                <w:spacing w:val="1"/>
                <w:sz w:val="21"/>
                <w:szCs w:val="21"/>
              </w:rPr>
              <w:t xml:space="preserve">             </w:t>
            </w:r>
            <w:r>
              <w:rPr>
                <w:rFonts w:ascii="方正书宋简体" w:hAnsi="方正书宋简体" w:eastAsia="方正书宋简体" w:cs="方正书宋简体"/>
                <w:spacing w:val="-3"/>
                <w:sz w:val="21"/>
                <w:szCs w:val="21"/>
              </w:rPr>
              <w:t>2.学生遵纪守法，诚实守信；</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2"/>
                <w:sz w:val="21"/>
                <w:szCs w:val="21"/>
              </w:rPr>
              <w:t>3.学生心理健康，体质健康标准合格率≥85％。</w:t>
            </w:r>
          </w:p>
        </w:tc>
        <w:tc>
          <w:tcPr>
            <w:tcW w:w="1854" w:type="dxa"/>
            <w:vMerge w:val="restart"/>
            <w:tcBorders>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754" w:type="dxa"/>
            <w:vMerge w:val="continue"/>
            <w:tcBorders>
              <w:top w:val="nil"/>
              <w:left w:val="single" w:color="000000" w:sz="6" w:space="0"/>
              <w:bottom w:val="nil"/>
            </w:tcBorders>
            <w:vAlign w:val="top"/>
          </w:tcPr>
          <w:p>
            <w:pPr>
              <w:rPr>
                <w:rFonts w:ascii="Malgun Gothic"/>
                <w:sz w:val="21"/>
              </w:rPr>
            </w:pPr>
          </w:p>
        </w:tc>
        <w:tc>
          <w:tcPr>
            <w:tcW w:w="1330" w:type="dxa"/>
            <w:vAlign w:val="top"/>
          </w:tcPr>
          <w:p>
            <w:pPr>
              <w:spacing w:before="100" w:line="180" w:lineRule="auto"/>
              <w:ind w:firstLine="529"/>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5.4</w:t>
            </w:r>
          </w:p>
          <w:p>
            <w:pPr>
              <w:spacing w:before="84" w:line="180" w:lineRule="auto"/>
              <w:ind w:firstLine="134"/>
              <w:rPr>
                <w:rFonts w:ascii="方正书宋简体" w:hAnsi="方正书宋简体" w:eastAsia="方正书宋简体" w:cs="方正书宋简体"/>
                <w:sz w:val="21"/>
                <w:szCs w:val="21"/>
              </w:rPr>
            </w:pPr>
            <w:r>
              <w:rPr>
                <w:rFonts w:ascii="方正书宋简体" w:hAnsi="方正书宋简体" w:eastAsia="方正书宋简体" w:cs="方正书宋简体"/>
                <w:spacing w:val="-1"/>
                <w:sz w:val="21"/>
                <w:szCs w:val="21"/>
              </w:rPr>
              <w:t>学生满意度</w:t>
            </w:r>
          </w:p>
        </w:tc>
        <w:tc>
          <w:tcPr>
            <w:tcW w:w="5151" w:type="dxa"/>
            <w:vAlign w:val="top"/>
          </w:tcPr>
          <w:p>
            <w:pPr>
              <w:spacing w:before="82" w:line="203" w:lineRule="auto"/>
              <w:ind w:left="106" w:right="98" w:firstLine="14"/>
              <w:rPr>
                <w:rFonts w:ascii="方正书宋简体" w:hAnsi="方正书宋简体" w:eastAsia="方正书宋简体" w:cs="方正书宋简体"/>
                <w:sz w:val="21"/>
                <w:szCs w:val="21"/>
              </w:rPr>
            </w:pPr>
            <w:r>
              <w:rPr>
                <w:rFonts w:ascii="方正书宋简体" w:hAnsi="方正书宋简体" w:eastAsia="方正书宋简体" w:cs="方正书宋简体"/>
                <w:spacing w:val="-5"/>
                <w:w w:val="99"/>
                <w:sz w:val="21"/>
                <w:szCs w:val="21"/>
              </w:rPr>
              <w:t>1.随机抽样调查学生，</w:t>
            </w:r>
            <w:r>
              <w:rPr>
                <w:rFonts w:ascii="方正书宋简体" w:hAnsi="方正书宋简体" w:eastAsia="方正书宋简体" w:cs="方正书宋简体"/>
                <w:spacing w:val="58"/>
                <w:sz w:val="21"/>
                <w:szCs w:val="21"/>
              </w:rPr>
              <w:t xml:space="preserve"> </w:t>
            </w:r>
            <w:r>
              <w:rPr>
                <w:rFonts w:ascii="方正书宋简体" w:hAnsi="方正书宋简体" w:eastAsia="方正书宋简体" w:cs="方正书宋简体"/>
                <w:spacing w:val="-5"/>
                <w:w w:val="99"/>
                <w:sz w:val="21"/>
                <w:szCs w:val="21"/>
              </w:rPr>
              <w:t>对教学工作满意和基本满意的≥</w:t>
            </w:r>
            <w:r>
              <w:rPr>
                <w:rFonts w:ascii="方正书宋简体" w:hAnsi="方正书宋简体" w:eastAsia="方正书宋简体" w:cs="方正书宋简体"/>
                <w:sz w:val="21"/>
                <w:szCs w:val="21"/>
              </w:rPr>
              <w:t xml:space="preserve"> </w:t>
            </w:r>
            <w:r>
              <w:rPr>
                <w:rFonts w:ascii="方正书宋简体" w:hAnsi="方正书宋简体" w:eastAsia="方正书宋简体" w:cs="方正书宋简体"/>
                <w:spacing w:val="-6"/>
                <w:sz w:val="21"/>
                <w:szCs w:val="21"/>
              </w:rPr>
              <w:t>80％。</w:t>
            </w:r>
          </w:p>
        </w:tc>
        <w:tc>
          <w:tcPr>
            <w:tcW w:w="1854" w:type="dxa"/>
            <w:vMerge w:val="continue"/>
            <w:tcBorders>
              <w:top w:val="nil"/>
              <w:bottom w:val="nil"/>
              <w:right w:val="single" w:color="000000" w:sz="6" w:space="0"/>
            </w:tcBorders>
            <w:vAlign w:val="top"/>
          </w:tcPr>
          <w:p>
            <w:pPr>
              <w:rPr>
                <w:rFonts w:ascii="Malgun Gothic"/>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754" w:type="dxa"/>
            <w:vMerge w:val="continue"/>
            <w:tcBorders>
              <w:top w:val="nil"/>
              <w:left w:val="single" w:color="000000" w:sz="6" w:space="0"/>
              <w:bottom w:val="single" w:color="000000" w:sz="6" w:space="0"/>
            </w:tcBorders>
            <w:vAlign w:val="top"/>
          </w:tcPr>
          <w:p>
            <w:pPr>
              <w:rPr>
                <w:rFonts w:ascii="Malgun Gothic"/>
                <w:sz w:val="21"/>
              </w:rPr>
            </w:pPr>
          </w:p>
        </w:tc>
        <w:tc>
          <w:tcPr>
            <w:tcW w:w="1330" w:type="dxa"/>
            <w:tcBorders>
              <w:bottom w:val="single" w:color="000000" w:sz="6" w:space="0"/>
            </w:tcBorders>
            <w:vAlign w:val="top"/>
          </w:tcPr>
          <w:p>
            <w:pPr>
              <w:spacing w:before="107" w:line="180" w:lineRule="auto"/>
              <w:ind w:firstLine="577"/>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5.5</w:t>
            </w:r>
          </w:p>
          <w:p>
            <w:pPr>
              <w:spacing w:before="84" w:line="180" w:lineRule="auto"/>
              <w:ind w:firstLine="135"/>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生源与就业</w:t>
            </w:r>
          </w:p>
        </w:tc>
        <w:tc>
          <w:tcPr>
            <w:tcW w:w="5151" w:type="dxa"/>
            <w:tcBorders>
              <w:bottom w:val="single" w:color="000000" w:sz="6" w:space="0"/>
            </w:tcBorders>
            <w:vAlign w:val="top"/>
          </w:tcPr>
          <w:p>
            <w:pPr>
              <w:spacing w:before="73" w:line="341" w:lineRule="exact"/>
              <w:ind w:firstLine="121"/>
              <w:rPr>
                <w:rFonts w:ascii="方正书宋简体" w:hAnsi="方正书宋简体" w:eastAsia="方正书宋简体" w:cs="方正书宋简体"/>
                <w:sz w:val="21"/>
                <w:szCs w:val="21"/>
              </w:rPr>
            </w:pPr>
            <w:r>
              <w:rPr>
                <w:rFonts w:ascii="方正书宋简体" w:hAnsi="方正书宋简体" w:eastAsia="方正书宋简体" w:cs="方正书宋简体"/>
                <w:spacing w:val="-4"/>
                <w:position w:val="8"/>
                <w:sz w:val="21"/>
                <w:szCs w:val="21"/>
              </w:rPr>
              <w:t>1.生源较稳定，有适当的办学规模；</w:t>
            </w:r>
          </w:p>
          <w:p>
            <w:pPr>
              <w:spacing w:before="1" w:line="204" w:lineRule="auto"/>
              <w:ind w:firstLine="103"/>
              <w:rPr>
                <w:rFonts w:ascii="方正书宋简体" w:hAnsi="方正书宋简体" w:eastAsia="方正书宋简体" w:cs="方正书宋简体"/>
                <w:sz w:val="21"/>
                <w:szCs w:val="21"/>
              </w:rPr>
            </w:pPr>
            <w:r>
              <w:rPr>
                <w:rFonts w:ascii="方正书宋简体" w:hAnsi="方正书宋简体" w:eastAsia="方正书宋简体" w:cs="方正书宋简体"/>
                <w:spacing w:val="-2"/>
                <w:sz w:val="21"/>
                <w:szCs w:val="21"/>
              </w:rPr>
              <w:t>2.毕业生社会需求情况较好。</w:t>
            </w:r>
          </w:p>
        </w:tc>
        <w:tc>
          <w:tcPr>
            <w:tcW w:w="1854" w:type="dxa"/>
            <w:vMerge w:val="continue"/>
            <w:tcBorders>
              <w:top w:val="nil"/>
              <w:bottom w:val="single" w:color="000000" w:sz="6" w:space="0"/>
              <w:right w:val="single" w:color="000000" w:sz="6" w:space="0"/>
            </w:tcBorders>
            <w:vAlign w:val="top"/>
          </w:tcPr>
          <w:p>
            <w:pPr>
              <w:rPr>
                <w:rFonts w:ascii="Malgun Gothic"/>
                <w:sz w:val="21"/>
              </w:rPr>
            </w:pPr>
          </w:p>
        </w:tc>
      </w:tr>
    </w:tbl>
    <w:p>
      <w:pPr>
        <w:spacing w:before="145" w:line="180" w:lineRule="auto"/>
        <w:ind w:firstLine="684"/>
        <w:rPr>
          <w:rFonts w:ascii="Microsoft JhengHei" w:hAnsi="Microsoft JhengHei" w:eastAsia="Microsoft JhengHei" w:cs="Microsoft JhengHei"/>
          <w:sz w:val="24"/>
          <w:szCs w:val="24"/>
        </w:rPr>
      </w:pPr>
      <w:r>
        <w:rPr>
          <w:rFonts w:ascii="Microsoft JhengHei" w:hAnsi="Microsoft JhengHei" w:eastAsia="Microsoft JhengHei" w:cs="Microsoft JhengHei"/>
          <w:spacing w:val="-2"/>
          <w:sz w:val="24"/>
          <w:szCs w:val="24"/>
        </w:rPr>
        <w:t>三、评估结论及其标准</w:t>
      </w:r>
    </w:p>
    <w:p>
      <w:pPr>
        <w:spacing w:before="145" w:line="304" w:lineRule="auto"/>
        <w:ind w:left="193" w:right="206" w:firstLine="463"/>
        <w:rPr>
          <w:rFonts w:ascii="方正书宋简体" w:hAnsi="方正书宋简体" w:eastAsia="方正书宋简体" w:cs="方正书宋简体"/>
          <w:sz w:val="24"/>
          <w:szCs w:val="24"/>
        </w:rPr>
      </w:pPr>
      <w:r>
        <w:rPr>
          <w:rFonts w:ascii="方正书宋简体" w:hAnsi="方正书宋简体" w:eastAsia="方正书宋简体" w:cs="方正书宋简体"/>
          <w:spacing w:val="-21"/>
          <w:sz w:val="24"/>
          <w:szCs w:val="24"/>
        </w:rPr>
        <w:t>（一）本方案二级指标共</w:t>
      </w:r>
      <w:r>
        <w:rPr>
          <w:rFonts w:ascii="方正书宋简体" w:hAnsi="方正书宋简体" w:eastAsia="方正书宋简体" w:cs="方正书宋简体"/>
          <w:spacing w:val="-1"/>
          <w:sz w:val="24"/>
          <w:szCs w:val="24"/>
        </w:rPr>
        <w:t xml:space="preserve"> </w:t>
      </w:r>
      <w:r>
        <w:rPr>
          <w:rFonts w:ascii="方正书宋简体" w:hAnsi="方正书宋简体" w:eastAsia="方正书宋简体" w:cs="方正书宋简体"/>
          <w:spacing w:val="-21"/>
          <w:sz w:val="24"/>
          <w:szCs w:val="24"/>
        </w:rPr>
        <w:t>20</w:t>
      </w:r>
      <w:r>
        <w:rPr>
          <w:rFonts w:ascii="方正书宋简体" w:hAnsi="方正书宋简体" w:eastAsia="方正书宋简体" w:cs="方正书宋简体"/>
          <w:spacing w:val="-5"/>
          <w:sz w:val="24"/>
          <w:szCs w:val="24"/>
        </w:rPr>
        <w:t xml:space="preserve"> </w:t>
      </w:r>
      <w:r>
        <w:rPr>
          <w:rFonts w:ascii="方正书宋简体" w:hAnsi="方正书宋简体" w:eastAsia="方正书宋简体" w:cs="方正书宋简体"/>
          <w:spacing w:val="-21"/>
          <w:sz w:val="24"/>
          <w:szCs w:val="24"/>
        </w:rPr>
        <w:t>项，</w:t>
      </w:r>
      <w:r>
        <w:rPr>
          <w:rFonts w:ascii="方正书宋简体" w:hAnsi="方正书宋简体" w:eastAsia="方正书宋简体" w:cs="方正书宋简体"/>
          <w:spacing w:val="13"/>
          <w:w w:val="101"/>
          <w:sz w:val="24"/>
          <w:szCs w:val="24"/>
        </w:rPr>
        <w:t xml:space="preserve">  </w:t>
      </w:r>
      <w:r>
        <w:rPr>
          <w:rFonts w:ascii="方正书宋简体" w:hAnsi="方正书宋简体" w:eastAsia="方正书宋简体" w:cs="方正书宋简体"/>
          <w:spacing w:val="-21"/>
          <w:sz w:val="24"/>
          <w:szCs w:val="24"/>
        </w:rPr>
        <w:t>其中带＊的为重要指标</w:t>
      </w:r>
      <w:r>
        <w:rPr>
          <w:rFonts w:ascii="方正书宋简体" w:hAnsi="方正书宋简体" w:eastAsia="方正书宋简体" w:cs="方正书宋简体"/>
          <w:spacing w:val="8"/>
          <w:w w:val="101"/>
          <w:sz w:val="24"/>
          <w:szCs w:val="24"/>
        </w:rPr>
        <w:t xml:space="preserve"> </w:t>
      </w:r>
      <w:r>
        <w:rPr>
          <w:rFonts w:ascii="方正书宋简体" w:hAnsi="方正书宋简体" w:eastAsia="方正书宋简体" w:cs="方正书宋简体"/>
          <w:spacing w:val="-21"/>
          <w:sz w:val="24"/>
          <w:szCs w:val="24"/>
        </w:rPr>
        <w:t>10</w:t>
      </w:r>
      <w:r>
        <w:rPr>
          <w:rFonts w:ascii="方正书宋简体" w:hAnsi="方正书宋简体" w:eastAsia="方正书宋简体" w:cs="方正书宋简体"/>
          <w:spacing w:val="-7"/>
          <w:sz w:val="24"/>
          <w:szCs w:val="24"/>
        </w:rPr>
        <w:t xml:space="preserve"> </w:t>
      </w:r>
      <w:r>
        <w:rPr>
          <w:rFonts w:ascii="方正书宋简体" w:hAnsi="方正书宋简体" w:eastAsia="方正书宋简体" w:cs="方正书宋简体"/>
          <w:spacing w:val="-21"/>
          <w:sz w:val="24"/>
          <w:szCs w:val="24"/>
        </w:rPr>
        <w:t>项，</w:t>
      </w:r>
      <w:r>
        <w:rPr>
          <w:rFonts w:ascii="方正书宋简体" w:hAnsi="方正书宋简体" w:eastAsia="方正书宋简体" w:cs="方正书宋简体"/>
          <w:spacing w:val="14"/>
          <w:w w:val="101"/>
          <w:sz w:val="24"/>
          <w:szCs w:val="24"/>
        </w:rPr>
        <w:t xml:space="preserve">  </w:t>
      </w:r>
      <w:r>
        <w:rPr>
          <w:rFonts w:ascii="方正书宋简体" w:hAnsi="方正书宋简体" w:eastAsia="方正书宋简体" w:cs="方正书宋简体"/>
          <w:spacing w:val="-21"/>
          <w:sz w:val="24"/>
          <w:szCs w:val="24"/>
        </w:rPr>
        <w:t>一般指标</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21"/>
          <w:sz w:val="24"/>
          <w:szCs w:val="24"/>
        </w:rPr>
        <w:t>10</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21"/>
          <w:sz w:val="24"/>
          <w:szCs w:val="24"/>
        </w:rPr>
        <w:t>项。二</w:t>
      </w:r>
      <w:r>
        <w:rPr>
          <w:rFonts w:ascii="方正书宋简体" w:hAnsi="方正书宋简体" w:eastAsia="方正书宋简体" w:cs="方正书宋简体"/>
          <w:sz w:val="24"/>
          <w:szCs w:val="24"/>
        </w:rPr>
        <w:t xml:space="preserve"> </w:t>
      </w:r>
      <w:r>
        <w:rPr>
          <w:rFonts w:ascii="方正书宋简体" w:hAnsi="方正书宋简体" w:eastAsia="方正书宋简体" w:cs="方正书宋简体"/>
          <w:spacing w:val="-14"/>
          <w:w w:val="99"/>
          <w:sz w:val="24"/>
          <w:szCs w:val="24"/>
        </w:rPr>
        <w:t>级指标的评估等级分为</w:t>
      </w:r>
      <w:r>
        <w:rPr>
          <w:rFonts w:ascii="方正书宋简体" w:hAnsi="方正书宋简体" w:eastAsia="方正书宋简体" w:cs="方正书宋简体"/>
          <w:spacing w:val="60"/>
          <w:sz w:val="24"/>
          <w:szCs w:val="24"/>
        </w:rPr>
        <w:t xml:space="preserve"> </w:t>
      </w:r>
      <w:r>
        <w:rPr>
          <w:rFonts w:ascii="方正书宋简体" w:hAnsi="方正书宋简体" w:eastAsia="方正书宋简体" w:cs="方正书宋简体"/>
          <w:spacing w:val="-14"/>
          <w:w w:val="99"/>
          <w:sz w:val="24"/>
          <w:szCs w:val="24"/>
        </w:rPr>
        <w:t>A、B</w:t>
      </w:r>
      <w:r>
        <w:rPr>
          <w:rFonts w:ascii="方正书宋简体" w:hAnsi="方正书宋简体" w:eastAsia="方正书宋简体" w:cs="方正书宋简体"/>
          <w:spacing w:val="7"/>
          <w:w w:val="101"/>
          <w:sz w:val="24"/>
          <w:szCs w:val="24"/>
        </w:rPr>
        <w:t xml:space="preserve"> </w:t>
      </w:r>
      <w:r>
        <w:rPr>
          <w:rFonts w:ascii="方正书宋简体" w:hAnsi="方正书宋简体" w:eastAsia="方正书宋简体" w:cs="方正书宋简体"/>
          <w:spacing w:val="-14"/>
          <w:w w:val="99"/>
          <w:sz w:val="24"/>
          <w:szCs w:val="24"/>
        </w:rPr>
        <w:t>两等，符合评估等级标准的为</w:t>
      </w:r>
      <w:r>
        <w:rPr>
          <w:rFonts w:ascii="方正书宋简体" w:hAnsi="方正书宋简体" w:eastAsia="方正书宋简体" w:cs="方正书宋简体"/>
          <w:spacing w:val="-14"/>
          <w:sz w:val="24"/>
          <w:szCs w:val="24"/>
        </w:rPr>
        <w:t xml:space="preserve"> </w:t>
      </w:r>
      <w:r>
        <w:rPr>
          <w:rFonts w:ascii="方正书宋简体" w:hAnsi="方正书宋简体" w:eastAsia="方正书宋简体" w:cs="方正书宋简体"/>
          <w:spacing w:val="-14"/>
          <w:w w:val="99"/>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4"/>
          <w:w w:val="99"/>
          <w:sz w:val="24"/>
          <w:szCs w:val="24"/>
        </w:rPr>
        <w:t>等，低于</w:t>
      </w:r>
      <w:r>
        <w:rPr>
          <w:rFonts w:ascii="方正书宋简体" w:hAnsi="方正书宋简体" w:eastAsia="方正书宋简体" w:cs="方正书宋简体"/>
          <w:spacing w:val="-3"/>
          <w:sz w:val="24"/>
          <w:szCs w:val="24"/>
        </w:rPr>
        <w:t xml:space="preserve"> </w:t>
      </w:r>
      <w:r>
        <w:rPr>
          <w:rFonts w:ascii="方正书宋简体" w:hAnsi="方正书宋简体" w:eastAsia="方正书宋简体" w:cs="方正书宋简体"/>
          <w:spacing w:val="-14"/>
          <w:w w:val="99"/>
          <w:sz w:val="24"/>
          <w:szCs w:val="24"/>
        </w:rPr>
        <w:t>A</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4"/>
          <w:w w:val="99"/>
          <w:sz w:val="24"/>
          <w:szCs w:val="24"/>
        </w:rPr>
        <w:t>等的为</w:t>
      </w:r>
      <w:r>
        <w:rPr>
          <w:rFonts w:ascii="方正书宋简体" w:hAnsi="方正书宋简体" w:eastAsia="方正书宋简体" w:cs="方正书宋简体"/>
          <w:spacing w:val="-8"/>
          <w:sz w:val="24"/>
          <w:szCs w:val="24"/>
        </w:rPr>
        <w:t xml:space="preserve"> </w:t>
      </w:r>
      <w:r>
        <w:rPr>
          <w:rFonts w:ascii="方正书宋简体" w:hAnsi="方正书宋简体" w:eastAsia="方正书宋简体" w:cs="方正书宋简体"/>
          <w:spacing w:val="-14"/>
          <w:w w:val="99"/>
          <w:sz w:val="24"/>
          <w:szCs w:val="24"/>
        </w:rPr>
        <w:t>B</w:t>
      </w:r>
      <w:r>
        <w:rPr>
          <w:rFonts w:ascii="方正书宋简体" w:hAnsi="方正书宋简体" w:eastAsia="方正书宋简体" w:cs="方正书宋简体"/>
          <w:spacing w:val="-4"/>
          <w:sz w:val="24"/>
          <w:szCs w:val="24"/>
        </w:rPr>
        <w:t xml:space="preserve"> </w:t>
      </w:r>
      <w:r>
        <w:rPr>
          <w:rFonts w:ascii="方正书宋简体" w:hAnsi="方正书宋简体" w:eastAsia="方正书宋简体" w:cs="方正书宋简体"/>
          <w:spacing w:val="-14"/>
          <w:w w:val="99"/>
          <w:sz w:val="24"/>
          <w:szCs w:val="24"/>
        </w:rPr>
        <w:t>等。</w:t>
      </w:r>
    </w:p>
    <w:p>
      <w:pPr>
        <w:spacing w:before="39" w:line="450" w:lineRule="exact"/>
        <w:ind w:firstLine="656"/>
        <w:rPr>
          <w:rFonts w:ascii="方正书宋简体" w:hAnsi="方正书宋简体" w:eastAsia="方正书宋简体" w:cs="方正书宋简体"/>
          <w:sz w:val="24"/>
          <w:szCs w:val="24"/>
        </w:rPr>
      </w:pPr>
      <w:r>
        <w:rPr>
          <w:rFonts w:ascii="方正书宋简体" w:hAnsi="方正书宋简体" w:eastAsia="方正书宋简体" w:cs="方正书宋简体"/>
          <w:spacing w:val="-1"/>
          <w:position w:val="16"/>
          <w:sz w:val="24"/>
          <w:szCs w:val="24"/>
        </w:rPr>
        <w:t>（二）评估结论分为三种：合格、基本合格、不合格。</w:t>
      </w:r>
    </w:p>
    <w:p>
      <w:pPr>
        <w:spacing w:before="1" w:line="204" w:lineRule="auto"/>
        <w:ind w:firstLine="671"/>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合格标准：</w:t>
      </w:r>
      <w:r>
        <w:rPr>
          <w:rFonts w:ascii="方正书宋简体" w:hAnsi="方正书宋简体" w:eastAsia="方正书宋简体" w:cs="方正书宋简体"/>
          <w:spacing w:val="15"/>
          <w:w w:val="101"/>
          <w:sz w:val="24"/>
          <w:szCs w:val="24"/>
        </w:rPr>
        <w:t xml:space="preserve">    </w:t>
      </w:r>
      <w:r>
        <w:rPr>
          <w:rFonts w:ascii="方正书宋简体" w:hAnsi="方正书宋简体" w:eastAsia="方正书宋简体" w:cs="方正书宋简体"/>
          <w:spacing w:val="-11"/>
          <w:sz w:val="24"/>
          <w:szCs w:val="24"/>
        </w:rPr>
        <w:t>A≥16</w:t>
      </w:r>
      <w:r>
        <w:rPr>
          <w:rFonts w:ascii="方正书宋简体" w:hAnsi="方正书宋简体" w:eastAsia="方正书宋简体" w:cs="方正书宋简体"/>
          <w:spacing w:val="3"/>
          <w:w w:val="101"/>
          <w:sz w:val="24"/>
          <w:szCs w:val="24"/>
        </w:rPr>
        <w:t xml:space="preserve"> </w:t>
      </w:r>
      <w:r>
        <w:rPr>
          <w:rFonts w:ascii="方正书宋简体" w:hAnsi="方正书宋简体" w:eastAsia="方正书宋简体" w:cs="方正书宋简体"/>
          <w:spacing w:val="-11"/>
          <w:sz w:val="24"/>
          <w:szCs w:val="24"/>
        </w:rPr>
        <w:t>并且重要指标</w:t>
      </w:r>
      <w:r>
        <w:rPr>
          <w:rFonts w:ascii="方正书宋简体" w:hAnsi="方正书宋简体" w:eastAsia="方正书宋简体" w:cs="方正书宋简体"/>
          <w:spacing w:val="6"/>
          <w:w w:val="101"/>
          <w:sz w:val="24"/>
          <w:szCs w:val="24"/>
        </w:rPr>
        <w:t xml:space="preserve"> </w:t>
      </w:r>
      <w:r>
        <w:rPr>
          <w:rFonts w:ascii="方正书宋简体" w:hAnsi="方正书宋简体" w:eastAsia="方正书宋简体" w:cs="方正书宋简体"/>
          <w:spacing w:val="-11"/>
          <w:sz w:val="24"/>
          <w:szCs w:val="24"/>
        </w:rPr>
        <w:t>A≥8。</w:t>
      </w:r>
    </w:p>
    <w:p>
      <w:pPr>
        <w:spacing w:before="152" w:line="456" w:lineRule="exact"/>
        <w:ind w:firstLine="647"/>
        <w:rPr>
          <w:rFonts w:ascii="方正书宋简体" w:hAnsi="方正书宋简体" w:eastAsia="方正书宋简体" w:cs="方正书宋简体"/>
          <w:sz w:val="24"/>
          <w:szCs w:val="24"/>
        </w:rPr>
      </w:pPr>
      <w:r>
        <w:rPr>
          <w:rFonts w:ascii="方正书宋简体" w:hAnsi="方正书宋简体" w:eastAsia="方正书宋简体" w:cs="方正书宋简体"/>
          <w:spacing w:val="-17"/>
          <w:position w:val="15"/>
          <w:sz w:val="24"/>
          <w:szCs w:val="24"/>
        </w:rPr>
        <w:t>基本合格标准：</w:t>
      </w:r>
      <w:r>
        <w:rPr>
          <w:rFonts w:ascii="方正书宋简体" w:hAnsi="方正书宋简体" w:eastAsia="方正书宋简体" w:cs="方正书宋简体"/>
          <w:spacing w:val="12"/>
          <w:w w:val="101"/>
          <w:position w:val="15"/>
          <w:sz w:val="24"/>
          <w:szCs w:val="24"/>
        </w:rPr>
        <w:t xml:space="preserve">    </w:t>
      </w:r>
      <w:r>
        <w:rPr>
          <w:rFonts w:ascii="方正书宋简体" w:hAnsi="方正书宋简体" w:eastAsia="方正书宋简体" w:cs="方正书宋简体"/>
          <w:spacing w:val="-17"/>
          <w:position w:val="15"/>
          <w:sz w:val="24"/>
          <w:szCs w:val="24"/>
        </w:rPr>
        <w:t>A≥12</w:t>
      </w:r>
      <w:r>
        <w:rPr>
          <w:rFonts w:ascii="方正书宋简体" w:hAnsi="方正书宋简体" w:eastAsia="方正书宋简体" w:cs="方正书宋简体"/>
          <w:spacing w:val="-5"/>
          <w:position w:val="15"/>
          <w:sz w:val="24"/>
          <w:szCs w:val="24"/>
        </w:rPr>
        <w:t xml:space="preserve"> </w:t>
      </w:r>
      <w:r>
        <w:rPr>
          <w:rFonts w:ascii="方正书宋简体" w:hAnsi="方正书宋简体" w:eastAsia="方正书宋简体" w:cs="方正书宋简体"/>
          <w:spacing w:val="-17"/>
          <w:position w:val="15"/>
          <w:sz w:val="24"/>
          <w:szCs w:val="24"/>
        </w:rPr>
        <w:t>并且重要指标</w:t>
      </w:r>
      <w:r>
        <w:rPr>
          <w:rFonts w:ascii="方正书宋简体" w:hAnsi="方正书宋简体" w:eastAsia="方正书宋简体" w:cs="方正书宋简体"/>
          <w:spacing w:val="-9"/>
          <w:position w:val="15"/>
          <w:sz w:val="24"/>
          <w:szCs w:val="24"/>
        </w:rPr>
        <w:t xml:space="preserve"> </w:t>
      </w:r>
      <w:r>
        <w:rPr>
          <w:rFonts w:ascii="方正书宋简体" w:hAnsi="方正书宋简体" w:eastAsia="方正书宋简体" w:cs="方正书宋简体"/>
          <w:spacing w:val="-17"/>
          <w:position w:val="15"/>
          <w:sz w:val="24"/>
          <w:szCs w:val="24"/>
        </w:rPr>
        <w:t>A≥6，未达到合格标准。</w:t>
      </w:r>
    </w:p>
    <w:p>
      <w:pPr>
        <w:spacing w:before="1" w:line="204" w:lineRule="auto"/>
        <w:ind w:firstLine="672"/>
        <w:rPr>
          <w:rFonts w:ascii="方正书宋简体" w:hAnsi="方正书宋简体" w:eastAsia="方正书宋简体" w:cs="方正书宋简体"/>
          <w:sz w:val="24"/>
          <w:szCs w:val="24"/>
        </w:rPr>
      </w:pPr>
      <w:r>
        <w:rPr>
          <w:rFonts w:ascii="方正书宋简体" w:hAnsi="方正书宋简体" w:eastAsia="方正书宋简体" w:cs="方正书宋简体"/>
          <w:spacing w:val="-11"/>
          <w:sz w:val="24"/>
          <w:szCs w:val="24"/>
        </w:rPr>
        <w:t>不合格标准：</w:t>
      </w:r>
      <w:r>
        <w:rPr>
          <w:rFonts w:ascii="方正书宋简体" w:hAnsi="方正书宋简体" w:eastAsia="方正书宋简体" w:cs="方正书宋简体"/>
          <w:spacing w:val="16"/>
          <w:w w:val="101"/>
          <w:sz w:val="24"/>
          <w:szCs w:val="24"/>
        </w:rPr>
        <w:t xml:space="preserve">    </w:t>
      </w:r>
      <w:r>
        <w:rPr>
          <w:rFonts w:ascii="方正书宋简体" w:hAnsi="方正书宋简体" w:eastAsia="方正书宋简体" w:cs="方正书宋简体"/>
          <w:spacing w:val="-11"/>
          <w:sz w:val="24"/>
          <w:szCs w:val="24"/>
        </w:rPr>
        <w:t>A＜12</w:t>
      </w:r>
      <w:r>
        <w:rPr>
          <w:rFonts w:ascii="方正书宋简体" w:hAnsi="方正书宋简体" w:eastAsia="方正书宋简体" w:cs="方正书宋简体"/>
          <w:spacing w:val="9"/>
          <w:sz w:val="24"/>
          <w:szCs w:val="24"/>
        </w:rPr>
        <w:t xml:space="preserve"> </w:t>
      </w:r>
      <w:r>
        <w:rPr>
          <w:rFonts w:ascii="方正书宋简体" w:hAnsi="方正书宋简体" w:eastAsia="方正书宋简体" w:cs="方正书宋简体"/>
          <w:spacing w:val="-11"/>
          <w:sz w:val="24"/>
          <w:szCs w:val="24"/>
        </w:rPr>
        <w:t>或者重要指标</w:t>
      </w:r>
      <w:r>
        <w:rPr>
          <w:rFonts w:ascii="方正书宋简体" w:hAnsi="方正书宋简体" w:eastAsia="方正书宋简体" w:cs="方正书宋简体"/>
          <w:spacing w:val="6"/>
          <w:sz w:val="24"/>
          <w:szCs w:val="24"/>
        </w:rPr>
        <w:t xml:space="preserve"> </w:t>
      </w:r>
      <w:r>
        <w:rPr>
          <w:rFonts w:ascii="方正书宋简体" w:hAnsi="方正书宋简体" w:eastAsia="方正书宋简体" w:cs="方正书宋简体"/>
          <w:spacing w:val="-11"/>
          <w:sz w:val="24"/>
          <w:szCs w:val="24"/>
        </w:rPr>
        <w:t>A＜6。</w:t>
      </w:r>
    </w:p>
    <w:p>
      <w:pPr>
        <w:rPr>
          <w:rFonts w:ascii="Malgun Gothic"/>
          <w:sz w:val="21"/>
        </w:rPr>
      </w:pPr>
    </w:p>
    <w:p>
      <w:pPr>
        <w:rPr>
          <w:rFonts w:ascii="Malgun Gothic"/>
          <w:sz w:val="21"/>
        </w:rPr>
      </w:pPr>
    </w:p>
    <w:p>
      <w:pPr>
        <w:rPr>
          <w:rFonts w:ascii="Malgun Gothic"/>
          <w:sz w:val="21"/>
        </w:rPr>
      </w:pPr>
    </w:p>
    <w:p>
      <w:pPr>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line="241" w:lineRule="auto"/>
        <w:rPr>
          <w:rFonts w:ascii="Malgun Gothic"/>
          <w:sz w:val="21"/>
        </w:rPr>
      </w:pPr>
    </w:p>
    <w:p>
      <w:pPr>
        <w:spacing w:before="60" w:line="180" w:lineRule="auto"/>
        <w:ind w:firstLine="440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357</w:t>
      </w:r>
    </w:p>
    <w:sectPr>
      <w:footerReference r:id="rId361" w:type="default"/>
      <w:pgSz w:w="11905" w:h="16840"/>
      <w:pgMar w:top="1431" w:right="1399" w:bottom="400" w:left="14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Microsoft JhengHei">
    <w:panose1 w:val="020B0604030504040204"/>
    <w:charset w:val="88"/>
    <w:family w:val="auto"/>
    <w:pitch w:val="default"/>
    <w:sig w:usb0="000002A7" w:usb1="28CF4400" w:usb2="00000016" w:usb3="00000000" w:csb0="00100009" w:csb1="00000000"/>
  </w:font>
  <w:font w:name="Malgun Gothic">
    <w:panose1 w:val="020B0503020000020004"/>
    <w:charset w:val="81"/>
    <w:family w:val="auto"/>
    <w:pitch w:val="default"/>
    <w:sig w:usb0="9000002F" w:usb1="29D77CFB" w:usb2="00000012" w:usb3="00000000" w:csb0="00080001" w:csb1="00000000"/>
  </w:font>
  <w:font w:name="方正书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462"/>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8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85"/>
      <w:rPr>
        <w:rFonts w:ascii="Times New Roman" w:hAnsi="Times New Roman" w:eastAsia="Times New Roman" w:cs="Times New Roman"/>
        <w:sz w:val="21"/>
        <w:szCs w:val="21"/>
      </w:rPr>
    </w:pPr>
    <w:r>
      <w:rPr>
        <w:rFonts w:ascii="Times New Roman" w:hAnsi="Times New Roman" w:eastAsia="Times New Roman" w:cs="Times New Roman"/>
        <w:spacing w:val="-9"/>
        <w:position w:val="-3"/>
        <w:sz w:val="21"/>
        <w:szCs w:val="21"/>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8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80"/>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131</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132</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133</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134</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135</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136</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137</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138</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139</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83"/>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141</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49"/>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142</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143</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144</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145</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146</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147</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5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148</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7"/>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149</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81"/>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15</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6"/>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150</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151</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152</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153</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9"/>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155</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156</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157</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158</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159</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4"/>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16</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160</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161</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162</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163</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164</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165</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166</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167</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168</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169</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4"/>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17</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052"/>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170</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72"/>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171</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5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172</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6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173</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174</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175</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73"/>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176</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177</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9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178</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179</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4"/>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18</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180</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9"/>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181</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182</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183</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184</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9"/>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185</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186</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187</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188</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189</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4"/>
      <w:rPr>
        <w:rFonts w:ascii="Times New Roman" w:hAnsi="Times New Roman" w:eastAsia="Times New Roman" w:cs="Times New Roman"/>
        <w:sz w:val="21"/>
        <w:szCs w:val="21"/>
      </w:rPr>
    </w:pPr>
    <w:r>
      <w:rPr>
        <w:rFonts w:ascii="Times New Roman" w:hAnsi="Times New Roman" w:eastAsia="Times New Roman" w:cs="Times New Roman"/>
        <w:spacing w:val="-6"/>
        <w:position w:val="-3"/>
        <w:sz w:val="21"/>
        <w:szCs w:val="21"/>
      </w:rPr>
      <w:t>19</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190</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191</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5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192</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90"/>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193</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194</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9"/>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195</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196</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8"/>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197</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8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198</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51"/>
      <w:rPr>
        <w:rFonts w:ascii="Times New Roman" w:hAnsi="Times New Roman" w:eastAsia="Times New Roman" w:cs="Times New Roman"/>
        <w:sz w:val="18"/>
        <w:szCs w:val="18"/>
      </w:rPr>
    </w:pPr>
    <w:r>
      <w:rPr>
        <w:rFonts w:ascii="Times New Roman" w:hAnsi="Times New Roman" w:eastAsia="Times New Roman" w:cs="Times New Roman"/>
        <w:spacing w:val="-5"/>
        <w:position w:val="-2"/>
        <w:sz w:val="18"/>
        <w:szCs w:val="18"/>
      </w:rPr>
      <w:t>199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316"/>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94"/>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20</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8"/>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200</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201</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9"/>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202</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203</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204</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9"/>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205</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206</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207</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209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61"/>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21</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210</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46"/>
      <w:rPr>
        <w:rFonts w:ascii="Times New Roman" w:hAnsi="Times New Roman" w:eastAsia="Times New Roman" w:cs="Times New Roman"/>
        <w:sz w:val="18"/>
        <w:szCs w:val="18"/>
      </w:rPr>
    </w:pPr>
    <w:r>
      <w:rPr>
        <w:rFonts w:ascii="Times New Roman" w:hAnsi="Times New Roman" w:eastAsia="Times New Roman" w:cs="Times New Roman"/>
        <w:spacing w:val="-2"/>
        <w:position w:val="-2"/>
        <w:sz w:val="18"/>
        <w:szCs w:val="18"/>
      </w:rPr>
      <w:t>211</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8"/>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213</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214</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709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215</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216</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217</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218</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219</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61"/>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22</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220</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221</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222</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223</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224</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7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225</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226</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175"/>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227</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228</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0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229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94"/>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23</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230</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231</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232</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233</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234</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235</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236</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17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237</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06"/>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238</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1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239</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394"/>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24</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174"/>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240</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241</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242</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243</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1"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244</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245</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246</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247</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9"/>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248</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249</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2"/>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25</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250</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251</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6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252</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253</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254</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255</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256</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257</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258</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668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259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1"/>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26</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668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260</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261</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262</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5"/>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263</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264</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265</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364"/>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266</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7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267</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268</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269</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3"/>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27</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270</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271</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272</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273</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358"/>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274</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275</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276</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277</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30"/>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278</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4" w:lineRule="exact"/>
      <w:ind w:firstLine="4228"/>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279</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3"/>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28</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2"/>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280</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31"/>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281</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29"/>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282</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3" w:lineRule="exact"/>
      <w:ind w:firstLine="4243"/>
      <w:rPr>
        <w:rFonts w:ascii="Times New Roman" w:hAnsi="Times New Roman" w:eastAsia="Times New Roman" w:cs="Times New Roman"/>
        <w:sz w:val="18"/>
        <w:szCs w:val="18"/>
      </w:rPr>
    </w:pPr>
    <w:r>
      <w:rPr>
        <w:rFonts w:ascii="Times New Roman" w:hAnsi="Times New Roman" w:eastAsia="Times New Roman" w:cs="Times New Roman"/>
        <w:spacing w:val="-1"/>
        <w:position w:val="-2"/>
        <w:sz w:val="18"/>
        <w:szCs w:val="18"/>
      </w:rPr>
      <w:t>283</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89"/>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29</w:t>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20"/>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93"/>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30</w:t>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98"/>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31</w:t>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408"/>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32</w:t>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7"/>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33</w:t>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5"/>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34</w:t>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5"/>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35</w:t>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5"/>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8"/>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6"/>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7"/>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315"/>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1"/>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59"/>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62"/>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93"/>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260"/>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93"/>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2"/>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0"/>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260"/>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7018"/>
      <w:rPr>
        <w:rFonts w:ascii="Times New Roman" w:hAnsi="Times New Roman" w:eastAsia="Times New Roman" w:cs="Times New Roman"/>
        <w:sz w:val="21"/>
        <w:szCs w:val="21"/>
      </w:rPr>
    </w:pPr>
    <w:r>
      <w:rPr>
        <w:rFonts w:ascii="Times New Roman" w:hAnsi="Times New Roman" w:eastAsia="Times New Roman" w:cs="Times New Roman"/>
        <w:spacing w:val="-1"/>
        <w:position w:val="-3"/>
        <w:sz w:val="21"/>
        <w:szCs w:val="21"/>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453"/>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7025"/>
      <w:rPr>
        <w:rFonts w:ascii="Times New Roman" w:hAnsi="Times New Roman" w:eastAsia="Times New Roman" w:cs="Times New Roman"/>
        <w:sz w:val="21"/>
        <w:szCs w:val="21"/>
      </w:rPr>
    </w:pPr>
    <w:r>
      <w:rPr>
        <w:rFonts w:ascii="Times New Roman" w:hAnsi="Times New Roman" w:eastAsia="Times New Roman" w:cs="Times New Roman"/>
        <w:spacing w:val="-3"/>
        <w:position w:val="-3"/>
        <w:sz w:val="21"/>
        <w:szCs w:val="21"/>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7"/>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1" w:lineRule="exact"/>
      <w:ind w:firstLine="4319"/>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21"/>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4" w:lineRule="exact"/>
      <w:ind w:firstLine="4318"/>
      <w:rPr>
        <w:rFonts w:ascii="Times New Roman" w:hAnsi="Times New Roman" w:eastAsia="Times New Roman" w:cs="Times New Roman"/>
        <w:sz w:val="21"/>
        <w:szCs w:val="21"/>
      </w:rPr>
    </w:pPr>
    <w:r>
      <w:rPr>
        <w:rFonts w:ascii="Times New Roman" w:hAnsi="Times New Roman" w:eastAsia="Times New Roman" w:cs="Times New Roman"/>
        <w:position w:val="-3"/>
        <w:sz w:val="21"/>
        <w:szCs w:val="21"/>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Malgun Gothic"/>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FBC02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6" Type="http://schemas.openxmlformats.org/officeDocument/2006/relationships/fontTable" Target="fontTable.xml"/><Relationship Id="rId365" Type="http://schemas.openxmlformats.org/officeDocument/2006/relationships/customXml" Target="../customXml/item1.xml"/><Relationship Id="rId364" Type="http://schemas.openxmlformats.org/officeDocument/2006/relationships/image" Target="media/image2.png"/><Relationship Id="rId363" Type="http://schemas.openxmlformats.org/officeDocument/2006/relationships/image" Target="media/image1.png"/><Relationship Id="rId362" Type="http://schemas.openxmlformats.org/officeDocument/2006/relationships/theme" Target="theme/theme1.xml"/><Relationship Id="rId361" Type="http://schemas.openxmlformats.org/officeDocument/2006/relationships/footer" Target="footer357.xml"/><Relationship Id="rId360" Type="http://schemas.openxmlformats.org/officeDocument/2006/relationships/footer" Target="footer356.xml"/><Relationship Id="rId36" Type="http://schemas.openxmlformats.org/officeDocument/2006/relationships/footer" Target="footer32.xml"/><Relationship Id="rId359" Type="http://schemas.openxmlformats.org/officeDocument/2006/relationships/footer" Target="footer355.xml"/><Relationship Id="rId358" Type="http://schemas.openxmlformats.org/officeDocument/2006/relationships/footer" Target="footer354.xml"/><Relationship Id="rId357" Type="http://schemas.openxmlformats.org/officeDocument/2006/relationships/footer" Target="footer353.xml"/><Relationship Id="rId356" Type="http://schemas.openxmlformats.org/officeDocument/2006/relationships/footer" Target="footer352.xml"/><Relationship Id="rId355" Type="http://schemas.openxmlformats.org/officeDocument/2006/relationships/footer" Target="footer351.xml"/><Relationship Id="rId354" Type="http://schemas.openxmlformats.org/officeDocument/2006/relationships/footer" Target="footer350.xml"/><Relationship Id="rId353" Type="http://schemas.openxmlformats.org/officeDocument/2006/relationships/footer" Target="footer349.xml"/><Relationship Id="rId352" Type="http://schemas.openxmlformats.org/officeDocument/2006/relationships/footer" Target="footer348.xml"/><Relationship Id="rId351" Type="http://schemas.openxmlformats.org/officeDocument/2006/relationships/footer" Target="footer347.xml"/><Relationship Id="rId350" Type="http://schemas.openxmlformats.org/officeDocument/2006/relationships/footer" Target="footer346.xml"/><Relationship Id="rId35" Type="http://schemas.openxmlformats.org/officeDocument/2006/relationships/footer" Target="footer31.xml"/><Relationship Id="rId349" Type="http://schemas.openxmlformats.org/officeDocument/2006/relationships/footer" Target="footer345.xml"/><Relationship Id="rId348" Type="http://schemas.openxmlformats.org/officeDocument/2006/relationships/footer" Target="footer344.xml"/><Relationship Id="rId347" Type="http://schemas.openxmlformats.org/officeDocument/2006/relationships/footer" Target="footer343.xml"/><Relationship Id="rId346" Type="http://schemas.openxmlformats.org/officeDocument/2006/relationships/footer" Target="footer342.xml"/><Relationship Id="rId345" Type="http://schemas.openxmlformats.org/officeDocument/2006/relationships/footer" Target="footer341.xml"/><Relationship Id="rId344" Type="http://schemas.openxmlformats.org/officeDocument/2006/relationships/footer" Target="footer340.xml"/><Relationship Id="rId343" Type="http://schemas.openxmlformats.org/officeDocument/2006/relationships/footer" Target="footer339.xml"/><Relationship Id="rId342" Type="http://schemas.openxmlformats.org/officeDocument/2006/relationships/footer" Target="footer338.xml"/><Relationship Id="rId341" Type="http://schemas.openxmlformats.org/officeDocument/2006/relationships/footer" Target="footer337.xml"/><Relationship Id="rId340" Type="http://schemas.openxmlformats.org/officeDocument/2006/relationships/footer" Target="footer336.xml"/><Relationship Id="rId34" Type="http://schemas.openxmlformats.org/officeDocument/2006/relationships/footer" Target="footer30.xml"/><Relationship Id="rId339" Type="http://schemas.openxmlformats.org/officeDocument/2006/relationships/footer" Target="footer335.xml"/><Relationship Id="rId338" Type="http://schemas.openxmlformats.org/officeDocument/2006/relationships/footer" Target="footer334.xml"/><Relationship Id="rId337" Type="http://schemas.openxmlformats.org/officeDocument/2006/relationships/footer" Target="footer333.xml"/><Relationship Id="rId336" Type="http://schemas.openxmlformats.org/officeDocument/2006/relationships/footer" Target="footer332.xml"/><Relationship Id="rId335" Type="http://schemas.openxmlformats.org/officeDocument/2006/relationships/footer" Target="footer331.xml"/><Relationship Id="rId334" Type="http://schemas.openxmlformats.org/officeDocument/2006/relationships/footer" Target="footer330.xml"/><Relationship Id="rId333" Type="http://schemas.openxmlformats.org/officeDocument/2006/relationships/footer" Target="footer329.xml"/><Relationship Id="rId332" Type="http://schemas.openxmlformats.org/officeDocument/2006/relationships/footer" Target="footer328.xml"/><Relationship Id="rId331" Type="http://schemas.openxmlformats.org/officeDocument/2006/relationships/footer" Target="footer327.xml"/><Relationship Id="rId330" Type="http://schemas.openxmlformats.org/officeDocument/2006/relationships/footer" Target="footer326.xml"/><Relationship Id="rId33" Type="http://schemas.openxmlformats.org/officeDocument/2006/relationships/footer" Target="footer29.xml"/><Relationship Id="rId329" Type="http://schemas.openxmlformats.org/officeDocument/2006/relationships/footer" Target="footer325.xml"/><Relationship Id="rId328" Type="http://schemas.openxmlformats.org/officeDocument/2006/relationships/footer" Target="footer324.xml"/><Relationship Id="rId327" Type="http://schemas.openxmlformats.org/officeDocument/2006/relationships/footer" Target="footer323.xml"/><Relationship Id="rId326" Type="http://schemas.openxmlformats.org/officeDocument/2006/relationships/footer" Target="footer322.xml"/><Relationship Id="rId325" Type="http://schemas.openxmlformats.org/officeDocument/2006/relationships/footer" Target="footer321.xml"/><Relationship Id="rId324" Type="http://schemas.openxmlformats.org/officeDocument/2006/relationships/footer" Target="footer320.xml"/><Relationship Id="rId323" Type="http://schemas.openxmlformats.org/officeDocument/2006/relationships/footer" Target="footer319.xml"/><Relationship Id="rId322" Type="http://schemas.openxmlformats.org/officeDocument/2006/relationships/footer" Target="footer318.xml"/><Relationship Id="rId321" Type="http://schemas.openxmlformats.org/officeDocument/2006/relationships/footer" Target="footer317.xml"/><Relationship Id="rId320" Type="http://schemas.openxmlformats.org/officeDocument/2006/relationships/footer" Target="footer316.xml"/><Relationship Id="rId32" Type="http://schemas.openxmlformats.org/officeDocument/2006/relationships/footer" Target="footer28.xml"/><Relationship Id="rId319" Type="http://schemas.openxmlformats.org/officeDocument/2006/relationships/footer" Target="footer315.xml"/><Relationship Id="rId318" Type="http://schemas.openxmlformats.org/officeDocument/2006/relationships/footer" Target="footer314.xml"/><Relationship Id="rId317" Type="http://schemas.openxmlformats.org/officeDocument/2006/relationships/footer" Target="footer313.xml"/><Relationship Id="rId316" Type="http://schemas.openxmlformats.org/officeDocument/2006/relationships/footer" Target="footer312.xml"/><Relationship Id="rId315" Type="http://schemas.openxmlformats.org/officeDocument/2006/relationships/footer" Target="footer311.xml"/><Relationship Id="rId314" Type="http://schemas.openxmlformats.org/officeDocument/2006/relationships/footer" Target="footer310.xml"/><Relationship Id="rId313" Type="http://schemas.openxmlformats.org/officeDocument/2006/relationships/footer" Target="footer309.xml"/><Relationship Id="rId312" Type="http://schemas.openxmlformats.org/officeDocument/2006/relationships/footer" Target="footer308.xml"/><Relationship Id="rId311" Type="http://schemas.openxmlformats.org/officeDocument/2006/relationships/footer" Target="footer307.xml"/><Relationship Id="rId310" Type="http://schemas.openxmlformats.org/officeDocument/2006/relationships/footer" Target="footer306.xml"/><Relationship Id="rId31" Type="http://schemas.openxmlformats.org/officeDocument/2006/relationships/footer" Target="footer27.xml"/><Relationship Id="rId309" Type="http://schemas.openxmlformats.org/officeDocument/2006/relationships/footer" Target="footer305.xml"/><Relationship Id="rId308" Type="http://schemas.openxmlformats.org/officeDocument/2006/relationships/footer" Target="footer304.xml"/><Relationship Id="rId307" Type="http://schemas.openxmlformats.org/officeDocument/2006/relationships/footer" Target="footer303.xml"/><Relationship Id="rId306" Type="http://schemas.openxmlformats.org/officeDocument/2006/relationships/footer" Target="footer302.xml"/><Relationship Id="rId305" Type="http://schemas.openxmlformats.org/officeDocument/2006/relationships/footer" Target="footer301.xml"/><Relationship Id="rId304" Type="http://schemas.openxmlformats.org/officeDocument/2006/relationships/footer" Target="footer300.xml"/><Relationship Id="rId303" Type="http://schemas.openxmlformats.org/officeDocument/2006/relationships/footer" Target="footer299.xml"/><Relationship Id="rId302" Type="http://schemas.openxmlformats.org/officeDocument/2006/relationships/footer" Target="footer298.xml"/><Relationship Id="rId301" Type="http://schemas.openxmlformats.org/officeDocument/2006/relationships/footer" Target="footer297.xml"/><Relationship Id="rId300" Type="http://schemas.openxmlformats.org/officeDocument/2006/relationships/footer" Target="footer296.xml"/><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footer" Target="footer295.xml"/><Relationship Id="rId298" Type="http://schemas.openxmlformats.org/officeDocument/2006/relationships/footer" Target="footer294.xml"/><Relationship Id="rId297" Type="http://schemas.openxmlformats.org/officeDocument/2006/relationships/footer" Target="footer293.xml"/><Relationship Id="rId296" Type="http://schemas.openxmlformats.org/officeDocument/2006/relationships/footer" Target="footer292.xml"/><Relationship Id="rId295" Type="http://schemas.openxmlformats.org/officeDocument/2006/relationships/footer" Target="footer291.xml"/><Relationship Id="rId294" Type="http://schemas.openxmlformats.org/officeDocument/2006/relationships/footer" Target="footer290.xml"/><Relationship Id="rId293" Type="http://schemas.openxmlformats.org/officeDocument/2006/relationships/footer" Target="footer289.xml"/><Relationship Id="rId292" Type="http://schemas.openxmlformats.org/officeDocument/2006/relationships/footer" Target="footer288.xml"/><Relationship Id="rId291" Type="http://schemas.openxmlformats.org/officeDocument/2006/relationships/footer" Target="footer287.xml"/><Relationship Id="rId290" Type="http://schemas.openxmlformats.org/officeDocument/2006/relationships/footer" Target="footer286.xml"/><Relationship Id="rId29" Type="http://schemas.openxmlformats.org/officeDocument/2006/relationships/footer" Target="footer25.xml"/><Relationship Id="rId289" Type="http://schemas.openxmlformats.org/officeDocument/2006/relationships/footer" Target="footer285.xml"/><Relationship Id="rId288" Type="http://schemas.openxmlformats.org/officeDocument/2006/relationships/footer" Target="footer284.xml"/><Relationship Id="rId287" Type="http://schemas.openxmlformats.org/officeDocument/2006/relationships/footer" Target="footer283.xml"/><Relationship Id="rId286" Type="http://schemas.openxmlformats.org/officeDocument/2006/relationships/footer" Target="footer282.xml"/><Relationship Id="rId285" Type="http://schemas.openxmlformats.org/officeDocument/2006/relationships/footer" Target="footer281.xml"/><Relationship Id="rId284" Type="http://schemas.openxmlformats.org/officeDocument/2006/relationships/footer" Target="footer280.xml"/><Relationship Id="rId283" Type="http://schemas.openxmlformats.org/officeDocument/2006/relationships/footer" Target="footer279.xml"/><Relationship Id="rId282" Type="http://schemas.openxmlformats.org/officeDocument/2006/relationships/footer" Target="footer278.xml"/><Relationship Id="rId281" Type="http://schemas.openxmlformats.org/officeDocument/2006/relationships/footer" Target="footer277.xml"/><Relationship Id="rId280" Type="http://schemas.openxmlformats.org/officeDocument/2006/relationships/footer" Target="footer276.xml"/><Relationship Id="rId28" Type="http://schemas.openxmlformats.org/officeDocument/2006/relationships/footer" Target="footer24.xml"/><Relationship Id="rId279" Type="http://schemas.openxmlformats.org/officeDocument/2006/relationships/footer" Target="footer275.xml"/><Relationship Id="rId278" Type="http://schemas.openxmlformats.org/officeDocument/2006/relationships/footer" Target="footer274.xml"/><Relationship Id="rId277" Type="http://schemas.openxmlformats.org/officeDocument/2006/relationships/footer" Target="footer273.xml"/><Relationship Id="rId276" Type="http://schemas.openxmlformats.org/officeDocument/2006/relationships/footer" Target="footer272.xml"/><Relationship Id="rId275" Type="http://schemas.openxmlformats.org/officeDocument/2006/relationships/footer" Target="footer271.xml"/><Relationship Id="rId274" Type="http://schemas.openxmlformats.org/officeDocument/2006/relationships/footer" Target="footer270.xml"/><Relationship Id="rId273" Type="http://schemas.openxmlformats.org/officeDocument/2006/relationships/footer" Target="footer269.xml"/><Relationship Id="rId272" Type="http://schemas.openxmlformats.org/officeDocument/2006/relationships/footer" Target="footer268.xml"/><Relationship Id="rId271" Type="http://schemas.openxmlformats.org/officeDocument/2006/relationships/footer" Target="footer267.xml"/><Relationship Id="rId270" Type="http://schemas.openxmlformats.org/officeDocument/2006/relationships/footer" Target="footer266.xml"/><Relationship Id="rId27" Type="http://schemas.openxmlformats.org/officeDocument/2006/relationships/footer" Target="footer23.xml"/><Relationship Id="rId269" Type="http://schemas.openxmlformats.org/officeDocument/2006/relationships/footer" Target="footer265.xml"/><Relationship Id="rId268" Type="http://schemas.openxmlformats.org/officeDocument/2006/relationships/footer" Target="footer264.xml"/><Relationship Id="rId267" Type="http://schemas.openxmlformats.org/officeDocument/2006/relationships/footer" Target="footer263.xml"/><Relationship Id="rId266" Type="http://schemas.openxmlformats.org/officeDocument/2006/relationships/footer" Target="footer262.xml"/><Relationship Id="rId265" Type="http://schemas.openxmlformats.org/officeDocument/2006/relationships/footer" Target="footer261.xml"/><Relationship Id="rId264" Type="http://schemas.openxmlformats.org/officeDocument/2006/relationships/footer" Target="footer260.xml"/><Relationship Id="rId263" Type="http://schemas.openxmlformats.org/officeDocument/2006/relationships/footer" Target="footer259.xml"/><Relationship Id="rId262" Type="http://schemas.openxmlformats.org/officeDocument/2006/relationships/footer" Target="footer258.xml"/><Relationship Id="rId261" Type="http://schemas.openxmlformats.org/officeDocument/2006/relationships/footer" Target="footer257.xml"/><Relationship Id="rId260" Type="http://schemas.openxmlformats.org/officeDocument/2006/relationships/footer" Target="footer256.xml"/><Relationship Id="rId26" Type="http://schemas.openxmlformats.org/officeDocument/2006/relationships/footer" Target="footer22.xml"/><Relationship Id="rId259" Type="http://schemas.openxmlformats.org/officeDocument/2006/relationships/footer" Target="footer255.xml"/><Relationship Id="rId258" Type="http://schemas.openxmlformats.org/officeDocument/2006/relationships/footer" Target="footer254.xml"/><Relationship Id="rId257" Type="http://schemas.openxmlformats.org/officeDocument/2006/relationships/footer" Target="footer253.xml"/><Relationship Id="rId256" Type="http://schemas.openxmlformats.org/officeDocument/2006/relationships/footer" Target="footer252.xml"/><Relationship Id="rId255" Type="http://schemas.openxmlformats.org/officeDocument/2006/relationships/footer" Target="footer251.xml"/><Relationship Id="rId254" Type="http://schemas.openxmlformats.org/officeDocument/2006/relationships/footer" Target="footer250.xml"/><Relationship Id="rId253" Type="http://schemas.openxmlformats.org/officeDocument/2006/relationships/footer" Target="footer249.xml"/><Relationship Id="rId252" Type="http://schemas.openxmlformats.org/officeDocument/2006/relationships/footer" Target="footer248.xml"/><Relationship Id="rId251" Type="http://schemas.openxmlformats.org/officeDocument/2006/relationships/footer" Target="footer247.xml"/><Relationship Id="rId250" Type="http://schemas.openxmlformats.org/officeDocument/2006/relationships/footer" Target="footer246.xml"/><Relationship Id="rId25" Type="http://schemas.openxmlformats.org/officeDocument/2006/relationships/footer" Target="footer21.xml"/><Relationship Id="rId249" Type="http://schemas.openxmlformats.org/officeDocument/2006/relationships/footer" Target="footer245.xml"/><Relationship Id="rId248" Type="http://schemas.openxmlformats.org/officeDocument/2006/relationships/footer" Target="footer244.xml"/><Relationship Id="rId247" Type="http://schemas.openxmlformats.org/officeDocument/2006/relationships/footer" Target="footer243.xml"/><Relationship Id="rId246" Type="http://schemas.openxmlformats.org/officeDocument/2006/relationships/footer" Target="footer242.xml"/><Relationship Id="rId245" Type="http://schemas.openxmlformats.org/officeDocument/2006/relationships/footer" Target="footer241.xml"/><Relationship Id="rId244" Type="http://schemas.openxmlformats.org/officeDocument/2006/relationships/footer" Target="footer240.xml"/><Relationship Id="rId243" Type="http://schemas.openxmlformats.org/officeDocument/2006/relationships/footer" Target="footer239.xml"/><Relationship Id="rId242" Type="http://schemas.openxmlformats.org/officeDocument/2006/relationships/footer" Target="footer238.xml"/><Relationship Id="rId241" Type="http://schemas.openxmlformats.org/officeDocument/2006/relationships/footer" Target="footer237.xml"/><Relationship Id="rId240" Type="http://schemas.openxmlformats.org/officeDocument/2006/relationships/footer" Target="footer236.xml"/><Relationship Id="rId24" Type="http://schemas.openxmlformats.org/officeDocument/2006/relationships/footer" Target="footer20.xml"/><Relationship Id="rId239" Type="http://schemas.openxmlformats.org/officeDocument/2006/relationships/footer" Target="footer235.xml"/><Relationship Id="rId238" Type="http://schemas.openxmlformats.org/officeDocument/2006/relationships/footer" Target="footer234.xml"/><Relationship Id="rId237" Type="http://schemas.openxmlformats.org/officeDocument/2006/relationships/footer" Target="footer233.xml"/><Relationship Id="rId236" Type="http://schemas.openxmlformats.org/officeDocument/2006/relationships/footer" Target="footer232.xml"/><Relationship Id="rId235" Type="http://schemas.openxmlformats.org/officeDocument/2006/relationships/footer" Target="footer231.xml"/><Relationship Id="rId234" Type="http://schemas.openxmlformats.org/officeDocument/2006/relationships/footer" Target="footer230.xml"/><Relationship Id="rId233" Type="http://schemas.openxmlformats.org/officeDocument/2006/relationships/footer" Target="footer229.xml"/><Relationship Id="rId232" Type="http://schemas.openxmlformats.org/officeDocument/2006/relationships/footer" Target="footer228.xml"/><Relationship Id="rId231" Type="http://schemas.openxmlformats.org/officeDocument/2006/relationships/footer" Target="footer227.xml"/><Relationship Id="rId230" Type="http://schemas.openxmlformats.org/officeDocument/2006/relationships/footer" Target="footer226.xml"/><Relationship Id="rId23" Type="http://schemas.openxmlformats.org/officeDocument/2006/relationships/footer" Target="footer19.xml"/><Relationship Id="rId229" Type="http://schemas.openxmlformats.org/officeDocument/2006/relationships/footer" Target="footer225.xml"/><Relationship Id="rId228" Type="http://schemas.openxmlformats.org/officeDocument/2006/relationships/footer" Target="footer224.xml"/><Relationship Id="rId227" Type="http://schemas.openxmlformats.org/officeDocument/2006/relationships/footer" Target="footer223.xml"/><Relationship Id="rId226" Type="http://schemas.openxmlformats.org/officeDocument/2006/relationships/footer" Target="footer222.xml"/><Relationship Id="rId225" Type="http://schemas.openxmlformats.org/officeDocument/2006/relationships/footer" Target="footer221.xml"/><Relationship Id="rId224" Type="http://schemas.openxmlformats.org/officeDocument/2006/relationships/footer" Target="footer220.xml"/><Relationship Id="rId223" Type="http://schemas.openxmlformats.org/officeDocument/2006/relationships/footer" Target="footer219.xml"/><Relationship Id="rId222" Type="http://schemas.openxmlformats.org/officeDocument/2006/relationships/footer" Target="footer218.xml"/><Relationship Id="rId221" Type="http://schemas.openxmlformats.org/officeDocument/2006/relationships/footer" Target="footer217.xml"/><Relationship Id="rId220" Type="http://schemas.openxmlformats.org/officeDocument/2006/relationships/footer" Target="footer216.xml"/><Relationship Id="rId22" Type="http://schemas.openxmlformats.org/officeDocument/2006/relationships/footer" Target="footer18.xml"/><Relationship Id="rId219" Type="http://schemas.openxmlformats.org/officeDocument/2006/relationships/footer" Target="footer215.xml"/><Relationship Id="rId218" Type="http://schemas.openxmlformats.org/officeDocument/2006/relationships/footer" Target="footer214.xml"/><Relationship Id="rId217" Type="http://schemas.openxmlformats.org/officeDocument/2006/relationships/footer" Target="footer213.xml"/><Relationship Id="rId216" Type="http://schemas.openxmlformats.org/officeDocument/2006/relationships/footer" Target="footer212.xml"/><Relationship Id="rId215" Type="http://schemas.openxmlformats.org/officeDocument/2006/relationships/footer" Target="footer211.xml"/><Relationship Id="rId214" Type="http://schemas.openxmlformats.org/officeDocument/2006/relationships/footer" Target="footer210.xml"/><Relationship Id="rId213" Type="http://schemas.openxmlformats.org/officeDocument/2006/relationships/footer" Target="footer209.xml"/><Relationship Id="rId212" Type="http://schemas.openxmlformats.org/officeDocument/2006/relationships/footer" Target="footer208.xml"/><Relationship Id="rId211" Type="http://schemas.openxmlformats.org/officeDocument/2006/relationships/footer" Target="footer207.xml"/><Relationship Id="rId210" Type="http://schemas.openxmlformats.org/officeDocument/2006/relationships/footer" Target="footer206.xml"/><Relationship Id="rId21" Type="http://schemas.openxmlformats.org/officeDocument/2006/relationships/footer" Target="footer17.xml"/><Relationship Id="rId209" Type="http://schemas.openxmlformats.org/officeDocument/2006/relationships/footer" Target="footer205.xml"/><Relationship Id="rId208" Type="http://schemas.openxmlformats.org/officeDocument/2006/relationships/footer" Target="footer204.xml"/><Relationship Id="rId207" Type="http://schemas.openxmlformats.org/officeDocument/2006/relationships/footer" Target="footer203.xml"/><Relationship Id="rId206" Type="http://schemas.openxmlformats.org/officeDocument/2006/relationships/footer" Target="footer202.xml"/><Relationship Id="rId205" Type="http://schemas.openxmlformats.org/officeDocument/2006/relationships/footer" Target="footer201.xml"/><Relationship Id="rId204" Type="http://schemas.openxmlformats.org/officeDocument/2006/relationships/footer" Target="footer200.xml"/><Relationship Id="rId203" Type="http://schemas.openxmlformats.org/officeDocument/2006/relationships/footer" Target="footer199.xml"/><Relationship Id="rId202" Type="http://schemas.openxmlformats.org/officeDocument/2006/relationships/footer" Target="footer198.xml"/><Relationship Id="rId201" Type="http://schemas.openxmlformats.org/officeDocument/2006/relationships/footer" Target="footer197.xml"/><Relationship Id="rId200" Type="http://schemas.openxmlformats.org/officeDocument/2006/relationships/footer" Target="footer196.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5.xml"/><Relationship Id="rId198" Type="http://schemas.openxmlformats.org/officeDocument/2006/relationships/footer" Target="footer194.xml"/><Relationship Id="rId197" Type="http://schemas.openxmlformats.org/officeDocument/2006/relationships/footer" Target="footer193.xml"/><Relationship Id="rId196" Type="http://schemas.openxmlformats.org/officeDocument/2006/relationships/footer" Target="footer192.xml"/><Relationship Id="rId195" Type="http://schemas.openxmlformats.org/officeDocument/2006/relationships/footer" Target="footer191.xml"/><Relationship Id="rId194" Type="http://schemas.openxmlformats.org/officeDocument/2006/relationships/footer" Target="footer190.xml"/><Relationship Id="rId193" Type="http://schemas.openxmlformats.org/officeDocument/2006/relationships/footer" Target="footer189.xml"/><Relationship Id="rId192" Type="http://schemas.openxmlformats.org/officeDocument/2006/relationships/footer" Target="footer188.xml"/><Relationship Id="rId191" Type="http://schemas.openxmlformats.org/officeDocument/2006/relationships/footer" Target="footer187.xml"/><Relationship Id="rId190" Type="http://schemas.openxmlformats.org/officeDocument/2006/relationships/footer" Target="footer186.xml"/><Relationship Id="rId19" Type="http://schemas.openxmlformats.org/officeDocument/2006/relationships/footer" Target="footer15.xml"/><Relationship Id="rId189" Type="http://schemas.openxmlformats.org/officeDocument/2006/relationships/footer" Target="footer185.xml"/><Relationship Id="rId188" Type="http://schemas.openxmlformats.org/officeDocument/2006/relationships/footer" Target="footer184.xml"/><Relationship Id="rId187" Type="http://schemas.openxmlformats.org/officeDocument/2006/relationships/footer" Target="footer183.xml"/><Relationship Id="rId186" Type="http://schemas.openxmlformats.org/officeDocument/2006/relationships/footer" Target="footer182.xml"/><Relationship Id="rId185" Type="http://schemas.openxmlformats.org/officeDocument/2006/relationships/footer" Target="footer181.xml"/><Relationship Id="rId184" Type="http://schemas.openxmlformats.org/officeDocument/2006/relationships/footer" Target="footer180.xml"/><Relationship Id="rId183" Type="http://schemas.openxmlformats.org/officeDocument/2006/relationships/footer" Target="footer179.xml"/><Relationship Id="rId182" Type="http://schemas.openxmlformats.org/officeDocument/2006/relationships/footer" Target="footer178.xml"/><Relationship Id="rId181" Type="http://schemas.openxmlformats.org/officeDocument/2006/relationships/footer" Target="footer177.xml"/><Relationship Id="rId180" Type="http://schemas.openxmlformats.org/officeDocument/2006/relationships/footer" Target="footer176.xml"/><Relationship Id="rId18" Type="http://schemas.openxmlformats.org/officeDocument/2006/relationships/footer" Target="footer14.xml"/><Relationship Id="rId179" Type="http://schemas.openxmlformats.org/officeDocument/2006/relationships/footer" Target="footer175.xml"/><Relationship Id="rId178" Type="http://schemas.openxmlformats.org/officeDocument/2006/relationships/footer" Target="footer174.xml"/><Relationship Id="rId177" Type="http://schemas.openxmlformats.org/officeDocument/2006/relationships/footer" Target="footer173.xml"/><Relationship Id="rId176" Type="http://schemas.openxmlformats.org/officeDocument/2006/relationships/footer" Target="footer172.xml"/><Relationship Id="rId175" Type="http://schemas.openxmlformats.org/officeDocument/2006/relationships/footer" Target="footer171.xml"/><Relationship Id="rId174" Type="http://schemas.openxmlformats.org/officeDocument/2006/relationships/footer" Target="footer170.xml"/><Relationship Id="rId173" Type="http://schemas.openxmlformats.org/officeDocument/2006/relationships/footer" Target="footer169.xml"/><Relationship Id="rId172" Type="http://schemas.openxmlformats.org/officeDocument/2006/relationships/footer" Target="footer168.xml"/><Relationship Id="rId171" Type="http://schemas.openxmlformats.org/officeDocument/2006/relationships/footer" Target="footer167.xml"/><Relationship Id="rId170" Type="http://schemas.openxmlformats.org/officeDocument/2006/relationships/footer" Target="footer166.xml"/><Relationship Id="rId17" Type="http://schemas.openxmlformats.org/officeDocument/2006/relationships/footer" Target="footer13.xml"/><Relationship Id="rId169" Type="http://schemas.openxmlformats.org/officeDocument/2006/relationships/footer" Target="footer165.xml"/><Relationship Id="rId168" Type="http://schemas.openxmlformats.org/officeDocument/2006/relationships/footer" Target="footer164.xml"/><Relationship Id="rId167" Type="http://schemas.openxmlformats.org/officeDocument/2006/relationships/footer" Target="footer163.xml"/><Relationship Id="rId166" Type="http://schemas.openxmlformats.org/officeDocument/2006/relationships/footer" Target="footer162.xml"/><Relationship Id="rId165" Type="http://schemas.openxmlformats.org/officeDocument/2006/relationships/footer" Target="footer161.xml"/><Relationship Id="rId164" Type="http://schemas.openxmlformats.org/officeDocument/2006/relationships/footer" Target="footer160.xml"/><Relationship Id="rId163" Type="http://schemas.openxmlformats.org/officeDocument/2006/relationships/footer" Target="footer159.xml"/><Relationship Id="rId162" Type="http://schemas.openxmlformats.org/officeDocument/2006/relationships/footer" Target="footer158.xml"/><Relationship Id="rId161" Type="http://schemas.openxmlformats.org/officeDocument/2006/relationships/footer" Target="footer157.xml"/><Relationship Id="rId160" Type="http://schemas.openxmlformats.org/officeDocument/2006/relationships/footer" Target="footer156.xml"/><Relationship Id="rId16" Type="http://schemas.openxmlformats.org/officeDocument/2006/relationships/footer" Target="footer12.xml"/><Relationship Id="rId159" Type="http://schemas.openxmlformats.org/officeDocument/2006/relationships/footer" Target="footer155.xml"/><Relationship Id="rId158" Type="http://schemas.openxmlformats.org/officeDocument/2006/relationships/footer" Target="footer154.xml"/><Relationship Id="rId157" Type="http://schemas.openxmlformats.org/officeDocument/2006/relationships/footer" Target="footer153.xml"/><Relationship Id="rId156" Type="http://schemas.openxmlformats.org/officeDocument/2006/relationships/footer" Target="footer152.xml"/><Relationship Id="rId155" Type="http://schemas.openxmlformats.org/officeDocument/2006/relationships/footer" Target="footer151.xml"/><Relationship Id="rId154" Type="http://schemas.openxmlformats.org/officeDocument/2006/relationships/footer" Target="footer150.xml"/><Relationship Id="rId153" Type="http://schemas.openxmlformats.org/officeDocument/2006/relationships/footer" Target="footer149.xml"/><Relationship Id="rId152" Type="http://schemas.openxmlformats.org/officeDocument/2006/relationships/footer" Target="footer148.xml"/><Relationship Id="rId151" Type="http://schemas.openxmlformats.org/officeDocument/2006/relationships/footer" Target="footer147.xml"/><Relationship Id="rId150" Type="http://schemas.openxmlformats.org/officeDocument/2006/relationships/footer" Target="footer146.xml"/><Relationship Id="rId15" Type="http://schemas.openxmlformats.org/officeDocument/2006/relationships/footer" Target="footer11.xml"/><Relationship Id="rId149" Type="http://schemas.openxmlformats.org/officeDocument/2006/relationships/footer" Target="footer145.xml"/><Relationship Id="rId148" Type="http://schemas.openxmlformats.org/officeDocument/2006/relationships/footer" Target="footer144.xml"/><Relationship Id="rId147" Type="http://schemas.openxmlformats.org/officeDocument/2006/relationships/footer" Target="footer143.xml"/><Relationship Id="rId146" Type="http://schemas.openxmlformats.org/officeDocument/2006/relationships/footer" Target="footer142.xml"/><Relationship Id="rId145" Type="http://schemas.openxmlformats.org/officeDocument/2006/relationships/footer" Target="footer141.xml"/><Relationship Id="rId144" Type="http://schemas.openxmlformats.org/officeDocument/2006/relationships/footer" Target="footer140.xml"/><Relationship Id="rId143" Type="http://schemas.openxmlformats.org/officeDocument/2006/relationships/footer" Target="footer139.xml"/><Relationship Id="rId142" Type="http://schemas.openxmlformats.org/officeDocument/2006/relationships/footer" Target="footer138.xml"/><Relationship Id="rId141" Type="http://schemas.openxmlformats.org/officeDocument/2006/relationships/footer" Target="footer137.xml"/><Relationship Id="rId140" Type="http://schemas.openxmlformats.org/officeDocument/2006/relationships/footer" Target="footer136.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30"/>
    <customShpInfo spid="_x0000_s1031"/>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Office_11.1.0.11115_F1E327BC-269C-435d-A152-05C5408002CA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2017-09-14T12:22:00Z</dcterms:created>
  <dc:creator>C3</dc:creator>
  <cp:lastModifiedBy>张湘辉</cp:lastModifiedBy>
  <dcterms:modified xsi:type="dcterms:W3CDTF">2021-12-15T03:43:21Z</dcterms:modified>
  <dc:title>Microsoft Word - 资料汇编1  9.5改.doc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2021-12-15T11:42:55Z</vt:filetime>
  </property>
  <property fmtid="{D5CDD505-2E9C-101B-9397-08002B2CF9AE}" pid="4" name="KSOProductBuildVer">
    <vt:lpwstr>2052-11.1.0.11115</vt:lpwstr>
  </property>
  <property fmtid="{D5CDD505-2E9C-101B-9397-08002B2CF9AE}" pid="5" name="ICV">
    <vt:lpwstr>2F15A084D21342A5A7E7407DF531C5FF</vt:lpwstr>
  </property>
</Properties>
</file>